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仿宋_GB2312" w:hAnsi="仿宋_GB2312" w:eastAsia="仿宋_GB2312" w:cs="仿宋_GB2312"/>
          <w:color w:val="auto"/>
          <w:sz w:val="36"/>
          <w:szCs w:val="36"/>
          <w:highlight w:val="none"/>
        </w:rPr>
        <w:drawing>
          <wp:anchor distT="0" distB="0" distL="114300" distR="114300" simplePos="0" relativeHeight="251666432" behindDoc="0" locked="0" layoutInCell="1" allowOverlap="1">
            <wp:simplePos x="0" y="0"/>
            <wp:positionH relativeFrom="column">
              <wp:posOffset>-935990</wp:posOffset>
            </wp:positionH>
            <wp:positionV relativeFrom="paragraph">
              <wp:posOffset>-1073150</wp:posOffset>
            </wp:positionV>
            <wp:extent cx="7526020" cy="10650855"/>
            <wp:effectExtent l="0" t="0" r="2540" b="1905"/>
            <wp:wrapNone/>
            <wp:docPr id="109" name="图片 109" descr="1107送审本全本-福清雨废分离项目PDF合并加封面扉页批复和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107送审本全本-福清雨废分离项目PDF合并加封面扉页批复和验收_01"/>
                    <pic:cNvPicPr>
                      <a:picLocks noChangeAspect="1"/>
                    </pic:cNvPicPr>
                  </pic:nvPicPr>
                  <pic:blipFill>
                    <a:blip r:embed="rId9"/>
                    <a:stretch>
                      <a:fillRect/>
                    </a:stretch>
                  </pic:blipFill>
                  <pic:spPr>
                    <a:xfrm>
                      <a:off x="0" y="0"/>
                      <a:ext cx="7526020" cy="10650855"/>
                    </a:xfrm>
                    <a:prstGeom prst="rect">
                      <a:avLst/>
                    </a:prstGeom>
                  </pic:spPr>
                </pic:pic>
              </a:graphicData>
            </a:graphic>
          </wp:anchor>
        </w:drawing>
      </w:r>
    </w:p>
    <w:p>
      <w:pPr>
        <w:rPr>
          <w:rFonts w:ascii="仿宋_GB2312" w:hAnsi="仿宋_GB2312" w:eastAsia="仿宋_GB2312" w:cs="仿宋_GB2312"/>
          <w:color w:val="auto"/>
          <w:sz w:val="36"/>
          <w:szCs w:val="36"/>
          <w:highlight w:val="none"/>
        </w:rPr>
      </w:pPr>
    </w:p>
    <w:sdt>
      <w:sdtPr>
        <w:rPr>
          <w:rFonts w:ascii="宋体" w:hAnsi="宋体"/>
          <w:color w:val="auto"/>
          <w:highlight w:val="none"/>
        </w:rPr>
        <w:id w:val="147454775"/>
        <w15:color w:val="DBDBDB"/>
        <w:docPartObj>
          <w:docPartGallery w:val="Table of Contents"/>
          <w:docPartUnique/>
        </w:docPartObj>
      </w:sdtPr>
      <w:sdtEndPr>
        <w:rPr>
          <w:rFonts w:ascii="仿宋_GB2312" w:hAnsi="Times New Roman" w:eastAsia="仿宋_GB2312"/>
          <w:color w:val="auto"/>
          <w:szCs w:val="36"/>
          <w:highlight w:val="none"/>
        </w:rPr>
      </w:sdtEndPr>
      <w:sdtContent>
        <w:p>
          <w:pPr>
            <w:jc w:val="center"/>
            <w:rPr>
              <w:color w:val="auto"/>
              <w:highlight w:val="none"/>
            </w:rPr>
          </w:pPr>
          <w:r>
            <w:rPr>
              <w:rFonts w:ascii="宋体" w:hAnsi="宋体"/>
              <w:color w:val="auto"/>
              <w:highlight w:val="none"/>
            </w:rPr>
            <w:t>目录</w:t>
          </w:r>
        </w:p>
        <w:p>
          <w:pPr>
            <w:pStyle w:val="6"/>
            <w:tabs>
              <w:tab w:val="right" w:leader="dot" w:pos="8844"/>
            </w:tabs>
          </w:pPr>
          <w:r>
            <w:rPr>
              <w:rFonts w:ascii="仿宋_GB2312" w:eastAsia="仿宋_GB2312"/>
              <w:color w:val="auto"/>
              <w:sz w:val="36"/>
              <w:szCs w:val="36"/>
              <w:highlight w:val="none"/>
            </w:rPr>
            <w:fldChar w:fldCharType="begin"/>
          </w:r>
          <w:r>
            <w:rPr>
              <w:rFonts w:ascii="仿宋_GB2312" w:eastAsia="仿宋_GB2312"/>
              <w:color w:val="auto"/>
              <w:sz w:val="36"/>
              <w:szCs w:val="36"/>
              <w:highlight w:val="none"/>
            </w:rPr>
            <w:instrText xml:space="preserve">TOC \o "1-2" \h \u </w:instrText>
          </w:r>
          <w:r>
            <w:rPr>
              <w:rFonts w:ascii="仿宋_GB2312" w:eastAsia="仿宋_GB2312"/>
              <w:color w:val="auto"/>
              <w:sz w:val="36"/>
              <w:szCs w:val="36"/>
              <w:highlight w:val="none"/>
            </w:rPr>
            <w:fldChar w:fldCharType="separate"/>
          </w: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_Toc6727 </w:instrText>
          </w:r>
          <w:r>
            <w:rPr>
              <w:rFonts w:ascii="仿宋_GB2312" w:eastAsia="仿宋_GB2312"/>
              <w:szCs w:val="36"/>
              <w:highlight w:val="none"/>
            </w:rPr>
            <w:fldChar w:fldCharType="separate"/>
          </w:r>
          <w:r>
            <w:rPr>
              <w:rFonts w:hint="eastAsia" w:ascii="黑体" w:hAnsi="黑体" w:eastAsia="黑体"/>
              <w:snapToGrid w:val="0"/>
              <w:szCs w:val="30"/>
              <w:highlight w:val="none"/>
            </w:rPr>
            <w:t>一、建设项目基本情况</w:t>
          </w:r>
          <w:r>
            <w:tab/>
          </w:r>
          <w:r>
            <w:fldChar w:fldCharType="begin"/>
          </w:r>
          <w:r>
            <w:instrText xml:space="preserve"> PAGEREF _Toc6727 \h </w:instrText>
          </w:r>
          <w:r>
            <w:fldChar w:fldCharType="separate"/>
          </w:r>
          <w:r>
            <w:t>1</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_Toc22675 </w:instrText>
          </w:r>
          <w:r>
            <w:rPr>
              <w:rFonts w:ascii="仿宋_GB2312" w:eastAsia="仿宋_GB2312"/>
              <w:szCs w:val="36"/>
              <w:highlight w:val="none"/>
            </w:rPr>
            <w:fldChar w:fldCharType="separate"/>
          </w:r>
          <w:r>
            <w:rPr>
              <w:rFonts w:hint="eastAsia"/>
              <w:highlight w:val="none"/>
            </w:rPr>
            <w:t>1.1规划符合性分析</w:t>
          </w:r>
          <w:r>
            <w:tab/>
          </w:r>
          <w:r>
            <w:fldChar w:fldCharType="begin"/>
          </w:r>
          <w:r>
            <w:instrText xml:space="preserve"> PAGEREF _Toc22675 \h </w:instrText>
          </w:r>
          <w:r>
            <w:fldChar w:fldCharType="separate"/>
          </w:r>
          <w:r>
            <w:t>3</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_Toc20071 </w:instrText>
          </w:r>
          <w:r>
            <w:rPr>
              <w:rFonts w:ascii="仿宋_GB2312" w:eastAsia="仿宋_GB2312"/>
              <w:szCs w:val="36"/>
              <w:highlight w:val="none"/>
            </w:rPr>
            <w:fldChar w:fldCharType="separate"/>
          </w:r>
          <w:r>
            <w:rPr>
              <w:rFonts w:hint="eastAsia"/>
              <w:highlight w:val="none"/>
            </w:rPr>
            <w:t>1.2其他符合性分析</w:t>
          </w:r>
          <w:r>
            <w:tab/>
          </w:r>
          <w:r>
            <w:fldChar w:fldCharType="begin"/>
          </w:r>
          <w:r>
            <w:instrText xml:space="preserve"> PAGEREF _Toc20071 \h </w:instrText>
          </w:r>
          <w:r>
            <w:fldChar w:fldCharType="separate"/>
          </w:r>
          <w:r>
            <w:t>8</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_Toc18358 </w:instrText>
          </w:r>
          <w:r>
            <w:rPr>
              <w:rFonts w:ascii="仿宋_GB2312" w:eastAsia="仿宋_GB2312"/>
              <w:szCs w:val="36"/>
              <w:highlight w:val="none"/>
            </w:rPr>
            <w:fldChar w:fldCharType="separate"/>
          </w:r>
          <w:r>
            <w:rPr>
              <w:rFonts w:hint="eastAsia"/>
              <w:highlight w:val="none"/>
            </w:rPr>
            <w:t>1.3与“三区三线”划定成果符合性分析</w:t>
          </w:r>
          <w:r>
            <w:tab/>
          </w:r>
          <w:r>
            <w:fldChar w:fldCharType="begin"/>
          </w:r>
          <w:r>
            <w:instrText xml:space="preserve"> PAGEREF _Toc18358 \h </w:instrText>
          </w:r>
          <w:r>
            <w:fldChar w:fldCharType="separate"/>
          </w:r>
          <w:r>
            <w:t>8</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_Toc17554 </w:instrText>
          </w:r>
          <w:r>
            <w:rPr>
              <w:rFonts w:ascii="仿宋_GB2312" w:eastAsia="仿宋_GB2312"/>
              <w:szCs w:val="36"/>
              <w:highlight w:val="none"/>
            </w:rPr>
            <w:fldChar w:fldCharType="separate"/>
          </w:r>
          <w:r>
            <w:rPr>
              <w:rFonts w:hint="eastAsia"/>
              <w:highlight w:val="none"/>
            </w:rPr>
            <w:t>1.4与“三线一单”符合性分析</w:t>
          </w:r>
          <w:r>
            <w:tab/>
          </w:r>
          <w:r>
            <w:fldChar w:fldCharType="begin"/>
          </w:r>
          <w:r>
            <w:instrText xml:space="preserve"> PAGEREF _Toc17554 \h </w:instrText>
          </w:r>
          <w:r>
            <w:fldChar w:fldCharType="separate"/>
          </w:r>
          <w:r>
            <w:t>9</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_Toc26640 </w:instrText>
          </w:r>
          <w:r>
            <w:rPr>
              <w:rFonts w:ascii="仿宋_GB2312" w:eastAsia="仿宋_GB2312"/>
              <w:szCs w:val="36"/>
              <w:highlight w:val="none"/>
            </w:rPr>
            <w:fldChar w:fldCharType="separate"/>
          </w:r>
          <w:r>
            <w:rPr>
              <w:rFonts w:hint="eastAsia" w:ascii="黑体" w:hAnsi="黑体" w:eastAsia="黑体"/>
              <w:snapToGrid w:val="0"/>
              <w:szCs w:val="30"/>
              <w:highlight w:val="none"/>
            </w:rPr>
            <w:t>二、建设项目工程分析</w:t>
          </w:r>
          <w:r>
            <w:tab/>
          </w:r>
          <w:r>
            <w:fldChar w:fldCharType="begin"/>
          </w:r>
          <w:r>
            <w:instrText xml:space="preserve"> PAGEREF _Toc26640 \h </w:instrText>
          </w:r>
          <w:r>
            <w:fldChar w:fldCharType="separate"/>
          </w:r>
          <w:r>
            <w:t>12</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_Toc29203 </w:instrText>
          </w:r>
          <w:r>
            <w:rPr>
              <w:rFonts w:ascii="仿宋_GB2312" w:eastAsia="仿宋_GB2312"/>
              <w:szCs w:val="36"/>
              <w:highlight w:val="none"/>
            </w:rPr>
            <w:fldChar w:fldCharType="separate"/>
          </w:r>
          <w:r>
            <w:rPr>
              <w:rFonts w:hint="eastAsia"/>
              <w:highlight w:val="none"/>
            </w:rPr>
            <w:t>2.1建设内容</w:t>
          </w:r>
          <w:r>
            <w:tab/>
          </w:r>
          <w:r>
            <w:fldChar w:fldCharType="begin"/>
          </w:r>
          <w:r>
            <w:instrText xml:space="preserve"> PAGEREF _Toc29203 \h </w:instrText>
          </w:r>
          <w:r>
            <w:fldChar w:fldCharType="separate"/>
          </w:r>
          <w:r>
            <w:t>12</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_Toc28291 </w:instrText>
          </w:r>
          <w:r>
            <w:rPr>
              <w:rFonts w:ascii="仿宋_GB2312" w:eastAsia="仿宋_GB2312"/>
              <w:szCs w:val="36"/>
              <w:highlight w:val="none"/>
            </w:rPr>
            <w:fldChar w:fldCharType="separate"/>
          </w:r>
          <w:r>
            <w:rPr>
              <w:rFonts w:hint="eastAsia"/>
              <w:highlight w:val="none"/>
            </w:rPr>
            <w:t>2.1.3</w:t>
          </w:r>
          <w:r>
            <w:rPr>
              <w:highlight w:val="none"/>
            </w:rPr>
            <w:t>建设内容及规模</w:t>
          </w:r>
          <w:r>
            <w:tab/>
          </w:r>
          <w:r>
            <w:fldChar w:fldCharType="begin"/>
          </w:r>
          <w:r>
            <w:instrText xml:space="preserve"> PAGEREF _Toc28291 \h </w:instrText>
          </w:r>
          <w:r>
            <w:fldChar w:fldCharType="separate"/>
          </w:r>
          <w:r>
            <w:t>14</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_Toc506 </w:instrText>
          </w:r>
          <w:r>
            <w:rPr>
              <w:rFonts w:ascii="仿宋_GB2312" w:eastAsia="仿宋_GB2312"/>
              <w:szCs w:val="36"/>
              <w:highlight w:val="none"/>
            </w:rPr>
            <w:fldChar w:fldCharType="separate"/>
          </w:r>
          <w:r>
            <w:rPr>
              <w:rFonts w:hint="eastAsia"/>
              <w:highlight w:val="none"/>
            </w:rPr>
            <w:t>2.2工艺流程和产排污环节</w:t>
          </w:r>
          <w:r>
            <w:tab/>
          </w:r>
          <w:r>
            <w:fldChar w:fldCharType="begin"/>
          </w:r>
          <w:r>
            <w:instrText xml:space="preserve"> PAGEREF _Toc506 \h </w:instrText>
          </w:r>
          <w:r>
            <w:fldChar w:fldCharType="separate"/>
          </w:r>
          <w:r>
            <w:t>26</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_Toc25775 </w:instrText>
          </w:r>
          <w:r>
            <w:rPr>
              <w:rFonts w:ascii="仿宋_GB2312" w:eastAsia="仿宋_GB2312"/>
              <w:szCs w:val="36"/>
              <w:highlight w:val="none"/>
            </w:rPr>
            <w:fldChar w:fldCharType="separate"/>
          </w:r>
          <w:r>
            <w:rPr>
              <w:rFonts w:hint="eastAsia"/>
              <w:highlight w:val="none"/>
            </w:rPr>
            <w:t>2.3现有工程环境管理概况</w:t>
          </w:r>
          <w:r>
            <w:tab/>
          </w:r>
          <w:r>
            <w:fldChar w:fldCharType="begin"/>
          </w:r>
          <w:r>
            <w:instrText xml:space="preserve"> PAGEREF _Toc25775 \h </w:instrText>
          </w:r>
          <w:r>
            <w:fldChar w:fldCharType="separate"/>
          </w:r>
          <w:r>
            <w:t>40</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_Toc32497 </w:instrText>
          </w:r>
          <w:r>
            <w:rPr>
              <w:rFonts w:ascii="仿宋_GB2312" w:eastAsia="仿宋_GB2312"/>
              <w:szCs w:val="36"/>
              <w:highlight w:val="none"/>
            </w:rPr>
            <w:fldChar w:fldCharType="separate"/>
          </w:r>
          <w:r>
            <w:rPr>
              <w:rFonts w:hint="eastAsia" w:ascii="黑体" w:hAnsi="黑体" w:eastAsia="黑体"/>
              <w:snapToGrid w:val="0"/>
              <w:szCs w:val="30"/>
              <w:highlight w:val="none"/>
            </w:rPr>
            <w:t>三、区域环境质量现状、环境保护目标及评价标准</w:t>
          </w:r>
          <w:r>
            <w:tab/>
          </w:r>
          <w:r>
            <w:fldChar w:fldCharType="begin"/>
          </w:r>
          <w:r>
            <w:instrText xml:space="preserve"> PAGEREF _Toc32497 \h </w:instrText>
          </w:r>
          <w:r>
            <w:fldChar w:fldCharType="separate"/>
          </w:r>
          <w:r>
            <w:t>41</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_Toc23548 </w:instrText>
          </w:r>
          <w:r>
            <w:rPr>
              <w:rFonts w:ascii="仿宋_GB2312" w:eastAsia="仿宋_GB2312"/>
              <w:szCs w:val="36"/>
              <w:highlight w:val="none"/>
            </w:rPr>
            <w:fldChar w:fldCharType="separate"/>
          </w:r>
          <w:r>
            <w:rPr>
              <w:rFonts w:hint="eastAsia"/>
              <w:highlight w:val="none"/>
            </w:rPr>
            <w:t>3.</w:t>
          </w:r>
          <w:r>
            <w:rPr>
              <w:highlight w:val="none"/>
            </w:rPr>
            <w:t>1</w:t>
          </w:r>
          <w:r>
            <w:rPr>
              <w:rFonts w:hint="eastAsia"/>
              <w:highlight w:val="none"/>
            </w:rPr>
            <w:t>区域环境质量现状</w:t>
          </w:r>
          <w:r>
            <w:tab/>
          </w:r>
          <w:r>
            <w:fldChar w:fldCharType="begin"/>
          </w:r>
          <w:r>
            <w:instrText xml:space="preserve"> PAGEREF _Toc23548 \h </w:instrText>
          </w:r>
          <w:r>
            <w:fldChar w:fldCharType="separate"/>
          </w:r>
          <w:r>
            <w:t>41</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_Toc10395 </w:instrText>
          </w:r>
          <w:r>
            <w:rPr>
              <w:rFonts w:ascii="仿宋_GB2312" w:eastAsia="仿宋_GB2312"/>
              <w:szCs w:val="36"/>
              <w:highlight w:val="none"/>
            </w:rPr>
            <w:fldChar w:fldCharType="separate"/>
          </w:r>
          <w:r>
            <w:rPr>
              <w:rFonts w:hint="eastAsia"/>
              <w:highlight w:val="none"/>
            </w:rPr>
            <w:t>3.2环境保护目标</w:t>
          </w:r>
          <w:r>
            <w:tab/>
          </w:r>
          <w:r>
            <w:fldChar w:fldCharType="begin"/>
          </w:r>
          <w:r>
            <w:instrText xml:space="preserve"> PAGEREF _Toc10395 \h </w:instrText>
          </w:r>
          <w:r>
            <w:fldChar w:fldCharType="separate"/>
          </w:r>
          <w:r>
            <w:t>46</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_Toc8685 </w:instrText>
          </w:r>
          <w:r>
            <w:rPr>
              <w:rFonts w:ascii="仿宋_GB2312" w:eastAsia="仿宋_GB2312"/>
              <w:szCs w:val="36"/>
              <w:highlight w:val="none"/>
            </w:rPr>
            <w:fldChar w:fldCharType="separate"/>
          </w:r>
          <w:r>
            <w:rPr>
              <w:rFonts w:hint="eastAsia"/>
              <w:highlight w:val="none"/>
            </w:rPr>
            <w:t>3.3污染物排放控制标准</w:t>
          </w:r>
          <w:r>
            <w:tab/>
          </w:r>
          <w:r>
            <w:fldChar w:fldCharType="begin"/>
          </w:r>
          <w:r>
            <w:instrText xml:space="preserve"> PAGEREF _Toc8685 \h </w:instrText>
          </w:r>
          <w:r>
            <w:fldChar w:fldCharType="separate"/>
          </w:r>
          <w:r>
            <w:t>47</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_Toc14613 </w:instrText>
          </w:r>
          <w:r>
            <w:rPr>
              <w:rFonts w:ascii="仿宋_GB2312" w:eastAsia="仿宋_GB2312"/>
              <w:szCs w:val="36"/>
              <w:highlight w:val="none"/>
            </w:rPr>
            <w:fldChar w:fldCharType="separate"/>
          </w:r>
          <w:r>
            <w:rPr>
              <w:rFonts w:hint="eastAsia" w:ascii="黑体" w:hAnsi="黑体" w:eastAsia="黑体"/>
              <w:snapToGrid w:val="0"/>
              <w:szCs w:val="30"/>
              <w:highlight w:val="none"/>
            </w:rPr>
            <w:t>四、主要环境影响和保护措施</w:t>
          </w:r>
          <w:r>
            <w:tab/>
          </w:r>
          <w:r>
            <w:fldChar w:fldCharType="begin"/>
          </w:r>
          <w:r>
            <w:instrText xml:space="preserve"> PAGEREF _Toc14613 \h </w:instrText>
          </w:r>
          <w:r>
            <w:fldChar w:fldCharType="separate"/>
          </w:r>
          <w:r>
            <w:t>50</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_Toc18482 </w:instrText>
          </w:r>
          <w:r>
            <w:rPr>
              <w:rFonts w:ascii="仿宋_GB2312" w:eastAsia="仿宋_GB2312"/>
              <w:szCs w:val="36"/>
              <w:highlight w:val="none"/>
            </w:rPr>
            <w:fldChar w:fldCharType="separate"/>
          </w:r>
          <w:r>
            <w:rPr>
              <w:rFonts w:hint="eastAsia"/>
              <w:highlight w:val="none"/>
            </w:rPr>
            <w:t>4</w:t>
          </w:r>
          <w:r>
            <w:rPr>
              <w:highlight w:val="none"/>
            </w:rPr>
            <w:t>.1施工期环境保护措施</w:t>
          </w:r>
          <w:r>
            <w:tab/>
          </w:r>
          <w:r>
            <w:fldChar w:fldCharType="begin"/>
          </w:r>
          <w:r>
            <w:instrText xml:space="preserve"> PAGEREF _Toc18482 \h </w:instrText>
          </w:r>
          <w:r>
            <w:fldChar w:fldCharType="separate"/>
          </w:r>
          <w:r>
            <w:t>50</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_Toc17232 </w:instrText>
          </w:r>
          <w:r>
            <w:rPr>
              <w:rFonts w:ascii="仿宋_GB2312" w:eastAsia="仿宋_GB2312"/>
              <w:szCs w:val="36"/>
              <w:highlight w:val="none"/>
            </w:rPr>
            <w:fldChar w:fldCharType="separate"/>
          </w:r>
          <w:r>
            <w:rPr>
              <w:highlight w:val="none"/>
            </w:rPr>
            <w:t>4.</w:t>
          </w:r>
          <w:r>
            <w:rPr>
              <w:rFonts w:hint="eastAsia"/>
              <w:highlight w:val="none"/>
            </w:rPr>
            <w:t>2运营期环境影响分析和</w:t>
          </w:r>
          <w:r>
            <w:rPr>
              <w:highlight w:val="none"/>
            </w:rPr>
            <w:t>保护措施</w:t>
          </w:r>
          <w:r>
            <w:tab/>
          </w:r>
          <w:r>
            <w:fldChar w:fldCharType="begin"/>
          </w:r>
          <w:r>
            <w:instrText xml:space="preserve"> PAGEREF _Toc17232 \h </w:instrText>
          </w:r>
          <w:r>
            <w:fldChar w:fldCharType="separate"/>
          </w:r>
          <w:r>
            <w:t>53</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_Toc9737 </w:instrText>
          </w:r>
          <w:r>
            <w:rPr>
              <w:rFonts w:ascii="仿宋_GB2312" w:eastAsia="仿宋_GB2312"/>
              <w:szCs w:val="36"/>
              <w:highlight w:val="none"/>
            </w:rPr>
            <w:fldChar w:fldCharType="separate"/>
          </w:r>
          <w:r>
            <w:rPr>
              <w:highlight w:val="none"/>
            </w:rPr>
            <w:t>4.3</w:t>
          </w:r>
          <w:r>
            <w:rPr>
              <w:rFonts w:hint="eastAsia"/>
              <w:highlight w:val="none"/>
            </w:rPr>
            <w:t>环境管理和监测计划</w:t>
          </w:r>
          <w:r>
            <w:tab/>
          </w:r>
          <w:r>
            <w:fldChar w:fldCharType="begin"/>
          </w:r>
          <w:r>
            <w:instrText xml:space="preserve"> PAGEREF _Toc9737 \h </w:instrText>
          </w:r>
          <w:r>
            <w:fldChar w:fldCharType="separate"/>
          </w:r>
          <w:r>
            <w:t>65</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_Toc22871 </w:instrText>
          </w:r>
          <w:r>
            <w:rPr>
              <w:rFonts w:ascii="仿宋_GB2312" w:eastAsia="仿宋_GB2312"/>
              <w:szCs w:val="36"/>
              <w:highlight w:val="none"/>
            </w:rPr>
            <w:fldChar w:fldCharType="separate"/>
          </w:r>
          <w:r>
            <w:rPr>
              <w:highlight w:val="none"/>
            </w:rPr>
            <w:t>4.</w:t>
          </w:r>
          <w:r>
            <w:rPr>
              <w:rFonts w:hint="eastAsia"/>
              <w:highlight w:val="none"/>
            </w:rPr>
            <w:t>4建设项目“三同时”验收</w:t>
          </w:r>
          <w:r>
            <w:tab/>
          </w:r>
          <w:r>
            <w:fldChar w:fldCharType="begin"/>
          </w:r>
          <w:r>
            <w:instrText xml:space="preserve"> PAGEREF _Toc22871 \h </w:instrText>
          </w:r>
          <w:r>
            <w:fldChar w:fldCharType="separate"/>
          </w:r>
          <w:r>
            <w:t>67</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_Toc26097 </w:instrText>
          </w:r>
          <w:r>
            <w:rPr>
              <w:rFonts w:ascii="仿宋_GB2312" w:eastAsia="仿宋_GB2312"/>
              <w:szCs w:val="36"/>
              <w:highlight w:val="none"/>
            </w:rPr>
            <w:fldChar w:fldCharType="separate"/>
          </w:r>
          <w:r>
            <w:rPr>
              <w:highlight w:val="none"/>
            </w:rPr>
            <w:t>4.5</w:t>
          </w:r>
          <w:r>
            <w:rPr>
              <w:rFonts w:hint="eastAsia"/>
              <w:highlight w:val="none"/>
            </w:rPr>
            <w:t>环保投资</w:t>
          </w:r>
          <w:r>
            <w:tab/>
          </w:r>
          <w:r>
            <w:fldChar w:fldCharType="begin"/>
          </w:r>
          <w:r>
            <w:instrText xml:space="preserve"> PAGEREF _Toc26097 \h </w:instrText>
          </w:r>
          <w:r>
            <w:fldChar w:fldCharType="separate"/>
          </w:r>
          <w:r>
            <w:t>68</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_Toc25032 </w:instrText>
          </w:r>
          <w:r>
            <w:rPr>
              <w:rFonts w:ascii="仿宋_GB2312" w:eastAsia="仿宋_GB2312"/>
              <w:szCs w:val="36"/>
              <w:highlight w:val="none"/>
            </w:rPr>
            <w:fldChar w:fldCharType="separate"/>
          </w:r>
          <w:r>
            <w:rPr>
              <w:rFonts w:hint="eastAsia" w:ascii="黑体" w:hAnsi="黑体" w:eastAsia="黑体"/>
              <w:snapToGrid w:val="0"/>
              <w:szCs w:val="30"/>
              <w:highlight w:val="none"/>
            </w:rPr>
            <w:t>五、环境保护措施监督检查清单</w:t>
          </w:r>
          <w:r>
            <w:tab/>
          </w:r>
          <w:r>
            <w:fldChar w:fldCharType="begin"/>
          </w:r>
          <w:r>
            <w:instrText xml:space="preserve"> PAGEREF _Toc25032 \h </w:instrText>
          </w:r>
          <w:r>
            <w:fldChar w:fldCharType="separate"/>
          </w:r>
          <w:r>
            <w:t>69</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_Toc2498 </w:instrText>
          </w:r>
          <w:r>
            <w:rPr>
              <w:rFonts w:ascii="仿宋_GB2312" w:eastAsia="仿宋_GB2312"/>
              <w:szCs w:val="36"/>
              <w:highlight w:val="none"/>
            </w:rPr>
            <w:fldChar w:fldCharType="separate"/>
          </w:r>
          <w:r>
            <w:rPr>
              <w:rFonts w:hint="eastAsia" w:ascii="黑体" w:hAnsi="黑体" w:eastAsia="黑体"/>
              <w:snapToGrid w:val="0"/>
              <w:szCs w:val="30"/>
              <w:highlight w:val="none"/>
            </w:rPr>
            <w:t>六、结论</w:t>
          </w:r>
          <w:r>
            <w:tab/>
          </w:r>
          <w:r>
            <w:fldChar w:fldCharType="begin"/>
          </w:r>
          <w:r>
            <w:instrText xml:space="preserve"> PAGEREF _Toc2498 \h </w:instrText>
          </w:r>
          <w:r>
            <w:fldChar w:fldCharType="separate"/>
          </w:r>
          <w:r>
            <w:t>70</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_Toc32259 </w:instrText>
          </w:r>
          <w:r>
            <w:rPr>
              <w:rFonts w:ascii="仿宋_GB2312" w:eastAsia="仿宋_GB2312"/>
              <w:szCs w:val="36"/>
              <w:highlight w:val="none"/>
            </w:rPr>
            <w:fldChar w:fldCharType="separate"/>
          </w:r>
          <w:r>
            <w:rPr>
              <w:rFonts w:hint="eastAsia"/>
              <w:highlight w:val="none"/>
            </w:rPr>
            <w:t>附表</w:t>
          </w:r>
          <w:r>
            <w:tab/>
          </w:r>
          <w:r>
            <w:fldChar w:fldCharType="begin"/>
          </w:r>
          <w:r>
            <w:instrText xml:space="preserve"> PAGEREF _Toc32259 \h </w:instrText>
          </w:r>
          <w:r>
            <w:fldChar w:fldCharType="separate"/>
          </w:r>
          <w:r>
            <w:t>71</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_Toc24736 </w:instrText>
          </w:r>
          <w:r>
            <w:rPr>
              <w:rFonts w:ascii="仿宋_GB2312" w:eastAsia="仿宋_GB2312"/>
              <w:szCs w:val="36"/>
              <w:highlight w:val="none"/>
            </w:rPr>
            <w:fldChar w:fldCharType="separate"/>
          </w:r>
          <w:r>
            <w:rPr>
              <w:rFonts w:hint="eastAsia"/>
              <w:highlight w:val="none"/>
            </w:rPr>
            <w:t>建设项目污染物排放量汇总表</w:t>
          </w:r>
          <w:r>
            <w:tab/>
          </w:r>
          <w:r>
            <w:fldChar w:fldCharType="begin"/>
          </w:r>
          <w:r>
            <w:instrText xml:space="preserve"> PAGEREF _Toc24736 \h </w:instrText>
          </w:r>
          <w:r>
            <w:fldChar w:fldCharType="separate"/>
          </w:r>
          <w:r>
            <w:t>71</w:t>
          </w:r>
          <w:r>
            <w:fldChar w:fldCharType="end"/>
          </w:r>
          <w:r>
            <w:rPr>
              <w:rFonts w:ascii="仿宋_GB2312" w:eastAsia="仿宋_GB2312"/>
              <w:color w:val="auto"/>
              <w:szCs w:val="36"/>
              <w:highlight w:val="none"/>
            </w:rPr>
            <w:fldChar w:fldCharType="end"/>
          </w:r>
        </w:p>
        <w:p>
          <w:pPr>
            <w:pStyle w:val="6"/>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_Toc11996 </w:instrText>
          </w:r>
          <w:r>
            <w:rPr>
              <w:rFonts w:ascii="仿宋_GB2312" w:eastAsia="仿宋_GB2312"/>
              <w:szCs w:val="36"/>
              <w:highlight w:val="none"/>
            </w:rPr>
            <w:fldChar w:fldCharType="separate"/>
          </w:r>
          <w:r>
            <w:rPr>
              <w:rFonts w:hint="eastAsia"/>
              <w:highlight w:val="none"/>
            </w:rPr>
            <w:t>附件</w:t>
          </w:r>
          <w:r>
            <w:tab/>
          </w:r>
          <w:r>
            <w:fldChar w:fldCharType="begin"/>
          </w:r>
          <w:r>
            <w:instrText xml:space="preserve"> PAGEREF _Toc11996 \h </w:instrText>
          </w:r>
          <w:r>
            <w:fldChar w:fldCharType="separate"/>
          </w:r>
          <w:r>
            <w:t>72</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_Toc1378 </w:instrText>
          </w:r>
          <w:r>
            <w:rPr>
              <w:rFonts w:ascii="仿宋_GB2312" w:eastAsia="仿宋_GB2312"/>
              <w:szCs w:val="36"/>
              <w:highlight w:val="none"/>
            </w:rPr>
            <w:fldChar w:fldCharType="separate"/>
          </w:r>
          <w:r>
            <w:rPr>
              <w:rFonts w:hint="eastAsia"/>
              <w:highlight w:val="none"/>
            </w:rPr>
            <w:t>附件6信息不宜公开说明</w:t>
          </w:r>
          <w:r>
            <w:tab/>
          </w:r>
          <w:r>
            <w:fldChar w:fldCharType="begin"/>
          </w:r>
          <w:r>
            <w:instrText xml:space="preserve"> PAGEREF _Toc1378 \h </w:instrText>
          </w:r>
          <w:r>
            <w:fldChar w:fldCharType="separate"/>
          </w:r>
          <w:r>
            <w:t>72</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_Toc5074 </w:instrText>
          </w:r>
          <w:r>
            <w:rPr>
              <w:rFonts w:ascii="仿宋_GB2312" w:eastAsia="仿宋_GB2312"/>
              <w:szCs w:val="36"/>
              <w:highlight w:val="none"/>
            </w:rPr>
            <w:fldChar w:fldCharType="separate"/>
          </w:r>
          <w:r>
            <w:rPr>
              <w:rFonts w:hint="eastAsia"/>
              <w:highlight w:val="none"/>
            </w:rPr>
            <w:t>附件7环评申请报告</w:t>
          </w:r>
          <w:r>
            <w:tab/>
          </w:r>
          <w:r>
            <w:fldChar w:fldCharType="begin"/>
          </w:r>
          <w:r>
            <w:instrText xml:space="preserve"> PAGEREF _Toc5074 \h </w:instrText>
          </w:r>
          <w:r>
            <w:fldChar w:fldCharType="separate"/>
          </w:r>
          <w:r>
            <w:t>73</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_Toc29033 </w:instrText>
          </w:r>
          <w:r>
            <w:rPr>
              <w:rFonts w:ascii="仿宋_GB2312" w:eastAsia="仿宋_GB2312"/>
              <w:szCs w:val="36"/>
              <w:highlight w:val="none"/>
            </w:rPr>
            <w:fldChar w:fldCharType="separate"/>
          </w:r>
          <w:r>
            <w:rPr>
              <w:rFonts w:hint="eastAsia"/>
              <w:highlight w:val="none"/>
            </w:rPr>
            <w:t>附件8公开建设项目说明报告</w:t>
          </w:r>
          <w:r>
            <w:tab/>
          </w:r>
          <w:r>
            <w:fldChar w:fldCharType="begin"/>
          </w:r>
          <w:r>
            <w:instrText xml:space="preserve"> PAGEREF _Toc29033 \h </w:instrText>
          </w:r>
          <w:r>
            <w:fldChar w:fldCharType="separate"/>
          </w:r>
          <w:r>
            <w:t>74</w:t>
          </w:r>
          <w:r>
            <w:fldChar w:fldCharType="end"/>
          </w:r>
          <w:r>
            <w:rPr>
              <w:rFonts w:ascii="仿宋_GB2312" w:eastAsia="仿宋_GB2312"/>
              <w:color w:val="auto"/>
              <w:szCs w:val="36"/>
              <w:highlight w:val="none"/>
            </w:rPr>
            <w:fldChar w:fldCharType="end"/>
          </w:r>
        </w:p>
        <w:p>
          <w:pPr>
            <w:pStyle w:val="13"/>
            <w:tabs>
              <w:tab w:val="right" w:leader="dot" w:pos="8844"/>
            </w:tabs>
          </w:pPr>
          <w:r>
            <w:rPr>
              <w:rFonts w:ascii="仿宋_GB2312" w:eastAsia="仿宋_GB2312"/>
              <w:color w:val="auto"/>
              <w:szCs w:val="36"/>
              <w:highlight w:val="none"/>
            </w:rPr>
            <w:fldChar w:fldCharType="begin"/>
          </w:r>
          <w:r>
            <w:rPr>
              <w:rFonts w:ascii="仿宋_GB2312" w:eastAsia="仿宋_GB2312"/>
              <w:szCs w:val="36"/>
              <w:highlight w:val="none"/>
            </w:rPr>
            <w:instrText xml:space="preserve"> HYPERLINK \l _Toc16671 </w:instrText>
          </w:r>
          <w:r>
            <w:rPr>
              <w:rFonts w:ascii="仿宋_GB2312" w:eastAsia="仿宋_GB2312"/>
              <w:szCs w:val="36"/>
              <w:highlight w:val="none"/>
            </w:rPr>
            <w:fldChar w:fldCharType="separate"/>
          </w:r>
          <w:r>
            <w:rPr>
              <w:rFonts w:hint="eastAsia"/>
              <w:highlight w:val="none"/>
            </w:rPr>
            <w:t>附件9备案表</w:t>
          </w:r>
          <w:r>
            <w:tab/>
          </w:r>
          <w:r>
            <w:fldChar w:fldCharType="begin"/>
          </w:r>
          <w:r>
            <w:instrText xml:space="preserve"> PAGEREF _Toc16671 \h </w:instrText>
          </w:r>
          <w:r>
            <w:fldChar w:fldCharType="separate"/>
          </w:r>
          <w:r>
            <w:t>76</w:t>
          </w:r>
          <w:r>
            <w:fldChar w:fldCharType="end"/>
          </w:r>
          <w:r>
            <w:rPr>
              <w:rFonts w:ascii="仿宋_GB2312" w:eastAsia="仿宋_GB2312"/>
              <w:color w:val="auto"/>
              <w:szCs w:val="36"/>
              <w:highlight w:val="none"/>
            </w:rPr>
            <w:fldChar w:fldCharType="end"/>
          </w:r>
        </w:p>
        <w:p>
          <w:pPr>
            <w:adjustRightInd w:val="0"/>
            <w:snapToGrid w:val="0"/>
            <w:spacing w:line="288" w:lineRule="auto"/>
            <w:ind w:firstLine="1040"/>
            <w:rPr>
              <w:rFonts w:ascii="仿宋_GB2312" w:eastAsia="仿宋_GB2312"/>
              <w:color w:val="auto"/>
              <w:szCs w:val="36"/>
              <w:highlight w:val="none"/>
            </w:rPr>
          </w:pPr>
          <w:r>
            <w:rPr>
              <w:rFonts w:ascii="仿宋_GB2312" w:eastAsia="仿宋_GB2312"/>
              <w:color w:val="auto"/>
              <w:szCs w:val="36"/>
              <w:highlight w:val="none"/>
            </w:rPr>
            <w:fldChar w:fldCharType="end"/>
          </w:r>
        </w:p>
      </w:sdtContent>
    </w:sdt>
    <w:p>
      <w:pPr>
        <w:adjustRightInd w:val="0"/>
        <w:snapToGrid w:val="0"/>
        <w:spacing w:line="288" w:lineRule="auto"/>
        <w:ind w:firstLine="1040"/>
        <w:rPr>
          <w:rFonts w:ascii="仿宋_GB2312" w:eastAsia="仿宋_GB2312"/>
          <w:color w:val="auto"/>
          <w:szCs w:val="36"/>
          <w:highlight w:val="none"/>
        </w:rPr>
        <w:sectPr>
          <w:pgSz w:w="11906" w:h="16838"/>
          <w:pgMar w:top="1701" w:right="1531" w:bottom="1701" w:left="1531" w:header="851" w:footer="1077" w:gutter="0"/>
          <w:pgNumType w:start="3"/>
          <w:cols w:space="720" w:num="1"/>
          <w:docGrid w:linePitch="312" w:charSpace="0"/>
        </w:sectPr>
      </w:pPr>
    </w:p>
    <w:p>
      <w:pPr>
        <w:pStyle w:val="14"/>
        <w:ind w:firstLine="600" w:firstLineChars="200"/>
        <w:jc w:val="center"/>
        <w:outlineLvl w:val="0"/>
        <w:rPr>
          <w:rFonts w:ascii="黑体" w:hAnsi="黑体" w:eastAsia="黑体"/>
          <w:snapToGrid w:val="0"/>
          <w:color w:val="auto"/>
          <w:sz w:val="30"/>
          <w:szCs w:val="30"/>
          <w:highlight w:val="none"/>
        </w:rPr>
      </w:pPr>
      <w:bookmarkStart w:id="0" w:name="_Toc6727"/>
      <w:bookmarkStart w:id="1" w:name="_Toc20669"/>
      <w:r>
        <w:rPr>
          <w:rFonts w:hint="eastAsia" w:ascii="黑体" w:hAnsi="黑体" w:eastAsia="黑体"/>
          <w:snapToGrid w:val="0"/>
          <w:color w:val="auto"/>
          <w:sz w:val="30"/>
          <w:szCs w:val="30"/>
          <w:highlight w:val="none"/>
        </w:rPr>
        <w:t>一、建设项目基本情况</w:t>
      </w:r>
      <w:bookmarkEnd w:id="0"/>
      <w:bookmarkEnd w:id="1"/>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7"/>
        <w:gridCol w:w="2462"/>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建设项目名称</w:t>
            </w:r>
          </w:p>
        </w:tc>
        <w:tc>
          <w:tcPr>
            <w:tcW w:w="7313" w:type="dxa"/>
            <w:gridSpan w:val="3"/>
            <w:vAlign w:val="center"/>
          </w:tcPr>
          <w:p>
            <w:pPr>
              <w:pStyle w:val="34"/>
              <w:rPr>
                <w:color w:val="auto"/>
                <w:sz w:val="24"/>
                <w:szCs w:val="24"/>
                <w:highlight w:val="none"/>
              </w:rPr>
            </w:pPr>
            <w:r>
              <w:rPr>
                <w:rFonts w:hint="eastAsia"/>
                <w:color w:val="auto"/>
                <w:sz w:val="24"/>
                <w:szCs w:val="24"/>
                <w:highlight w:val="none"/>
              </w:rPr>
              <w:t>福清核电厂区雨废分离项目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项目代码</w:t>
            </w:r>
          </w:p>
        </w:tc>
        <w:tc>
          <w:tcPr>
            <w:tcW w:w="7313" w:type="dxa"/>
            <w:gridSpan w:val="3"/>
            <w:vAlign w:val="center"/>
          </w:tcPr>
          <w:p>
            <w:pPr>
              <w:pStyle w:val="34"/>
              <w:rPr>
                <w:color w:val="auto"/>
                <w:sz w:val="24"/>
                <w:szCs w:val="24"/>
                <w:highlight w:val="none"/>
              </w:rPr>
            </w:pPr>
            <w:r>
              <w:rPr>
                <w:rFonts w:hint="eastAsia"/>
                <w:color w:val="auto"/>
                <w:sz w:val="24"/>
                <w:szCs w:val="24"/>
                <w:highlight w:val="none"/>
              </w:rPr>
              <w:t>2508-350181-04-01-863187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建设单位联系人</w:t>
            </w:r>
          </w:p>
        </w:tc>
        <w:tc>
          <w:tcPr>
            <w:tcW w:w="2462" w:type="dxa"/>
            <w:vAlign w:val="center"/>
          </w:tcPr>
          <w:p>
            <w:pPr>
              <w:pStyle w:val="34"/>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2212" w:type="dxa"/>
            <w:vAlign w:val="center"/>
          </w:tcPr>
          <w:p>
            <w:pPr>
              <w:pStyle w:val="34"/>
              <w:rPr>
                <w:color w:val="auto"/>
                <w:sz w:val="24"/>
                <w:szCs w:val="24"/>
                <w:highlight w:val="none"/>
              </w:rPr>
            </w:pPr>
            <w:r>
              <w:rPr>
                <w:rFonts w:hint="eastAsia"/>
                <w:color w:val="auto"/>
                <w:sz w:val="24"/>
                <w:szCs w:val="24"/>
                <w:highlight w:val="none"/>
              </w:rPr>
              <w:t>联系方式</w:t>
            </w:r>
          </w:p>
        </w:tc>
        <w:tc>
          <w:tcPr>
            <w:tcW w:w="2639" w:type="dxa"/>
            <w:vAlign w:val="center"/>
          </w:tcPr>
          <w:p>
            <w:pPr>
              <w:pStyle w:val="34"/>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建设地点</w:t>
            </w:r>
          </w:p>
        </w:tc>
        <w:tc>
          <w:tcPr>
            <w:tcW w:w="7313" w:type="dxa"/>
            <w:gridSpan w:val="3"/>
            <w:vAlign w:val="center"/>
          </w:tcPr>
          <w:p>
            <w:pPr>
              <w:pStyle w:val="34"/>
              <w:rPr>
                <w:rFonts w:hint="default" w:eastAsia="宋体"/>
                <w:color w:val="auto"/>
                <w:sz w:val="24"/>
                <w:szCs w:val="24"/>
                <w:highlight w:val="none"/>
                <w:lang w:val="en-US" w:eastAsia="zh-CN"/>
              </w:rPr>
            </w:pPr>
            <w:r>
              <w:rPr>
                <w:rFonts w:hint="eastAsia"/>
                <w:color w:val="auto"/>
                <w:sz w:val="24"/>
                <w:szCs w:val="24"/>
                <w:highlight w:val="none"/>
              </w:rPr>
              <w:t>福建省（自治区）福清市县（区）</w:t>
            </w: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地理坐标</w:t>
            </w:r>
          </w:p>
        </w:tc>
        <w:tc>
          <w:tcPr>
            <w:tcW w:w="7313" w:type="dxa"/>
            <w:gridSpan w:val="3"/>
            <w:vAlign w:val="center"/>
          </w:tcPr>
          <w:p>
            <w:pPr>
              <w:pStyle w:val="34"/>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国民经济</w:t>
            </w:r>
          </w:p>
          <w:p>
            <w:pPr>
              <w:pStyle w:val="34"/>
              <w:rPr>
                <w:color w:val="auto"/>
                <w:highlight w:val="none"/>
              </w:rPr>
            </w:pPr>
            <w:r>
              <w:rPr>
                <w:rFonts w:hint="eastAsia"/>
                <w:color w:val="auto"/>
                <w:highlight w:val="none"/>
              </w:rPr>
              <w:t>行业类别</w:t>
            </w:r>
          </w:p>
        </w:tc>
        <w:tc>
          <w:tcPr>
            <w:tcW w:w="2462" w:type="dxa"/>
            <w:vAlign w:val="center"/>
          </w:tcPr>
          <w:p>
            <w:pPr>
              <w:pStyle w:val="34"/>
              <w:rPr>
                <w:color w:val="auto"/>
                <w:sz w:val="24"/>
                <w:szCs w:val="24"/>
                <w:highlight w:val="none"/>
              </w:rPr>
            </w:pPr>
            <w:r>
              <w:rPr>
                <w:color w:val="auto"/>
                <w:sz w:val="24"/>
                <w:szCs w:val="24"/>
                <w:highlight w:val="none"/>
              </w:rPr>
              <w:t>D4620污水处理及其再生利用</w:t>
            </w:r>
          </w:p>
        </w:tc>
        <w:tc>
          <w:tcPr>
            <w:tcW w:w="2212" w:type="dxa"/>
            <w:vAlign w:val="center"/>
          </w:tcPr>
          <w:p>
            <w:pPr>
              <w:pStyle w:val="34"/>
              <w:rPr>
                <w:color w:val="auto"/>
                <w:sz w:val="24"/>
                <w:szCs w:val="24"/>
                <w:highlight w:val="none"/>
              </w:rPr>
            </w:pPr>
            <w:bookmarkStart w:id="2" w:name="_Hlk49843745"/>
            <w:r>
              <w:rPr>
                <w:rFonts w:hint="eastAsia"/>
                <w:color w:val="auto"/>
                <w:sz w:val="24"/>
                <w:szCs w:val="24"/>
                <w:highlight w:val="none"/>
              </w:rPr>
              <w:t>建设项目</w:t>
            </w:r>
          </w:p>
          <w:p>
            <w:pPr>
              <w:pStyle w:val="34"/>
              <w:rPr>
                <w:color w:val="auto"/>
                <w:sz w:val="24"/>
                <w:szCs w:val="24"/>
                <w:highlight w:val="none"/>
              </w:rPr>
            </w:pPr>
            <w:r>
              <w:rPr>
                <w:rFonts w:hint="eastAsia"/>
                <w:color w:val="auto"/>
                <w:sz w:val="24"/>
                <w:szCs w:val="24"/>
                <w:highlight w:val="none"/>
              </w:rPr>
              <w:t>行业类别</w:t>
            </w:r>
            <w:bookmarkEnd w:id="2"/>
          </w:p>
        </w:tc>
        <w:tc>
          <w:tcPr>
            <w:tcW w:w="2639" w:type="dxa"/>
            <w:vAlign w:val="center"/>
          </w:tcPr>
          <w:p>
            <w:pPr>
              <w:pStyle w:val="34"/>
              <w:rPr>
                <w:color w:val="auto"/>
                <w:sz w:val="24"/>
                <w:szCs w:val="24"/>
                <w:highlight w:val="none"/>
              </w:rPr>
            </w:pPr>
            <w:r>
              <w:rPr>
                <w:color w:val="auto"/>
                <w:sz w:val="24"/>
                <w:szCs w:val="24"/>
                <w:highlight w:val="none"/>
              </w:rPr>
              <w:t>95污水处理及其再生利用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建设性质</w:t>
            </w:r>
          </w:p>
        </w:tc>
        <w:tc>
          <w:tcPr>
            <w:tcW w:w="2462" w:type="dxa"/>
            <w:vAlign w:val="center"/>
          </w:tcPr>
          <w:p>
            <w:pPr>
              <w:rPr>
                <w:color w:val="auto"/>
                <w:sz w:val="22"/>
                <w:szCs w:val="28"/>
                <w:highlight w:val="none"/>
              </w:rPr>
            </w:pPr>
            <w:r>
              <w:rPr>
                <w:rFonts w:hint="eastAsia"/>
                <w:color w:val="auto"/>
                <w:sz w:val="22"/>
                <w:szCs w:val="28"/>
                <w:highlight w:val="none"/>
              </w:rPr>
              <w:t>□新建（迁建）</w:t>
            </w:r>
          </w:p>
          <w:p>
            <w:pPr>
              <w:rPr>
                <w:color w:val="auto"/>
                <w:sz w:val="22"/>
                <w:szCs w:val="28"/>
                <w:highlight w:val="none"/>
              </w:rPr>
            </w:pPr>
            <w:r>
              <w:rPr>
                <w:rFonts w:hint="eastAsia"/>
                <w:color w:val="auto"/>
                <w:sz w:val="22"/>
                <w:szCs w:val="28"/>
                <w:highlight w:val="none"/>
              </w:rPr>
              <w:t>☑改建</w:t>
            </w:r>
          </w:p>
          <w:p>
            <w:pPr>
              <w:rPr>
                <w:color w:val="auto"/>
                <w:sz w:val="22"/>
                <w:szCs w:val="28"/>
                <w:highlight w:val="none"/>
              </w:rPr>
            </w:pPr>
            <w:r>
              <w:rPr>
                <w:rFonts w:hint="eastAsia"/>
                <w:color w:val="auto"/>
                <w:sz w:val="22"/>
                <w:szCs w:val="28"/>
                <w:highlight w:val="none"/>
              </w:rPr>
              <w:t>□扩建</w:t>
            </w:r>
          </w:p>
          <w:p>
            <w:pPr>
              <w:rPr>
                <w:color w:val="auto"/>
                <w:sz w:val="22"/>
                <w:szCs w:val="28"/>
                <w:highlight w:val="none"/>
              </w:rPr>
            </w:pPr>
            <w:r>
              <w:rPr>
                <w:rFonts w:hint="eastAsia"/>
                <w:color w:val="auto"/>
                <w:sz w:val="22"/>
                <w:szCs w:val="28"/>
                <w:highlight w:val="none"/>
              </w:rPr>
              <w:t>□技术改造</w:t>
            </w:r>
          </w:p>
        </w:tc>
        <w:tc>
          <w:tcPr>
            <w:tcW w:w="2212" w:type="dxa"/>
            <w:vAlign w:val="center"/>
          </w:tcPr>
          <w:p>
            <w:pPr>
              <w:pStyle w:val="34"/>
              <w:rPr>
                <w:color w:val="auto"/>
                <w:sz w:val="28"/>
                <w:szCs w:val="28"/>
                <w:highlight w:val="none"/>
              </w:rPr>
            </w:pPr>
            <w:r>
              <w:rPr>
                <w:rFonts w:hint="eastAsia"/>
                <w:color w:val="auto"/>
                <w:sz w:val="28"/>
                <w:szCs w:val="28"/>
                <w:highlight w:val="none"/>
              </w:rPr>
              <w:t>建设项目</w:t>
            </w:r>
          </w:p>
          <w:p>
            <w:pPr>
              <w:pStyle w:val="34"/>
              <w:rPr>
                <w:color w:val="auto"/>
                <w:sz w:val="28"/>
                <w:szCs w:val="28"/>
                <w:highlight w:val="none"/>
              </w:rPr>
            </w:pPr>
            <w:r>
              <w:rPr>
                <w:rFonts w:hint="eastAsia"/>
                <w:color w:val="auto"/>
                <w:sz w:val="28"/>
                <w:szCs w:val="28"/>
                <w:highlight w:val="none"/>
              </w:rPr>
              <w:t>申报情形</w:t>
            </w:r>
          </w:p>
        </w:tc>
        <w:tc>
          <w:tcPr>
            <w:tcW w:w="2639" w:type="dxa"/>
            <w:vAlign w:val="center"/>
          </w:tcPr>
          <w:p>
            <w:pPr>
              <w:rPr>
                <w:color w:val="auto"/>
                <w:sz w:val="22"/>
                <w:szCs w:val="28"/>
                <w:highlight w:val="none"/>
              </w:rPr>
            </w:pPr>
            <w:r>
              <w:rPr>
                <w:rFonts w:hint="eastAsia"/>
                <w:color w:val="auto"/>
                <w:sz w:val="22"/>
                <w:szCs w:val="28"/>
                <w:highlight w:val="none"/>
              </w:rPr>
              <w:sym w:font="Wingdings 2" w:char="0052"/>
            </w:r>
            <w:r>
              <w:rPr>
                <w:rFonts w:hint="eastAsia"/>
                <w:color w:val="auto"/>
                <w:sz w:val="22"/>
                <w:szCs w:val="28"/>
                <w:highlight w:val="none"/>
              </w:rPr>
              <w:t>首次申报项目</w:t>
            </w:r>
          </w:p>
          <w:p>
            <w:pPr>
              <w:rPr>
                <w:color w:val="auto"/>
                <w:sz w:val="22"/>
                <w:szCs w:val="28"/>
                <w:highlight w:val="none"/>
              </w:rPr>
            </w:pPr>
            <w:r>
              <w:rPr>
                <w:rFonts w:hint="eastAsia"/>
                <w:color w:val="auto"/>
                <w:sz w:val="22"/>
                <w:szCs w:val="28"/>
                <w:highlight w:val="none"/>
              </w:rPr>
              <w:t>□不予批准后再次申报项目</w:t>
            </w:r>
          </w:p>
          <w:p>
            <w:pPr>
              <w:rPr>
                <w:color w:val="auto"/>
                <w:sz w:val="22"/>
                <w:szCs w:val="28"/>
                <w:highlight w:val="none"/>
              </w:rPr>
            </w:pPr>
            <w:r>
              <w:rPr>
                <w:rFonts w:hint="eastAsia"/>
                <w:color w:val="auto"/>
                <w:sz w:val="22"/>
                <w:szCs w:val="28"/>
                <w:highlight w:val="none"/>
              </w:rPr>
              <w:sym w:font="Wingdings 2" w:char="00A3"/>
            </w:r>
            <w:r>
              <w:rPr>
                <w:rFonts w:hint="eastAsia"/>
                <w:color w:val="auto"/>
                <w:sz w:val="22"/>
                <w:szCs w:val="28"/>
                <w:highlight w:val="none"/>
              </w:rPr>
              <w:t>超五年重新审核项目</w:t>
            </w:r>
          </w:p>
          <w:p>
            <w:pPr>
              <w:rPr>
                <w:color w:val="auto"/>
                <w:sz w:val="22"/>
                <w:szCs w:val="28"/>
                <w:highlight w:val="none"/>
              </w:rPr>
            </w:pPr>
            <w:r>
              <w:rPr>
                <w:rFonts w:hint="eastAsia"/>
                <w:color w:val="auto"/>
                <w:sz w:val="22"/>
                <w:szCs w:val="28"/>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项目审批（核准</w:t>
            </w:r>
            <w:r>
              <w:rPr>
                <w:color w:val="auto"/>
                <w:highlight w:val="none"/>
              </w:rPr>
              <w:t>/</w:t>
            </w:r>
          </w:p>
          <w:p>
            <w:pPr>
              <w:pStyle w:val="34"/>
              <w:rPr>
                <w:color w:val="auto"/>
                <w:highlight w:val="none"/>
              </w:rPr>
            </w:pPr>
            <w:r>
              <w:rPr>
                <w:rFonts w:hint="eastAsia"/>
                <w:color w:val="auto"/>
                <w:highlight w:val="none"/>
              </w:rPr>
              <w:t>备案）部门（选填）</w:t>
            </w:r>
          </w:p>
        </w:tc>
        <w:tc>
          <w:tcPr>
            <w:tcW w:w="2462" w:type="dxa"/>
            <w:vAlign w:val="center"/>
          </w:tcPr>
          <w:p>
            <w:pPr>
              <w:pStyle w:val="34"/>
              <w:rPr>
                <w:color w:val="auto"/>
                <w:sz w:val="24"/>
                <w:szCs w:val="24"/>
                <w:highlight w:val="none"/>
              </w:rPr>
            </w:pPr>
            <w:r>
              <w:rPr>
                <w:rFonts w:hint="eastAsia"/>
                <w:color w:val="auto"/>
                <w:sz w:val="24"/>
                <w:szCs w:val="24"/>
                <w:highlight w:val="none"/>
              </w:rPr>
              <w:t>福清市发展和改革局</w:t>
            </w:r>
          </w:p>
        </w:tc>
        <w:tc>
          <w:tcPr>
            <w:tcW w:w="2212" w:type="dxa"/>
            <w:vAlign w:val="center"/>
          </w:tcPr>
          <w:p>
            <w:pPr>
              <w:pStyle w:val="34"/>
              <w:rPr>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pPr>
              <w:pStyle w:val="34"/>
              <w:rPr>
                <w:color w:val="auto"/>
                <w:sz w:val="24"/>
                <w:szCs w:val="24"/>
                <w:highlight w:val="none"/>
              </w:rPr>
            </w:pPr>
            <w:r>
              <w:rPr>
                <w:rFonts w:hint="eastAsia"/>
                <w:color w:val="auto"/>
                <w:sz w:val="24"/>
                <w:szCs w:val="24"/>
                <w:highlight w:val="none"/>
              </w:rPr>
              <w:t>备案）文号（选填）</w:t>
            </w:r>
          </w:p>
        </w:tc>
        <w:tc>
          <w:tcPr>
            <w:tcW w:w="2639" w:type="dxa"/>
            <w:vAlign w:val="center"/>
          </w:tcPr>
          <w:p>
            <w:pPr>
              <w:pStyle w:val="34"/>
              <w:rPr>
                <w:color w:val="auto"/>
                <w:sz w:val="24"/>
                <w:szCs w:val="24"/>
                <w:highlight w:val="none"/>
              </w:rPr>
            </w:pPr>
            <w:r>
              <w:rPr>
                <w:rFonts w:hint="eastAsia"/>
                <w:color w:val="auto"/>
                <w:sz w:val="24"/>
                <w:szCs w:val="24"/>
                <w:highlight w:val="none"/>
              </w:rPr>
              <w:t>闽发改备〔2025〕A060300号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总投资（万元）</w:t>
            </w:r>
          </w:p>
        </w:tc>
        <w:tc>
          <w:tcPr>
            <w:tcW w:w="2462" w:type="dxa"/>
            <w:vAlign w:val="center"/>
          </w:tcPr>
          <w:p>
            <w:pPr>
              <w:pStyle w:val="34"/>
              <w:rPr>
                <w:color w:val="auto"/>
                <w:sz w:val="24"/>
                <w:szCs w:val="24"/>
                <w:highlight w:val="none"/>
                <w:lang w:eastAsia="zh"/>
              </w:rPr>
            </w:pPr>
            <w:r>
              <w:rPr>
                <w:rFonts w:hint="eastAsia"/>
                <w:color w:val="auto"/>
                <w:sz w:val="24"/>
                <w:szCs w:val="24"/>
                <w:highlight w:val="none"/>
                <w:lang w:eastAsia="zh"/>
              </w:rPr>
              <w:t>17000</w:t>
            </w:r>
          </w:p>
        </w:tc>
        <w:tc>
          <w:tcPr>
            <w:tcW w:w="2212" w:type="dxa"/>
            <w:tcMar>
              <w:top w:w="16" w:type="dxa"/>
              <w:left w:w="16" w:type="dxa"/>
              <w:right w:w="16" w:type="dxa"/>
            </w:tcMar>
            <w:vAlign w:val="center"/>
          </w:tcPr>
          <w:p>
            <w:pPr>
              <w:pStyle w:val="34"/>
              <w:rPr>
                <w:color w:val="auto"/>
                <w:sz w:val="24"/>
                <w:szCs w:val="24"/>
                <w:highlight w:val="none"/>
              </w:rPr>
            </w:pPr>
            <w:r>
              <w:rPr>
                <w:rFonts w:hint="eastAsia"/>
                <w:color w:val="auto"/>
                <w:sz w:val="24"/>
                <w:szCs w:val="24"/>
                <w:highlight w:val="none"/>
              </w:rPr>
              <w:t>环保投资（万元）</w:t>
            </w:r>
          </w:p>
        </w:tc>
        <w:tc>
          <w:tcPr>
            <w:tcW w:w="2639" w:type="dxa"/>
            <w:vAlign w:val="center"/>
          </w:tcPr>
          <w:p>
            <w:pPr>
              <w:pStyle w:val="34"/>
              <w:rPr>
                <w:color w:val="auto"/>
                <w:sz w:val="24"/>
                <w:szCs w:val="24"/>
                <w:highlight w:val="none"/>
              </w:rPr>
            </w:pPr>
            <w:r>
              <w:rPr>
                <w:rFonts w:hint="eastAsia"/>
                <w:color w:val="auto"/>
                <w:sz w:val="24"/>
                <w:szCs w:val="24"/>
                <w:highlight w:val="none"/>
              </w:rPr>
              <w:t>17000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环保投资占比（</w:t>
            </w:r>
            <w:r>
              <w:rPr>
                <w:color w:val="auto"/>
                <w:highlight w:val="none"/>
              </w:rPr>
              <w:t>%</w:t>
            </w:r>
            <w:r>
              <w:rPr>
                <w:rFonts w:hint="eastAsia"/>
                <w:color w:val="auto"/>
                <w:highlight w:val="none"/>
              </w:rPr>
              <w:t>）</w:t>
            </w:r>
          </w:p>
        </w:tc>
        <w:tc>
          <w:tcPr>
            <w:tcW w:w="2462" w:type="dxa"/>
            <w:vAlign w:val="center"/>
          </w:tcPr>
          <w:p>
            <w:pPr>
              <w:pStyle w:val="34"/>
              <w:rPr>
                <w:color w:val="auto"/>
                <w:sz w:val="24"/>
                <w:szCs w:val="24"/>
                <w:highlight w:val="none"/>
              </w:rPr>
            </w:pPr>
            <w:r>
              <w:rPr>
                <w:rFonts w:hint="eastAsia"/>
                <w:color w:val="auto"/>
                <w:sz w:val="24"/>
                <w:szCs w:val="24"/>
                <w:highlight w:val="none"/>
              </w:rPr>
              <w:t>100</w:t>
            </w:r>
          </w:p>
        </w:tc>
        <w:tc>
          <w:tcPr>
            <w:tcW w:w="2212" w:type="dxa"/>
            <w:tcMar>
              <w:top w:w="16" w:type="dxa"/>
              <w:left w:w="16" w:type="dxa"/>
              <w:right w:w="16" w:type="dxa"/>
            </w:tcMar>
            <w:vAlign w:val="center"/>
          </w:tcPr>
          <w:p>
            <w:pPr>
              <w:pStyle w:val="34"/>
              <w:rPr>
                <w:color w:val="auto"/>
                <w:sz w:val="24"/>
                <w:szCs w:val="24"/>
                <w:highlight w:val="none"/>
              </w:rPr>
            </w:pPr>
            <w:r>
              <w:rPr>
                <w:rFonts w:hint="eastAsia"/>
                <w:color w:val="auto"/>
                <w:sz w:val="24"/>
                <w:szCs w:val="24"/>
                <w:highlight w:val="none"/>
              </w:rPr>
              <w:t>施工工期</w:t>
            </w:r>
          </w:p>
        </w:tc>
        <w:tc>
          <w:tcPr>
            <w:tcW w:w="2639" w:type="dxa"/>
            <w:vAlign w:val="center"/>
          </w:tcPr>
          <w:p>
            <w:pPr>
              <w:pStyle w:val="34"/>
              <w:rPr>
                <w:color w:val="auto"/>
                <w:sz w:val="24"/>
                <w:szCs w:val="24"/>
                <w:highlight w:val="none"/>
              </w:rPr>
            </w:pPr>
            <w:r>
              <w:rPr>
                <w:rFonts w:hint="eastAsia"/>
                <w:color w:val="auto"/>
                <w:sz w:val="24"/>
                <w:szCs w:val="24"/>
                <w:highlight w:val="none"/>
              </w:rPr>
              <w:t>3</w:t>
            </w:r>
            <w:r>
              <w:rPr>
                <w:rFonts w:hint="eastAsia"/>
                <w:color w:val="auto"/>
                <w:sz w:val="24"/>
                <w:szCs w:val="24"/>
                <w:highlight w:val="none"/>
                <w:lang w:eastAsia="zh"/>
              </w:rPr>
              <w:t>4</w:t>
            </w:r>
            <w:r>
              <w:rPr>
                <w:rFonts w:hint="eastAsia"/>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7" w:type="dxa"/>
            <w:tcMar>
              <w:top w:w="16" w:type="dxa"/>
              <w:left w:w="16" w:type="dxa"/>
              <w:right w:w="16" w:type="dxa"/>
            </w:tcMar>
            <w:vAlign w:val="center"/>
          </w:tcPr>
          <w:p>
            <w:pPr>
              <w:pStyle w:val="34"/>
              <w:rPr>
                <w:color w:val="auto"/>
                <w:highlight w:val="none"/>
              </w:rPr>
            </w:pPr>
            <w:r>
              <w:rPr>
                <w:rFonts w:hint="eastAsia"/>
                <w:color w:val="auto"/>
                <w:highlight w:val="none"/>
              </w:rPr>
              <w:t>是否开工建设</w:t>
            </w:r>
          </w:p>
        </w:tc>
        <w:tc>
          <w:tcPr>
            <w:tcW w:w="2462" w:type="dxa"/>
            <w:vAlign w:val="center"/>
          </w:tcPr>
          <w:p>
            <w:pPr>
              <w:pStyle w:val="34"/>
              <w:rPr>
                <w:color w:val="auto"/>
                <w:sz w:val="24"/>
                <w:szCs w:val="24"/>
                <w:highlight w:val="none"/>
              </w:rPr>
            </w:pPr>
            <w:r>
              <w:rPr>
                <w:rFonts w:hint="eastAsia"/>
                <w:color w:val="auto"/>
                <w:sz w:val="24"/>
                <w:szCs w:val="24"/>
                <w:highlight w:val="none"/>
              </w:rPr>
              <w:sym w:font="Wingdings 2" w:char="0052"/>
            </w:r>
            <w:r>
              <w:rPr>
                <w:rFonts w:hint="eastAsia"/>
                <w:color w:val="auto"/>
                <w:sz w:val="24"/>
                <w:szCs w:val="24"/>
                <w:highlight w:val="none"/>
              </w:rPr>
              <w:t>否</w:t>
            </w:r>
          </w:p>
          <w:p>
            <w:pPr>
              <w:pStyle w:val="34"/>
              <w:rPr>
                <w:color w:val="auto"/>
                <w:sz w:val="24"/>
                <w:szCs w:val="24"/>
                <w:highlight w:val="none"/>
              </w:rPr>
            </w:pPr>
            <w:r>
              <w:rPr>
                <w:rFonts w:hint="eastAsia"/>
                <w:color w:val="auto"/>
                <w:sz w:val="24"/>
                <w:szCs w:val="24"/>
                <w:highlight w:val="none"/>
              </w:rPr>
              <w:sym w:font="Wingdings 2" w:char="00A3"/>
            </w:r>
            <w:r>
              <w:rPr>
                <w:rFonts w:hint="eastAsia"/>
                <w:color w:val="auto"/>
                <w:sz w:val="24"/>
                <w:szCs w:val="24"/>
                <w:highlight w:val="none"/>
              </w:rPr>
              <w:t>是：</w:t>
            </w:r>
          </w:p>
        </w:tc>
        <w:tc>
          <w:tcPr>
            <w:tcW w:w="2212" w:type="dxa"/>
            <w:tcMar>
              <w:top w:w="16" w:type="dxa"/>
              <w:left w:w="16" w:type="dxa"/>
              <w:right w:w="16" w:type="dxa"/>
            </w:tcMar>
            <w:vAlign w:val="center"/>
          </w:tcPr>
          <w:p>
            <w:pPr>
              <w:pStyle w:val="34"/>
              <w:rPr>
                <w:color w:val="auto"/>
                <w:sz w:val="24"/>
                <w:szCs w:val="24"/>
                <w:highlight w:val="none"/>
              </w:rPr>
            </w:pPr>
            <w:r>
              <w:rPr>
                <w:rFonts w:hint="eastAsia"/>
                <w:color w:val="auto"/>
                <w:sz w:val="24"/>
                <w:szCs w:val="24"/>
                <w:highlight w:val="none"/>
              </w:rPr>
              <w:t>用地（用海）</w:t>
            </w:r>
          </w:p>
          <w:p>
            <w:pPr>
              <w:pStyle w:val="34"/>
              <w:rPr>
                <w:color w:val="auto"/>
                <w:sz w:val="24"/>
                <w:szCs w:val="24"/>
                <w:highlight w:val="none"/>
              </w:rPr>
            </w:pPr>
            <w:r>
              <w:rPr>
                <w:rFonts w:hint="eastAsia"/>
                <w:color w:val="auto"/>
                <w:sz w:val="24"/>
                <w:szCs w:val="24"/>
                <w:highlight w:val="none"/>
              </w:rPr>
              <w:t>面积（</w:t>
            </w:r>
            <w:r>
              <w:rPr>
                <w:color w:val="auto"/>
                <w:sz w:val="24"/>
                <w:szCs w:val="24"/>
                <w:highlight w:val="none"/>
              </w:rPr>
              <w:t>m2</w:t>
            </w:r>
            <w:r>
              <w:rPr>
                <w:rFonts w:hint="eastAsia"/>
                <w:color w:val="auto"/>
                <w:sz w:val="24"/>
                <w:szCs w:val="24"/>
                <w:highlight w:val="none"/>
              </w:rPr>
              <w:t>）</w:t>
            </w:r>
          </w:p>
        </w:tc>
        <w:tc>
          <w:tcPr>
            <w:tcW w:w="2639" w:type="dxa"/>
            <w:vAlign w:val="center"/>
          </w:tcPr>
          <w:p>
            <w:pPr>
              <w:pStyle w:val="34"/>
              <w:rPr>
                <w:color w:val="auto"/>
                <w:sz w:val="24"/>
                <w:szCs w:val="24"/>
                <w:highlight w:val="none"/>
              </w:rPr>
            </w:pPr>
            <w:r>
              <w:rPr>
                <w:color w:val="auto"/>
                <w:sz w:val="24"/>
                <w:szCs w:val="24"/>
                <w:highlight w:val="none"/>
              </w:rPr>
              <w:t>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7313" w:type="dxa"/>
            <w:gridSpan w:val="3"/>
            <w:vAlign w:val="center"/>
          </w:tcPr>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根据《建设项目环境影响报告表编制技术指南（</w:t>
            </w:r>
            <w:r>
              <w:rPr>
                <w:rFonts w:hint="eastAsia"/>
                <w:color w:val="auto"/>
                <w:kern w:val="0"/>
                <w:sz w:val="24"/>
                <w:highlight w:val="none"/>
              </w:rPr>
              <w:t>污染</w:t>
            </w:r>
            <w:r>
              <w:rPr>
                <w:color w:val="auto"/>
                <w:kern w:val="0"/>
                <w:sz w:val="24"/>
                <w:highlight w:val="none"/>
              </w:rPr>
              <w:t>影响类）（</w:t>
            </w:r>
            <w:r>
              <w:rPr>
                <w:rFonts w:hint="eastAsia"/>
                <w:color w:val="auto"/>
                <w:kern w:val="0"/>
                <w:sz w:val="24"/>
                <w:highlight w:val="none"/>
              </w:rPr>
              <w:t>2021年</w:t>
            </w:r>
            <w:r>
              <w:rPr>
                <w:color w:val="auto"/>
                <w:kern w:val="0"/>
                <w:sz w:val="24"/>
                <w:highlight w:val="none"/>
              </w:rPr>
              <w:t>试行）》专项评价设置原则表，本项目</w:t>
            </w:r>
            <w:r>
              <w:rPr>
                <w:rFonts w:hint="eastAsia"/>
                <w:color w:val="auto"/>
                <w:kern w:val="0"/>
                <w:sz w:val="24"/>
                <w:highlight w:val="none"/>
              </w:rPr>
              <w:t>无须设置</w:t>
            </w:r>
            <w:r>
              <w:rPr>
                <w:color w:val="auto"/>
                <w:kern w:val="0"/>
                <w:sz w:val="24"/>
                <w:highlight w:val="none"/>
              </w:rPr>
              <w:t>专项评价。</w:t>
            </w:r>
          </w:p>
          <w:p>
            <w:pPr>
              <w:pStyle w:val="5"/>
              <w:ind w:firstLine="482" w:firstLineChars="200"/>
              <w:jc w:val="center"/>
              <w:rPr>
                <w:color w:val="auto"/>
                <w:sz w:val="24"/>
                <w:szCs w:val="24"/>
                <w:highlight w:val="none"/>
              </w:rPr>
            </w:pPr>
            <w:r>
              <w:rPr>
                <w:color w:val="auto"/>
                <w:sz w:val="24"/>
                <w:szCs w:val="24"/>
                <w:highlight w:val="none"/>
              </w:rPr>
              <w:t>表</w:t>
            </w:r>
            <w:r>
              <w:rPr>
                <w:color w:val="auto"/>
                <w:sz w:val="24"/>
                <w:szCs w:val="24"/>
                <w:highlight w:val="none"/>
              </w:rPr>
              <w:fldChar w:fldCharType="begin"/>
            </w:r>
            <w:r>
              <w:rPr>
                <w:color w:val="auto"/>
                <w:sz w:val="24"/>
                <w:szCs w:val="24"/>
                <w:highlight w:val="none"/>
              </w:rPr>
              <w:instrText xml:space="preserve">SEQ表\*ARABIC</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eastAsia"/>
                <w:color w:val="auto"/>
                <w:sz w:val="24"/>
                <w:szCs w:val="24"/>
                <w:highlight w:val="none"/>
              </w:rPr>
              <w:t>-1</w:t>
            </w:r>
            <w:r>
              <w:rPr>
                <w:color w:val="auto"/>
                <w:sz w:val="24"/>
                <w:szCs w:val="24"/>
                <w:highlight w:val="none"/>
              </w:rPr>
              <w:t>专项评价设置情况表</w:t>
            </w: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830"/>
              <w:gridCol w:w="2341"/>
              <w:gridCol w:w="3389"/>
              <w:gridCol w:w="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专项评价的类别</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设置原则</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情况</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是否设置专项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大气</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排放废气含有毒有害污染物、二噁英、苯并[a]芘、氰化物、氯气且厂界外500米范围内有环境空气保护目标的建设项目</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项目废气不涉及大气专项评价设置原则中的有毒有害污染物。</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地表水</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新增工业废水直排建设项目（槽罐车外送污水处理厂的除外）；新增废水直排的污水集中处理厂</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本项目</w:t>
                  </w:r>
                  <w:r>
                    <w:rPr>
                      <w:rFonts w:hint="eastAsia"/>
                      <w:color w:val="auto"/>
                      <w:sz w:val="22"/>
                      <w:szCs w:val="22"/>
                      <w:highlight w:val="none"/>
                    </w:rPr>
                    <w:t>主要对福清核电基地非放射性生产废水水质提升改造，非放射性生产废水处理达标后拟排入现有虹吸井中（总排放渠混合井CC</w:t>
                  </w:r>
                  <w:r>
                    <w:rPr>
                      <w:rFonts w:hint="eastAsia"/>
                      <w:sz w:val="22"/>
                      <w:szCs w:val="22"/>
                      <w:highlight w:val="none"/>
                      <w:lang w:val="en-US" w:eastAsia="zh-CN"/>
                    </w:rPr>
                    <w:t>又名“跌落井”，下文同</w:t>
                  </w:r>
                  <w:r>
                    <w:rPr>
                      <w:rFonts w:hint="eastAsia"/>
                      <w:color w:val="auto"/>
                      <w:sz w:val="22"/>
                      <w:szCs w:val="22"/>
                      <w:highlight w:val="none"/>
                    </w:rPr>
                    <w:t>）排入兴化湾，不涉及新增排污口，不新增外排环境的工业废水排放量</w:t>
                  </w:r>
                  <w:r>
                    <w:rPr>
                      <w:color w:val="auto"/>
                      <w:sz w:val="22"/>
                      <w:szCs w:val="22"/>
                      <w:highlight w:val="none"/>
                    </w:rPr>
                    <w:t>，</w:t>
                  </w:r>
                  <w:r>
                    <w:rPr>
                      <w:rFonts w:hint="eastAsia"/>
                      <w:color w:val="auto"/>
                      <w:sz w:val="22"/>
                      <w:szCs w:val="22"/>
                      <w:highlight w:val="none"/>
                    </w:rPr>
                    <w:t>不新增污染物，不属于</w:t>
                  </w:r>
                  <w:r>
                    <w:rPr>
                      <w:color w:val="auto"/>
                      <w:sz w:val="22"/>
                      <w:szCs w:val="22"/>
                      <w:highlight w:val="none"/>
                    </w:rPr>
                    <w:t>新增工业废水直排</w:t>
                  </w:r>
                  <w:r>
                    <w:rPr>
                      <w:rFonts w:hint="eastAsia"/>
                      <w:color w:val="auto"/>
                      <w:sz w:val="22"/>
                      <w:szCs w:val="22"/>
                      <w:highlight w:val="none"/>
                    </w:rPr>
                    <w:t>的</w:t>
                  </w:r>
                  <w:r>
                    <w:rPr>
                      <w:color w:val="auto"/>
                      <w:sz w:val="22"/>
                      <w:szCs w:val="22"/>
                      <w:highlight w:val="none"/>
                    </w:rPr>
                    <w:t>建设项目。</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环境风险</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有毒有害和易燃易爆危险物质存储量超过临界量的建设项目</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项目不涉及有毒有害和易燃易爆危险物质存储量超过临界量的情况。</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生态</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取水口下游500米范围内有重要水生生物的自然产卵场、索饵场、越冬场和洄游通道的新增河道取水的污染类建设项目</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项目不设立取水口</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86" w:type="pct"/>
                  <w:vAlign w:val="center"/>
                </w:tcPr>
                <w:p>
                  <w:pPr>
                    <w:adjustRightInd w:val="0"/>
                    <w:snapToGrid w:val="0"/>
                    <w:jc w:val="center"/>
                    <w:rPr>
                      <w:color w:val="auto"/>
                      <w:sz w:val="22"/>
                      <w:szCs w:val="22"/>
                      <w:highlight w:val="none"/>
                    </w:rPr>
                  </w:pPr>
                  <w:r>
                    <w:rPr>
                      <w:color w:val="auto"/>
                      <w:sz w:val="22"/>
                      <w:szCs w:val="22"/>
                      <w:highlight w:val="none"/>
                    </w:rPr>
                    <w:t>海洋</w:t>
                  </w:r>
                </w:p>
              </w:tc>
              <w:tc>
                <w:tcPr>
                  <w:tcW w:w="1652" w:type="pct"/>
                  <w:vAlign w:val="center"/>
                </w:tcPr>
                <w:p>
                  <w:pPr>
                    <w:adjustRightInd w:val="0"/>
                    <w:snapToGrid w:val="0"/>
                    <w:jc w:val="center"/>
                    <w:rPr>
                      <w:color w:val="auto"/>
                      <w:sz w:val="22"/>
                      <w:szCs w:val="22"/>
                      <w:highlight w:val="none"/>
                    </w:rPr>
                  </w:pPr>
                  <w:r>
                    <w:rPr>
                      <w:color w:val="auto"/>
                      <w:sz w:val="22"/>
                      <w:szCs w:val="22"/>
                      <w:highlight w:val="none"/>
                    </w:rPr>
                    <w:t>直接向海排放污染物的海洋工程建设项目</w:t>
                  </w:r>
                </w:p>
              </w:tc>
              <w:tc>
                <w:tcPr>
                  <w:tcW w:w="2392" w:type="pct"/>
                  <w:vAlign w:val="center"/>
                </w:tcPr>
                <w:p>
                  <w:pPr>
                    <w:adjustRightInd w:val="0"/>
                    <w:snapToGrid w:val="0"/>
                    <w:jc w:val="center"/>
                    <w:rPr>
                      <w:color w:val="auto"/>
                      <w:sz w:val="22"/>
                      <w:szCs w:val="22"/>
                      <w:highlight w:val="none"/>
                    </w:rPr>
                  </w:pPr>
                  <w:r>
                    <w:rPr>
                      <w:color w:val="auto"/>
                      <w:sz w:val="22"/>
                      <w:szCs w:val="22"/>
                      <w:highlight w:val="none"/>
                    </w:rPr>
                    <w:t>项目不属于海洋工程建设项目</w:t>
                  </w:r>
                </w:p>
              </w:tc>
              <w:tc>
                <w:tcPr>
                  <w:tcW w:w="368" w:type="pct"/>
                  <w:vAlign w:val="center"/>
                </w:tcPr>
                <w:p>
                  <w:pPr>
                    <w:adjustRightInd w:val="0"/>
                    <w:snapToGrid w:val="0"/>
                    <w:jc w:val="center"/>
                    <w:rPr>
                      <w:color w:val="auto"/>
                      <w:sz w:val="22"/>
                      <w:szCs w:val="22"/>
                      <w:highlight w:val="none"/>
                    </w:rPr>
                  </w:pPr>
                  <w:r>
                    <w:rPr>
                      <w:color w:val="auto"/>
                      <w:sz w:val="22"/>
                      <w:szCs w:val="22"/>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00" w:type="pct"/>
                  <w:gridSpan w:val="4"/>
                  <w:vAlign w:val="center"/>
                </w:tcPr>
                <w:p>
                  <w:pPr>
                    <w:widowControl/>
                    <w:snapToGrid w:val="0"/>
                    <w:ind w:left="106" w:right="107" w:firstLine="440" w:firstLineChars="200"/>
                    <w:rPr>
                      <w:color w:val="auto"/>
                      <w:sz w:val="22"/>
                      <w:szCs w:val="22"/>
                      <w:highlight w:val="none"/>
                    </w:rPr>
                  </w:pPr>
                  <w:r>
                    <w:rPr>
                      <w:color w:val="auto"/>
                      <w:sz w:val="22"/>
                      <w:szCs w:val="22"/>
                      <w:highlight w:val="none"/>
                    </w:rPr>
                    <w:t>注：</w:t>
                  </w:r>
                  <w:r>
                    <w:rPr>
                      <w:rFonts w:eastAsia="Times New Roman"/>
                      <w:color w:val="auto"/>
                      <w:sz w:val="22"/>
                      <w:szCs w:val="22"/>
                      <w:highlight w:val="none"/>
                    </w:rPr>
                    <w:t>1.</w:t>
                  </w:r>
                  <w:r>
                    <w:rPr>
                      <w:color w:val="auto"/>
                      <w:sz w:val="22"/>
                      <w:szCs w:val="22"/>
                      <w:highlight w:val="none"/>
                    </w:rPr>
                    <w:t>废气中有毒有害污染物指纳入《有毒有害大气污染物名录》的污染物（不包括无排</w:t>
                  </w:r>
                  <w:r>
                    <w:rPr>
                      <w:color w:val="auto"/>
                      <w:spacing w:val="-1"/>
                      <w:sz w:val="22"/>
                      <w:szCs w:val="22"/>
                      <w:highlight w:val="none"/>
                    </w:rPr>
                    <w:t>放标</w:t>
                  </w:r>
                  <w:r>
                    <w:rPr>
                      <w:color w:val="auto"/>
                      <w:spacing w:val="-11"/>
                      <w:sz w:val="22"/>
                      <w:szCs w:val="22"/>
                      <w:highlight w:val="none"/>
                    </w:rPr>
                    <w:t>准的污染物）。</w:t>
                  </w:r>
                </w:p>
                <w:p>
                  <w:pPr>
                    <w:widowControl/>
                    <w:snapToGrid w:val="0"/>
                    <w:ind w:left="122" w:right="107" w:firstLine="440" w:firstLineChars="200"/>
                    <w:rPr>
                      <w:color w:val="auto"/>
                      <w:sz w:val="22"/>
                      <w:szCs w:val="22"/>
                      <w:highlight w:val="none"/>
                    </w:rPr>
                  </w:pPr>
                  <w:r>
                    <w:rPr>
                      <w:rFonts w:eastAsia="Times New Roman"/>
                      <w:color w:val="auto"/>
                      <w:sz w:val="22"/>
                      <w:szCs w:val="22"/>
                      <w:highlight w:val="none"/>
                    </w:rPr>
                    <w:t>2.</w:t>
                  </w:r>
                  <w:r>
                    <w:rPr>
                      <w:color w:val="auto"/>
                      <w:sz w:val="22"/>
                      <w:szCs w:val="22"/>
                      <w:highlight w:val="none"/>
                    </w:rPr>
                    <w:t>环境空气保护目标指自然保护区、风景名胜区、居住区、文化区和农村地区中人群较集</w:t>
                  </w:r>
                  <w:r>
                    <w:rPr>
                      <w:color w:val="auto"/>
                      <w:spacing w:val="-5"/>
                      <w:sz w:val="22"/>
                      <w:szCs w:val="22"/>
                      <w:highlight w:val="none"/>
                    </w:rPr>
                    <w:t>中的区域。</w:t>
                  </w:r>
                </w:p>
                <w:p>
                  <w:pPr>
                    <w:widowControl/>
                    <w:snapToGrid w:val="0"/>
                    <w:ind w:left="104" w:right="102" w:firstLine="428" w:firstLineChars="200"/>
                    <w:rPr>
                      <w:color w:val="auto"/>
                      <w:sz w:val="22"/>
                      <w:szCs w:val="22"/>
                      <w:highlight w:val="none"/>
                    </w:rPr>
                  </w:pPr>
                  <w:r>
                    <w:rPr>
                      <w:rFonts w:eastAsia="Times New Roman"/>
                      <w:color w:val="auto"/>
                      <w:spacing w:val="-3"/>
                      <w:sz w:val="22"/>
                      <w:szCs w:val="22"/>
                      <w:highlight w:val="none"/>
                    </w:rPr>
                    <w:t>3.</w:t>
                  </w:r>
                  <w:r>
                    <w:rPr>
                      <w:color w:val="auto"/>
                      <w:spacing w:val="-3"/>
                      <w:sz w:val="22"/>
                      <w:szCs w:val="22"/>
                      <w:highlight w:val="none"/>
                    </w:rPr>
                    <w:t>临界量及其计算方法可参考《建设项目环境风险评价技术导则》（</w:t>
                  </w:r>
                  <w:r>
                    <w:rPr>
                      <w:rFonts w:eastAsia="Times New Roman"/>
                      <w:color w:val="auto"/>
                      <w:spacing w:val="-3"/>
                      <w:sz w:val="22"/>
                      <w:szCs w:val="22"/>
                      <w:highlight w:val="none"/>
                    </w:rPr>
                    <w:t>HJ169</w:t>
                  </w:r>
                  <w:r>
                    <w:rPr>
                      <w:color w:val="auto"/>
                      <w:spacing w:val="-3"/>
                      <w:sz w:val="22"/>
                      <w:szCs w:val="22"/>
                      <w:highlight w:val="none"/>
                    </w:rPr>
                    <w:t>）附录</w:t>
                  </w:r>
                  <w:r>
                    <w:rPr>
                      <w:rFonts w:eastAsia="Times New Roman"/>
                      <w:color w:val="auto"/>
                      <w:spacing w:val="-3"/>
                      <w:sz w:val="22"/>
                      <w:szCs w:val="22"/>
                      <w:highlight w:val="none"/>
                    </w:rPr>
                    <w:t>B</w:t>
                  </w:r>
                  <w:r>
                    <w:rPr>
                      <w:color w:val="auto"/>
                      <w:spacing w:val="-3"/>
                      <w:sz w:val="22"/>
                      <w:szCs w:val="22"/>
                      <w:highlight w:val="none"/>
                    </w:rPr>
                    <w:t>、附录</w:t>
                  </w:r>
                  <w:r>
                    <w:rPr>
                      <w:rFonts w:eastAsia="Times New Roman"/>
                      <w:color w:val="auto"/>
                      <w:spacing w:val="-4"/>
                      <w:sz w:val="22"/>
                      <w:szCs w:val="22"/>
                      <w:highlight w:val="none"/>
                    </w:rPr>
                    <w:t>C</w:t>
                  </w:r>
                  <w:r>
                    <w:rPr>
                      <w:color w:val="auto"/>
                      <w:spacing w:val="-4"/>
                      <w:sz w:val="22"/>
                      <w:szCs w:val="22"/>
                      <w:highlight w:val="none"/>
                    </w:rPr>
                    <w:t>。</w:t>
                  </w:r>
                </w:p>
                <w:p>
                  <w:pPr>
                    <w:adjustRightInd w:val="0"/>
                    <w:snapToGrid w:val="0"/>
                    <w:ind w:firstLine="472" w:firstLineChars="200"/>
                    <w:jc w:val="center"/>
                    <w:rPr>
                      <w:color w:val="auto"/>
                      <w:sz w:val="22"/>
                      <w:szCs w:val="22"/>
                      <w:highlight w:val="none"/>
                    </w:rPr>
                  </w:pPr>
                  <w:r>
                    <w:rPr>
                      <w:color w:val="auto"/>
                      <w:spacing w:val="8"/>
                      <w:sz w:val="22"/>
                      <w:szCs w:val="22"/>
                      <w:highlight w:val="none"/>
                    </w:rPr>
                    <w:t>综上分析，本项目</w:t>
                  </w:r>
                  <w:r>
                    <w:rPr>
                      <w:rFonts w:hint="eastAsia"/>
                      <w:color w:val="auto"/>
                      <w:spacing w:val="8"/>
                      <w:sz w:val="22"/>
                      <w:szCs w:val="22"/>
                      <w:highlight w:val="none"/>
                    </w:rPr>
                    <w:t>不需要</w:t>
                  </w:r>
                  <w:r>
                    <w:rPr>
                      <w:color w:val="auto"/>
                      <w:sz w:val="22"/>
                      <w:szCs w:val="22"/>
                      <w:highlight w:val="none"/>
                    </w:rPr>
                    <w:t>开展专项评价。</w:t>
                  </w:r>
                </w:p>
              </w:tc>
            </w:tr>
          </w:tbl>
          <w:p>
            <w:pPr>
              <w:autoSpaceDE w:val="0"/>
              <w:autoSpaceDN w:val="0"/>
              <w:adjustRightInd w:val="0"/>
              <w:snapToGrid w:val="0"/>
              <w:rPr>
                <w:rFonts w:ascii="宋体" w:hAnsi="宋体" w:cs="宋体"/>
                <w:color w:val="auto"/>
                <w:kern w:val="0"/>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szCs w:val="21"/>
                <w:highlight w:val="none"/>
              </w:rPr>
              <w:t>规划情况</w:t>
            </w:r>
          </w:p>
        </w:tc>
        <w:tc>
          <w:tcPr>
            <w:tcW w:w="7313" w:type="dxa"/>
            <w:gridSpan w:val="3"/>
            <w:vAlign w:val="center"/>
          </w:tcPr>
          <w:p>
            <w:pPr>
              <w:pStyle w:val="8"/>
              <w:rPr>
                <w:color w:val="auto"/>
                <w:highlight w:val="none"/>
                <w:lang w:eastAsia="zh"/>
              </w:rPr>
            </w:pPr>
            <w:r>
              <w:rPr>
                <w:rFonts w:hint="eastAsia"/>
                <w:color w:val="auto"/>
                <w:highlight w:val="none"/>
              </w:rPr>
              <w:t>1.</w:t>
            </w:r>
            <w:r>
              <w:rPr>
                <w:color w:val="auto"/>
                <w:highlight w:val="none"/>
              </w:rPr>
              <w:t>规划名称：《福建省“十四五”海洋生态环境保护规划》</w:t>
            </w:r>
            <w:r>
              <w:rPr>
                <w:rFonts w:hint="eastAsia"/>
                <w:color w:val="auto"/>
                <w:highlight w:val="none"/>
                <w:lang w:eastAsia="zh"/>
              </w:rPr>
              <w:t>（</w:t>
            </w:r>
            <w:r>
              <w:rPr>
                <w:color w:val="auto"/>
                <w:highlight w:val="none"/>
              </w:rPr>
              <w:t>闽环保海〔2022〕1号</w:t>
            </w:r>
            <w:r>
              <w:rPr>
                <w:rFonts w:hint="eastAsia"/>
                <w:color w:val="auto"/>
                <w:highlight w:val="none"/>
                <w:lang w:eastAsia="zh"/>
              </w:rPr>
              <w:t>）</w:t>
            </w:r>
          </w:p>
          <w:p>
            <w:pPr>
              <w:pStyle w:val="8"/>
              <w:rPr>
                <w:color w:val="auto"/>
                <w:highlight w:val="none"/>
              </w:rPr>
            </w:pPr>
            <w:r>
              <w:rPr>
                <w:rFonts w:hint="eastAsia"/>
                <w:color w:val="auto"/>
                <w:highlight w:val="none"/>
              </w:rPr>
              <w:t>2.规划名称：《福建省近岸海域环境功能区划（修编）》（2011—2020年）及（2025年</w:t>
            </w:r>
            <w:r>
              <w:rPr>
                <w:rFonts w:hint="eastAsia"/>
                <w:color w:val="auto"/>
                <w:highlight w:val="none"/>
                <w:lang w:eastAsia="zh"/>
              </w:rPr>
              <w:t>征求意见稿</w:t>
            </w:r>
            <w:r>
              <w:rPr>
                <w:rFonts w:hint="eastAsia"/>
                <w:color w:val="auto"/>
                <w:highlight w:val="none"/>
              </w:rPr>
              <w:t>）</w:t>
            </w:r>
          </w:p>
          <w:p>
            <w:pPr>
              <w:pStyle w:val="8"/>
              <w:rPr>
                <w:color w:val="auto"/>
                <w:highlight w:val="none"/>
                <w:lang w:eastAsia="zh"/>
              </w:rPr>
            </w:pPr>
            <w:r>
              <w:rPr>
                <w:rFonts w:hint="eastAsia"/>
                <w:color w:val="auto"/>
                <w:highlight w:val="none"/>
              </w:rPr>
              <w:t>3.</w:t>
            </w:r>
            <w:r>
              <w:rPr>
                <w:color w:val="auto"/>
                <w:highlight w:val="none"/>
              </w:rPr>
              <w:t>规划名称：</w:t>
            </w:r>
            <w:r>
              <w:rPr>
                <w:rFonts w:hint="eastAsia"/>
                <w:color w:val="auto"/>
                <w:highlight w:val="none"/>
              </w:rPr>
              <w:t>《福清市国土空间总体规划（2021—2035年）》</w:t>
            </w:r>
            <w:r>
              <w:rPr>
                <w:rFonts w:hint="eastAsia"/>
                <w:color w:val="auto"/>
                <w:highlight w:val="none"/>
                <w:lang w:eastAsia="zh"/>
              </w:rPr>
              <w:t>（</w:t>
            </w:r>
            <w:r>
              <w:rPr>
                <w:rFonts w:hint="eastAsia"/>
                <w:color w:val="auto"/>
                <w:highlight w:val="none"/>
              </w:rPr>
              <w:t>闽政文〔2024〕420号</w:t>
            </w:r>
            <w:r>
              <w:rPr>
                <w:rFonts w:hint="eastAsia"/>
                <w:color w:val="auto"/>
                <w:highlight w:val="none"/>
                <w:lang w:eastAsia="zh"/>
              </w:rPr>
              <w:t>）</w:t>
            </w:r>
          </w:p>
          <w:p>
            <w:pPr>
              <w:pStyle w:val="8"/>
              <w:rPr>
                <w:color w:val="auto"/>
                <w:szCs w:val="21"/>
                <w:highlight w:val="none"/>
              </w:rPr>
            </w:pPr>
            <w:r>
              <w:rPr>
                <w:rFonts w:hint="eastAsia"/>
                <w:color w:val="auto"/>
                <w:highlight w:val="none"/>
              </w:rPr>
              <w:t>4.</w:t>
            </w:r>
            <w:r>
              <w:rPr>
                <w:color w:val="auto"/>
                <w:highlight w:val="none"/>
              </w:rPr>
              <w:t>规划名称：</w:t>
            </w:r>
            <w:r>
              <w:rPr>
                <w:rFonts w:hint="eastAsia"/>
                <w:color w:val="auto"/>
                <w:highlight w:val="none"/>
              </w:rPr>
              <w:t>《福清市养殖水域滩涂规划（2018—2030年）》（</w:t>
            </w:r>
            <w:r>
              <w:rPr>
                <w:rFonts w:hint="eastAsia"/>
                <w:color w:val="auto"/>
                <w:highlight w:val="none"/>
                <w:lang w:eastAsia="zh"/>
              </w:rPr>
              <w:t>福清市人民政府2024年</w:t>
            </w:r>
            <w:r>
              <w:rPr>
                <w:rFonts w:hint="eastAsia"/>
                <w:color w:val="auto"/>
                <w:highlight w:val="none"/>
              </w:rPr>
              <w:t>10月22日</w:t>
            </w:r>
            <w:r>
              <w:rPr>
                <w:rFonts w:hint="eastAsia"/>
                <w:color w:val="auto"/>
                <w:highlight w:val="none"/>
                <w:lang w:eastAsia="zh"/>
              </w:rPr>
              <w:t>批复</w:t>
            </w: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规划环境影响评价情况</w:t>
            </w:r>
          </w:p>
        </w:tc>
        <w:tc>
          <w:tcPr>
            <w:tcW w:w="7313" w:type="dxa"/>
            <w:gridSpan w:val="3"/>
            <w:vAlign w:val="center"/>
          </w:tcPr>
          <w:p>
            <w:pPr>
              <w:autoSpaceDE w:val="0"/>
              <w:autoSpaceDN w:val="0"/>
              <w:adjustRightInd w:val="0"/>
              <w:snapToGrid w:val="0"/>
              <w:rPr>
                <w:color w:val="auto"/>
                <w:szCs w:val="21"/>
                <w:highlight w:val="none"/>
              </w:rPr>
            </w:pPr>
            <w:r>
              <w:rPr>
                <w:rFonts w:hint="eastAsia"/>
                <w:color w:val="auto"/>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规划及规划环境影响评价符合性分析</w:t>
            </w:r>
          </w:p>
        </w:tc>
        <w:tc>
          <w:tcPr>
            <w:tcW w:w="7313" w:type="dxa"/>
            <w:gridSpan w:val="3"/>
            <w:vAlign w:val="center"/>
          </w:tcPr>
          <w:p>
            <w:pPr>
              <w:pStyle w:val="8"/>
              <w:rPr>
                <w:color w:val="auto"/>
                <w:szCs w:val="21"/>
                <w:highlight w:val="none"/>
              </w:rPr>
            </w:pPr>
            <w:r>
              <w:rPr>
                <w:rFonts w:hint="eastAsia"/>
                <w:color w:val="auto"/>
                <w:highlight w:val="none"/>
              </w:rPr>
              <w:t>项目无新增用地，位于福清核电厂区内部，符合福州市国土空间规划。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规划及规划环境影响评价符合性分析</w:t>
            </w:r>
          </w:p>
        </w:tc>
        <w:tc>
          <w:tcPr>
            <w:tcW w:w="7313" w:type="dxa"/>
            <w:gridSpan w:val="3"/>
            <w:vAlign w:val="center"/>
          </w:tcPr>
          <w:p>
            <w:pPr>
              <w:pStyle w:val="3"/>
              <w:rPr>
                <w:color w:val="auto"/>
                <w:highlight w:val="none"/>
              </w:rPr>
            </w:pPr>
            <w:bookmarkStart w:id="3" w:name="_Toc27873"/>
            <w:bookmarkStart w:id="4" w:name="_Toc22675"/>
            <w:r>
              <w:rPr>
                <w:rFonts w:hint="eastAsia"/>
                <w:color w:val="auto"/>
                <w:highlight w:val="none"/>
              </w:rPr>
              <w:t>1.1规划符合性分析</w:t>
            </w:r>
            <w:bookmarkEnd w:id="3"/>
            <w:bookmarkEnd w:id="4"/>
          </w:p>
          <w:p>
            <w:pPr>
              <w:pStyle w:val="8"/>
              <w:ind w:firstLine="482"/>
              <w:rPr>
                <w:b/>
                <w:bCs/>
                <w:color w:val="auto"/>
                <w:highlight w:val="none"/>
              </w:rPr>
            </w:pPr>
            <w:r>
              <w:rPr>
                <w:rFonts w:hint="eastAsia"/>
                <w:b/>
                <w:bCs/>
                <w:color w:val="auto"/>
                <w:highlight w:val="none"/>
              </w:rPr>
              <w:t>（1）与《福建省“十四五”海洋生态环境保护规划》的符合性分析</w:t>
            </w:r>
          </w:p>
          <w:p>
            <w:pPr>
              <w:pStyle w:val="8"/>
              <w:rPr>
                <w:color w:val="auto"/>
                <w:highlight w:val="none"/>
              </w:rPr>
            </w:pPr>
            <w:r>
              <w:rPr>
                <w:rFonts w:hint="eastAsia"/>
                <w:color w:val="auto"/>
                <w:highlight w:val="none"/>
              </w:rPr>
              <w:t>根据《福建省“十四五”海洋生态环境保护规划》，全省建立以海湾（湾区）为载体和基础管理单元的海洋生态环境管理体系，共划分35个美丽海湾（湾区）管控单元，其中福州市包括兴化湾福州段、罗源湾等8个管控单元。本项目位于兴化湾福州段，属于福建省主要海湾。“十四五”海洋生态环境保护主要指标：主要海湾富营养化指数&lt;1。“十四五”重点任务为：海湾污染治理；实施内容为：江阴港工业园区整治工程；目标指标为：河道水质得到改善，工业废水总氮达标排放。</w:t>
            </w:r>
          </w:p>
          <w:p>
            <w:pPr>
              <w:pStyle w:val="8"/>
              <w:rPr>
                <w:color w:val="auto"/>
                <w:highlight w:val="none"/>
              </w:rPr>
            </w:pPr>
            <w:r>
              <w:rPr>
                <w:rFonts w:hint="eastAsia"/>
                <w:color w:val="auto"/>
                <w:highlight w:val="none"/>
              </w:rPr>
              <w:t>本项目为核电站配套的非放射性废水处理站及配套管网改造项目，主要对福清核基地非放射性生产废水水质提升改造，非放射性生产废水集中收集、处理达标后拟排入现有虹吸井中（总排放渠混合井CC），通过排水明渠排入兴化湾，不涉及新增排污口</w:t>
            </w:r>
            <w:r>
              <w:rPr>
                <w:rFonts w:hint="eastAsia"/>
                <w:color w:val="auto"/>
                <w:highlight w:val="none"/>
                <w:lang w:eastAsia="zh-CN"/>
              </w:rPr>
              <w:t>且</w:t>
            </w:r>
            <w:r>
              <w:rPr>
                <w:rFonts w:hint="eastAsia"/>
                <w:color w:val="auto"/>
                <w:highlight w:val="none"/>
              </w:rPr>
              <w:t>尾水各项污染物指标均满足《污水综合排放标准》（GB 8978-1996）表4中一级标准。本项目实施后，将原与雨水共管排放的非放射性生产废水与雨水分离，集中收集处理后排放，外排出水水质提高，排放的总氮、总磷等污染物总量减少，减轻海湾富营养化的影响。因此，非放射性废水处理站尾水排放将改善周边外环境，一定程度提高兴化湾海水水质，有助于开展兴化湾海湾污染治理。</w:t>
            </w:r>
          </w:p>
          <w:p>
            <w:pPr>
              <w:pStyle w:val="8"/>
              <w:rPr>
                <w:color w:val="auto"/>
                <w:highlight w:val="none"/>
              </w:rPr>
            </w:pPr>
            <w:r>
              <w:rPr>
                <w:rFonts w:hint="eastAsia"/>
                <w:color w:val="auto"/>
                <w:highlight w:val="none"/>
              </w:rPr>
              <w:t>因此，项目建设符合《福建省“十四五”海洋生态环境保护规划》的管控要求。</w:t>
            </w:r>
          </w:p>
          <w:p>
            <w:pPr>
              <w:pStyle w:val="8"/>
              <w:numPr>
                <w:ilvl w:val="0"/>
                <w:numId w:val="1"/>
              </w:numPr>
              <w:ind w:firstLine="482"/>
              <w:rPr>
                <w:b/>
                <w:bCs/>
                <w:color w:val="auto"/>
                <w:highlight w:val="none"/>
                <w:u w:val="single"/>
              </w:rPr>
            </w:pPr>
            <w:r>
              <w:rPr>
                <w:rFonts w:hint="eastAsia"/>
                <w:b/>
                <w:bCs/>
                <w:color w:val="auto"/>
                <w:highlight w:val="none"/>
                <w:u w:val="single"/>
              </w:rPr>
              <w:t>与《福建省近岸海域环境功能区划</w:t>
            </w:r>
            <w:r>
              <w:rPr>
                <w:rFonts w:hint="eastAsia"/>
                <w:color w:val="auto"/>
                <w:highlight w:val="none"/>
                <w:u w:val="single"/>
              </w:rPr>
              <w:t>（修编）</w:t>
            </w:r>
            <w:r>
              <w:rPr>
                <w:rFonts w:hint="eastAsia"/>
                <w:b/>
                <w:bCs/>
                <w:color w:val="auto"/>
                <w:highlight w:val="none"/>
                <w:u w:val="single"/>
              </w:rPr>
              <w:t>》符合性分析</w:t>
            </w:r>
          </w:p>
          <w:p>
            <w:pPr>
              <w:pStyle w:val="8"/>
              <w:rPr>
                <w:color w:val="auto"/>
                <w:highlight w:val="none"/>
                <w:u w:val="single"/>
              </w:rPr>
            </w:pPr>
            <w:r>
              <w:rPr>
                <w:rFonts w:hint="eastAsia"/>
                <w:color w:val="auto"/>
                <w:highlight w:val="none"/>
                <w:u w:val="single"/>
              </w:rPr>
              <w:t>1)与《福建省近岸海域环境功能区划（修编）》（2011—2020年）符合性分析</w:t>
            </w:r>
          </w:p>
          <w:p>
            <w:pPr>
              <w:pStyle w:val="8"/>
              <w:rPr>
                <w:color w:val="auto"/>
                <w:highlight w:val="none"/>
                <w:u w:val="single"/>
              </w:rPr>
            </w:pPr>
            <w:r>
              <w:rPr>
                <w:rFonts w:hint="eastAsia"/>
                <w:color w:val="auto"/>
                <w:highlight w:val="none"/>
                <w:u w:val="single"/>
              </w:rPr>
              <w:t>根据《福建省近岸海域环境功能区划（修编）》（2011—2020年），福清核电入海排污口及排污混合区所在海域为“FJ050-C-Ⅲ 兴化湾前薛三类区”（见附图2），功能区类别为三类区，主导功能为一般工业用水，海水水质保护目标为第三类海水水质标准。本项目主要将福清核电现有厂区内雨废混流的非放射生产废水分流收集后，由新建的非放射性生产废水处理站处理达标后，再依托现有的入海排污口排放（入海排污口名称为：福州市福清市三山镇前薛村福清核电厂生产污水排污口，入海排污口编码为：</w:t>
            </w:r>
            <w:r>
              <w:rPr>
                <w:rFonts w:hint="eastAsia"/>
                <w:color w:val="auto"/>
                <w:highlight w:val="none"/>
                <w:u w:val="single"/>
                <w:lang w:val="en-US" w:eastAsia="zh-CN"/>
              </w:rPr>
              <w:t>**</w:t>
            </w:r>
            <w:r>
              <w:rPr>
                <w:rFonts w:hint="eastAsia"/>
                <w:color w:val="auto"/>
                <w:highlight w:val="none"/>
                <w:u w:val="single"/>
              </w:rPr>
              <w:t>，见附件16），项目建设不改变现有的入海排污口、不新增入海排污量，污染物影响区不会超过排污混合区的范围，符合福建省近岸海域环境功能区划（修编）》（2011—2020年）（附图2-1）。</w:t>
            </w:r>
          </w:p>
          <w:p>
            <w:pPr>
              <w:pStyle w:val="5"/>
              <w:jc w:val="center"/>
              <w:rPr>
                <w:color w:val="auto"/>
                <w:highlight w:val="none"/>
                <w:u w:val="single"/>
              </w:rPr>
            </w:pPr>
            <w:r>
              <w:rPr>
                <w:color w:val="auto"/>
                <w:highlight w:val="none"/>
                <w:u w:val="single"/>
              </w:rPr>
              <w:t xml:space="preserve">表 </w:t>
            </w:r>
            <w:r>
              <w:rPr>
                <w:rFonts w:hint="eastAsia"/>
                <w:color w:val="auto"/>
                <w:highlight w:val="none"/>
                <w:u w:val="single"/>
              </w:rPr>
              <w:t>1-2 项目所属福建省近岸海域环境功能区（2011—2020年）</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4"/>
              <w:gridCol w:w="650"/>
              <w:gridCol w:w="1163"/>
              <w:gridCol w:w="1511"/>
              <w:gridCol w:w="691"/>
              <w:gridCol w:w="613"/>
              <w:gridCol w:w="661"/>
              <w:gridCol w:w="335"/>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9" w:type="pct"/>
                  <w:vMerge w:val="restart"/>
                  <w:vAlign w:val="center"/>
                </w:tcPr>
                <w:p>
                  <w:pPr>
                    <w:jc w:val="center"/>
                    <w:rPr>
                      <w:color w:val="auto"/>
                      <w:szCs w:val="21"/>
                      <w:highlight w:val="none"/>
                      <w:u w:val="single"/>
                    </w:rPr>
                  </w:pPr>
                  <w:r>
                    <w:rPr>
                      <w:color w:val="auto"/>
                      <w:szCs w:val="21"/>
                      <w:highlight w:val="none"/>
                      <w:u w:val="single"/>
                    </w:rPr>
                    <w:t>标识号</w:t>
                  </w:r>
                </w:p>
              </w:tc>
              <w:tc>
                <w:tcPr>
                  <w:tcW w:w="459" w:type="pct"/>
                  <w:vMerge w:val="restart"/>
                  <w:vAlign w:val="center"/>
                </w:tcPr>
                <w:p>
                  <w:pPr>
                    <w:jc w:val="center"/>
                    <w:rPr>
                      <w:color w:val="auto"/>
                      <w:szCs w:val="21"/>
                      <w:highlight w:val="none"/>
                      <w:u w:val="single"/>
                    </w:rPr>
                  </w:pPr>
                  <w:r>
                    <w:rPr>
                      <w:color w:val="auto"/>
                      <w:szCs w:val="21"/>
                      <w:highlight w:val="none"/>
                      <w:u w:val="single"/>
                    </w:rPr>
                    <w:t>功能区</w:t>
                  </w:r>
                  <w:r>
                    <w:rPr>
                      <w:color w:val="auto"/>
                      <w:szCs w:val="21"/>
                      <w:highlight w:val="none"/>
                      <w:u w:val="single"/>
                    </w:rPr>
                    <w:br w:type="textWrapping"/>
                  </w:r>
                  <w:r>
                    <w:rPr>
                      <w:color w:val="auto"/>
                      <w:szCs w:val="21"/>
                      <w:highlight w:val="none"/>
                      <w:u w:val="single"/>
                    </w:rPr>
                    <w:t>名称</w:t>
                  </w:r>
                </w:p>
              </w:tc>
              <w:tc>
                <w:tcPr>
                  <w:tcW w:w="821" w:type="pct"/>
                  <w:vMerge w:val="restart"/>
                  <w:vAlign w:val="center"/>
                </w:tcPr>
                <w:p>
                  <w:pPr>
                    <w:jc w:val="center"/>
                    <w:rPr>
                      <w:color w:val="auto"/>
                      <w:szCs w:val="21"/>
                      <w:highlight w:val="none"/>
                      <w:u w:val="single"/>
                    </w:rPr>
                  </w:pPr>
                  <w:r>
                    <w:rPr>
                      <w:color w:val="auto"/>
                      <w:szCs w:val="21"/>
                      <w:highlight w:val="none"/>
                      <w:u w:val="single"/>
                    </w:rPr>
                    <w:t>范围</w:t>
                  </w:r>
                </w:p>
              </w:tc>
              <w:tc>
                <w:tcPr>
                  <w:tcW w:w="1066" w:type="pct"/>
                  <w:vMerge w:val="restart"/>
                  <w:vAlign w:val="center"/>
                </w:tcPr>
                <w:p>
                  <w:pPr>
                    <w:jc w:val="center"/>
                    <w:rPr>
                      <w:color w:val="auto"/>
                      <w:szCs w:val="21"/>
                      <w:highlight w:val="none"/>
                      <w:u w:val="single"/>
                    </w:rPr>
                  </w:pPr>
                  <w:r>
                    <w:rPr>
                      <w:color w:val="auto"/>
                      <w:szCs w:val="21"/>
                      <w:highlight w:val="none"/>
                      <w:u w:val="single"/>
                    </w:rPr>
                    <w:t>中心坐标</w:t>
                  </w:r>
                </w:p>
              </w:tc>
              <w:tc>
                <w:tcPr>
                  <w:tcW w:w="488" w:type="pct"/>
                  <w:vMerge w:val="restart"/>
                  <w:vAlign w:val="center"/>
                </w:tcPr>
                <w:p>
                  <w:pPr>
                    <w:jc w:val="center"/>
                    <w:rPr>
                      <w:color w:val="auto"/>
                      <w:szCs w:val="21"/>
                      <w:highlight w:val="none"/>
                      <w:u w:val="single"/>
                    </w:rPr>
                  </w:pPr>
                  <w:r>
                    <w:rPr>
                      <w:color w:val="auto"/>
                      <w:szCs w:val="21"/>
                      <w:highlight w:val="none"/>
                      <w:u w:val="single"/>
                    </w:rPr>
                    <w:t>面积</w:t>
                  </w:r>
                </w:p>
                <w:p>
                  <w:pPr>
                    <w:jc w:val="center"/>
                    <w:rPr>
                      <w:color w:val="auto"/>
                      <w:szCs w:val="21"/>
                      <w:highlight w:val="none"/>
                      <w:u w:val="single"/>
                    </w:rPr>
                  </w:pPr>
                  <w:r>
                    <w:rPr>
                      <w:rFonts w:hint="eastAsia"/>
                      <w:color w:val="auto"/>
                      <w:szCs w:val="21"/>
                      <w:highlight w:val="none"/>
                      <w:u w:val="single"/>
                    </w:rPr>
                    <w:t>(km</w:t>
                  </w:r>
                  <w:r>
                    <w:rPr>
                      <w:rFonts w:hint="eastAsia"/>
                      <w:color w:val="auto"/>
                      <w:szCs w:val="21"/>
                      <w:highlight w:val="none"/>
                      <w:u w:val="single"/>
                      <w:vertAlign w:val="superscript"/>
                    </w:rPr>
                    <w:t>2)</w:t>
                  </w:r>
                </w:p>
              </w:tc>
              <w:tc>
                <w:tcPr>
                  <w:tcW w:w="900" w:type="pct"/>
                  <w:gridSpan w:val="2"/>
                  <w:vAlign w:val="center"/>
                </w:tcPr>
                <w:p>
                  <w:pPr>
                    <w:jc w:val="center"/>
                    <w:rPr>
                      <w:color w:val="auto"/>
                      <w:szCs w:val="21"/>
                      <w:highlight w:val="none"/>
                      <w:u w:val="single"/>
                    </w:rPr>
                  </w:pPr>
                  <w:r>
                    <w:rPr>
                      <w:color w:val="auto"/>
                      <w:szCs w:val="21"/>
                      <w:highlight w:val="none"/>
                      <w:u w:val="single"/>
                    </w:rPr>
                    <w:t>近岸海域环境功能区</w:t>
                  </w:r>
                </w:p>
              </w:tc>
              <w:tc>
                <w:tcPr>
                  <w:tcW w:w="554" w:type="pct"/>
                  <w:gridSpan w:val="2"/>
                  <w:vAlign w:val="center"/>
                </w:tcPr>
                <w:p>
                  <w:pPr>
                    <w:jc w:val="center"/>
                    <w:rPr>
                      <w:color w:val="auto"/>
                      <w:szCs w:val="21"/>
                      <w:highlight w:val="none"/>
                      <w:u w:val="single"/>
                    </w:rPr>
                  </w:pPr>
                  <w:r>
                    <w:rPr>
                      <w:color w:val="auto"/>
                      <w:szCs w:val="21"/>
                      <w:highlight w:val="none"/>
                      <w:u w:val="single"/>
                    </w:rPr>
                    <w:t>水质保护目标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9" w:type="pct"/>
                  <w:vMerge w:val="continue"/>
                  <w:vAlign w:val="center"/>
                </w:tcPr>
                <w:p>
                  <w:pPr>
                    <w:jc w:val="center"/>
                    <w:rPr>
                      <w:color w:val="auto"/>
                      <w:szCs w:val="21"/>
                      <w:highlight w:val="none"/>
                      <w:u w:val="single"/>
                    </w:rPr>
                  </w:pPr>
                </w:p>
              </w:tc>
              <w:tc>
                <w:tcPr>
                  <w:tcW w:w="459" w:type="pct"/>
                  <w:vMerge w:val="continue"/>
                  <w:vAlign w:val="center"/>
                </w:tcPr>
                <w:p>
                  <w:pPr>
                    <w:jc w:val="center"/>
                    <w:rPr>
                      <w:color w:val="auto"/>
                      <w:szCs w:val="21"/>
                      <w:highlight w:val="none"/>
                      <w:u w:val="single"/>
                    </w:rPr>
                  </w:pPr>
                </w:p>
              </w:tc>
              <w:tc>
                <w:tcPr>
                  <w:tcW w:w="821" w:type="pct"/>
                  <w:vMerge w:val="continue"/>
                  <w:vAlign w:val="center"/>
                </w:tcPr>
                <w:p>
                  <w:pPr>
                    <w:jc w:val="center"/>
                    <w:rPr>
                      <w:color w:val="auto"/>
                      <w:szCs w:val="21"/>
                      <w:highlight w:val="none"/>
                      <w:u w:val="single"/>
                    </w:rPr>
                  </w:pPr>
                </w:p>
              </w:tc>
              <w:tc>
                <w:tcPr>
                  <w:tcW w:w="1066" w:type="pct"/>
                  <w:vMerge w:val="continue"/>
                  <w:vAlign w:val="center"/>
                </w:tcPr>
                <w:p>
                  <w:pPr>
                    <w:jc w:val="center"/>
                    <w:rPr>
                      <w:color w:val="auto"/>
                      <w:szCs w:val="21"/>
                      <w:highlight w:val="none"/>
                      <w:u w:val="single"/>
                    </w:rPr>
                  </w:pPr>
                </w:p>
              </w:tc>
              <w:tc>
                <w:tcPr>
                  <w:tcW w:w="488" w:type="pct"/>
                  <w:vMerge w:val="continue"/>
                  <w:vAlign w:val="center"/>
                </w:tcPr>
                <w:p>
                  <w:pPr>
                    <w:jc w:val="center"/>
                    <w:rPr>
                      <w:color w:val="auto"/>
                      <w:szCs w:val="21"/>
                      <w:highlight w:val="none"/>
                      <w:u w:val="single"/>
                    </w:rPr>
                  </w:pPr>
                </w:p>
              </w:tc>
              <w:tc>
                <w:tcPr>
                  <w:tcW w:w="433" w:type="pct"/>
                  <w:vAlign w:val="center"/>
                </w:tcPr>
                <w:p>
                  <w:pPr>
                    <w:jc w:val="center"/>
                    <w:rPr>
                      <w:color w:val="auto"/>
                      <w:szCs w:val="21"/>
                      <w:highlight w:val="none"/>
                      <w:u w:val="single"/>
                    </w:rPr>
                  </w:pPr>
                  <w:r>
                    <w:rPr>
                      <w:color w:val="auto"/>
                      <w:szCs w:val="21"/>
                      <w:highlight w:val="none"/>
                      <w:u w:val="single"/>
                    </w:rPr>
                    <w:t>主导</w:t>
                  </w:r>
                  <w:r>
                    <w:rPr>
                      <w:color w:val="auto"/>
                      <w:szCs w:val="21"/>
                      <w:highlight w:val="none"/>
                      <w:u w:val="single"/>
                    </w:rPr>
                    <w:br w:type="textWrapping"/>
                  </w:r>
                  <w:r>
                    <w:rPr>
                      <w:color w:val="auto"/>
                      <w:szCs w:val="21"/>
                      <w:highlight w:val="none"/>
                      <w:u w:val="single"/>
                    </w:rPr>
                    <w:t>功能</w:t>
                  </w:r>
                </w:p>
              </w:tc>
              <w:tc>
                <w:tcPr>
                  <w:tcW w:w="466" w:type="pct"/>
                  <w:vAlign w:val="center"/>
                </w:tcPr>
                <w:p>
                  <w:pPr>
                    <w:jc w:val="center"/>
                    <w:rPr>
                      <w:color w:val="auto"/>
                      <w:szCs w:val="21"/>
                      <w:highlight w:val="none"/>
                      <w:u w:val="single"/>
                    </w:rPr>
                  </w:pPr>
                  <w:r>
                    <w:rPr>
                      <w:color w:val="auto"/>
                      <w:szCs w:val="21"/>
                      <w:highlight w:val="none"/>
                      <w:u w:val="single"/>
                    </w:rPr>
                    <w:t>辅助</w:t>
                  </w:r>
                  <w:r>
                    <w:rPr>
                      <w:color w:val="auto"/>
                      <w:szCs w:val="21"/>
                      <w:highlight w:val="none"/>
                      <w:u w:val="single"/>
                    </w:rPr>
                    <w:br w:type="textWrapping"/>
                  </w:r>
                  <w:r>
                    <w:rPr>
                      <w:color w:val="auto"/>
                      <w:szCs w:val="21"/>
                      <w:highlight w:val="none"/>
                      <w:u w:val="single"/>
                    </w:rPr>
                    <w:t>功能</w:t>
                  </w:r>
                </w:p>
              </w:tc>
              <w:tc>
                <w:tcPr>
                  <w:tcW w:w="237" w:type="pct"/>
                  <w:vAlign w:val="center"/>
                </w:tcPr>
                <w:p>
                  <w:pPr>
                    <w:jc w:val="center"/>
                    <w:rPr>
                      <w:color w:val="auto"/>
                      <w:szCs w:val="21"/>
                      <w:highlight w:val="none"/>
                      <w:u w:val="single"/>
                    </w:rPr>
                  </w:pPr>
                  <w:r>
                    <w:rPr>
                      <w:color w:val="auto"/>
                      <w:szCs w:val="21"/>
                      <w:highlight w:val="none"/>
                      <w:u w:val="single"/>
                    </w:rPr>
                    <w:t>近期</w:t>
                  </w:r>
                </w:p>
              </w:tc>
              <w:tc>
                <w:tcPr>
                  <w:tcW w:w="316" w:type="pct"/>
                  <w:vAlign w:val="center"/>
                </w:tcPr>
                <w:p>
                  <w:pPr>
                    <w:jc w:val="center"/>
                    <w:rPr>
                      <w:color w:val="auto"/>
                      <w:szCs w:val="21"/>
                      <w:highlight w:val="none"/>
                      <w:u w:val="single"/>
                    </w:rPr>
                  </w:pPr>
                  <w:r>
                    <w:rPr>
                      <w:color w:val="auto"/>
                      <w:szCs w:val="21"/>
                      <w:highlight w:val="none"/>
                      <w:u w:val="single"/>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9" w:type="pct"/>
                  <w:vAlign w:val="center"/>
                </w:tcPr>
                <w:p>
                  <w:pPr>
                    <w:jc w:val="center"/>
                    <w:rPr>
                      <w:color w:val="auto"/>
                      <w:szCs w:val="21"/>
                      <w:highlight w:val="none"/>
                      <w:u w:val="single"/>
                    </w:rPr>
                  </w:pPr>
                  <w:r>
                    <w:rPr>
                      <w:color w:val="auto"/>
                      <w:szCs w:val="21"/>
                      <w:highlight w:val="none"/>
                      <w:u w:val="single"/>
                    </w:rPr>
                    <w:t>FJ050-C-Ⅲ</w:t>
                  </w:r>
                </w:p>
              </w:tc>
              <w:tc>
                <w:tcPr>
                  <w:tcW w:w="459" w:type="pct"/>
                  <w:vAlign w:val="center"/>
                </w:tcPr>
                <w:p>
                  <w:pPr>
                    <w:jc w:val="center"/>
                    <w:rPr>
                      <w:color w:val="auto"/>
                      <w:szCs w:val="21"/>
                      <w:highlight w:val="none"/>
                      <w:u w:val="single"/>
                    </w:rPr>
                  </w:pPr>
                  <w:r>
                    <w:rPr>
                      <w:color w:val="auto"/>
                      <w:szCs w:val="21"/>
                      <w:highlight w:val="none"/>
                      <w:u w:val="single"/>
                    </w:rPr>
                    <w:t>兴化湾前薛三类区</w:t>
                  </w:r>
                </w:p>
              </w:tc>
              <w:tc>
                <w:tcPr>
                  <w:tcW w:w="821" w:type="pct"/>
                  <w:vAlign w:val="center"/>
                </w:tcPr>
                <w:p>
                  <w:pPr>
                    <w:jc w:val="center"/>
                    <w:rPr>
                      <w:color w:val="auto"/>
                      <w:szCs w:val="21"/>
                      <w:highlight w:val="none"/>
                      <w:u w:val="single"/>
                    </w:rPr>
                  </w:pPr>
                  <w:r>
                    <w:rPr>
                      <w:color w:val="auto"/>
                      <w:szCs w:val="21"/>
                      <w:highlight w:val="none"/>
                      <w:u w:val="single"/>
                    </w:rPr>
                    <w:t>兴化湾东北部，前薛附近海域。</w:t>
                  </w:r>
                </w:p>
              </w:tc>
              <w:tc>
                <w:tcPr>
                  <w:tcW w:w="1066" w:type="pct"/>
                  <w:vAlign w:val="center"/>
                </w:tcPr>
                <w:p>
                  <w:pPr>
                    <w:jc w:val="center"/>
                    <w:rPr>
                      <w:color w:val="auto"/>
                      <w:szCs w:val="21"/>
                      <w:highlight w:val="none"/>
                      <w:u w:val="single"/>
                    </w:rPr>
                  </w:pPr>
                  <w:r>
                    <w:rPr>
                      <w:rFonts w:hint="eastAsia"/>
                      <w:color w:val="auto"/>
                      <w:szCs w:val="21"/>
                      <w:highlight w:val="none"/>
                      <w:u w:val="single"/>
                      <w:lang w:val="en-US" w:eastAsia="zh-CN"/>
                    </w:rPr>
                    <w:t>**</w:t>
                  </w:r>
                  <w:r>
                    <w:rPr>
                      <w:color w:val="auto"/>
                      <w:szCs w:val="21"/>
                      <w:highlight w:val="none"/>
                      <w:u w:val="single"/>
                    </w:rPr>
                    <w:t>E</w:t>
                  </w:r>
                </w:p>
              </w:tc>
              <w:tc>
                <w:tcPr>
                  <w:tcW w:w="488" w:type="pct"/>
                  <w:vAlign w:val="center"/>
                </w:tcPr>
                <w:p>
                  <w:pPr>
                    <w:jc w:val="center"/>
                    <w:rPr>
                      <w:color w:val="auto"/>
                      <w:szCs w:val="21"/>
                      <w:highlight w:val="none"/>
                      <w:u w:val="single"/>
                    </w:rPr>
                  </w:pPr>
                  <w:r>
                    <w:rPr>
                      <w:color w:val="auto"/>
                      <w:szCs w:val="21"/>
                      <w:highlight w:val="none"/>
                      <w:u w:val="single"/>
                    </w:rPr>
                    <w:t>99.24</w:t>
                  </w:r>
                </w:p>
              </w:tc>
              <w:tc>
                <w:tcPr>
                  <w:tcW w:w="433" w:type="pct"/>
                  <w:vAlign w:val="center"/>
                </w:tcPr>
                <w:p>
                  <w:pPr>
                    <w:jc w:val="center"/>
                    <w:rPr>
                      <w:color w:val="auto"/>
                      <w:szCs w:val="21"/>
                      <w:highlight w:val="none"/>
                      <w:u w:val="single"/>
                    </w:rPr>
                  </w:pPr>
                  <w:r>
                    <w:rPr>
                      <w:color w:val="auto"/>
                      <w:szCs w:val="21"/>
                      <w:highlight w:val="none"/>
                      <w:u w:val="single"/>
                    </w:rPr>
                    <w:t>一般</w:t>
                  </w:r>
                </w:p>
                <w:p>
                  <w:pPr>
                    <w:jc w:val="center"/>
                    <w:rPr>
                      <w:color w:val="auto"/>
                      <w:szCs w:val="21"/>
                      <w:highlight w:val="none"/>
                      <w:u w:val="single"/>
                    </w:rPr>
                  </w:pPr>
                  <w:r>
                    <w:rPr>
                      <w:color w:val="auto"/>
                      <w:szCs w:val="21"/>
                      <w:highlight w:val="none"/>
                      <w:u w:val="single"/>
                    </w:rPr>
                    <w:t>工业用水</w:t>
                  </w:r>
                </w:p>
              </w:tc>
              <w:tc>
                <w:tcPr>
                  <w:tcW w:w="466" w:type="pct"/>
                  <w:vAlign w:val="center"/>
                </w:tcPr>
                <w:p>
                  <w:pPr>
                    <w:jc w:val="center"/>
                    <w:rPr>
                      <w:color w:val="auto"/>
                      <w:szCs w:val="21"/>
                      <w:highlight w:val="none"/>
                      <w:u w:val="single"/>
                    </w:rPr>
                  </w:pPr>
                </w:p>
              </w:tc>
              <w:tc>
                <w:tcPr>
                  <w:tcW w:w="237" w:type="pct"/>
                  <w:vAlign w:val="center"/>
                </w:tcPr>
                <w:p>
                  <w:pPr>
                    <w:jc w:val="center"/>
                    <w:rPr>
                      <w:color w:val="auto"/>
                      <w:szCs w:val="21"/>
                      <w:highlight w:val="none"/>
                      <w:u w:val="single"/>
                    </w:rPr>
                  </w:pPr>
                  <w:r>
                    <w:rPr>
                      <w:color w:val="auto"/>
                      <w:szCs w:val="21"/>
                      <w:highlight w:val="none"/>
                      <w:u w:val="single"/>
                    </w:rPr>
                    <w:t>三</w:t>
                  </w:r>
                </w:p>
              </w:tc>
              <w:tc>
                <w:tcPr>
                  <w:tcW w:w="316" w:type="pct"/>
                  <w:vAlign w:val="center"/>
                </w:tcPr>
                <w:p>
                  <w:pPr>
                    <w:jc w:val="center"/>
                    <w:rPr>
                      <w:color w:val="auto"/>
                      <w:szCs w:val="21"/>
                      <w:highlight w:val="none"/>
                      <w:u w:val="single"/>
                    </w:rPr>
                  </w:pPr>
                  <w:r>
                    <w:rPr>
                      <w:color w:val="auto"/>
                      <w:szCs w:val="21"/>
                      <w:highlight w:val="none"/>
                      <w:u w:val="single"/>
                    </w:rPr>
                    <w:t>三</w:t>
                  </w:r>
                </w:p>
              </w:tc>
            </w:tr>
          </w:tbl>
          <w:p>
            <w:pPr>
              <w:pStyle w:val="8"/>
              <w:rPr>
                <w:color w:val="auto"/>
                <w:highlight w:val="none"/>
              </w:rPr>
            </w:pPr>
            <w:r>
              <w:rPr>
                <w:rFonts w:hint="eastAsia"/>
                <w:color w:val="auto"/>
                <w:highlight w:val="none"/>
              </w:rPr>
              <w:t>2）与《福建省近岸海域环境功能区划（修编）》（2025年征求意见稿）符合性分析</w:t>
            </w:r>
          </w:p>
          <w:p>
            <w:pPr>
              <w:pStyle w:val="8"/>
              <w:rPr>
                <w:color w:val="auto"/>
                <w:highlight w:val="none"/>
                <w:u w:val="single"/>
              </w:rPr>
            </w:pPr>
            <w:r>
              <w:rPr>
                <w:rFonts w:hint="eastAsia"/>
                <w:color w:val="auto"/>
                <w:highlight w:val="none"/>
                <w:u w:val="single"/>
              </w:rPr>
              <w:t>根据《福建省近岸海域环境功能区划（修编）》（2025年征求意见稿），福清核电现有入海排污口所在海域为“FJ091-C-Ⅲ 兴化湾前薛三类区”（见附图2-2），功能区类别为三类区，主导功能为一般工业用水、核电温排水、纳污，海水水质保护目标为第三类海水水质标准。对比2011年版本《福建省近岸海域环境功能区划（修编）》（2011-2020），兴化湾前薛三类区面积由原来的99.24km</w:t>
            </w:r>
            <w:r>
              <w:rPr>
                <w:rFonts w:hint="eastAsia"/>
                <w:color w:val="auto"/>
                <w:highlight w:val="none"/>
                <w:u w:val="single"/>
                <w:vertAlign w:val="superscript"/>
              </w:rPr>
              <w:t>2</w:t>
            </w:r>
            <w:r>
              <w:rPr>
                <w:rFonts w:hint="eastAsia"/>
                <w:color w:val="auto"/>
                <w:highlight w:val="none"/>
                <w:u w:val="single"/>
              </w:rPr>
              <w:t>缩小到2025年版本的38.73km</w:t>
            </w:r>
            <w:r>
              <w:rPr>
                <w:rFonts w:hint="eastAsia"/>
                <w:color w:val="auto"/>
                <w:highlight w:val="none"/>
                <w:u w:val="single"/>
                <w:vertAlign w:val="superscript"/>
              </w:rPr>
              <w:t>2</w:t>
            </w:r>
            <w:r>
              <w:rPr>
                <w:rFonts w:hint="eastAsia"/>
                <w:color w:val="auto"/>
                <w:highlight w:val="none"/>
                <w:u w:val="single"/>
              </w:rPr>
              <w:t>，主导功能未发生改变，海水水质保护目标仍为第三类海水水质标准。</w:t>
            </w:r>
            <w:r>
              <w:rPr>
                <w:rFonts w:hint="eastAsia"/>
                <w:color w:val="auto"/>
                <w:highlight w:val="none"/>
                <w:u w:val="wave"/>
              </w:rPr>
              <w:t>下面从三个方面分析本项目建设与《福建省近岸海域环境功能区划（修编）》（2025年征求意见稿）符合性</w:t>
            </w:r>
            <w:r>
              <w:rPr>
                <w:rFonts w:hint="eastAsia"/>
                <w:color w:val="auto"/>
                <w:highlight w:val="none"/>
              </w:rPr>
              <w:t>。</w:t>
            </w:r>
          </w:p>
          <w:p>
            <w:pPr>
              <w:pStyle w:val="5"/>
              <w:jc w:val="center"/>
              <w:rPr>
                <w:color w:val="auto"/>
                <w:highlight w:val="none"/>
                <w:u w:val="single"/>
              </w:rPr>
            </w:pPr>
            <w:r>
              <w:rPr>
                <w:color w:val="auto"/>
                <w:highlight w:val="none"/>
                <w:u w:val="single"/>
              </w:rPr>
              <w:t>表</w:t>
            </w:r>
            <w:r>
              <w:rPr>
                <w:rFonts w:hint="eastAsia"/>
                <w:color w:val="auto"/>
                <w:highlight w:val="none"/>
                <w:u w:val="single"/>
              </w:rPr>
              <w:t>1-3 项目所属福建省近岸海域环境功能区（2025年征求意见稿）</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1"/>
              <w:gridCol w:w="949"/>
              <w:gridCol w:w="1152"/>
              <w:gridCol w:w="684"/>
              <w:gridCol w:w="607"/>
              <w:gridCol w:w="1455"/>
              <w:gridCol w:w="504"/>
              <w:gridCol w:w="504"/>
              <w:gridCol w:w="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9" w:type="pct"/>
                  <w:vMerge w:val="restart"/>
                  <w:vAlign w:val="center"/>
                </w:tcPr>
                <w:p>
                  <w:pPr>
                    <w:jc w:val="center"/>
                    <w:rPr>
                      <w:color w:val="auto"/>
                      <w:szCs w:val="21"/>
                      <w:highlight w:val="none"/>
                      <w:u w:val="single"/>
                    </w:rPr>
                  </w:pPr>
                  <w:r>
                    <w:rPr>
                      <w:color w:val="auto"/>
                      <w:szCs w:val="21"/>
                      <w:highlight w:val="none"/>
                      <w:u w:val="single"/>
                    </w:rPr>
                    <w:t>标识号</w:t>
                  </w:r>
                </w:p>
              </w:tc>
              <w:tc>
                <w:tcPr>
                  <w:tcW w:w="669" w:type="pct"/>
                  <w:vMerge w:val="restart"/>
                  <w:vAlign w:val="center"/>
                </w:tcPr>
                <w:p>
                  <w:pPr>
                    <w:jc w:val="center"/>
                    <w:rPr>
                      <w:color w:val="auto"/>
                      <w:szCs w:val="21"/>
                      <w:highlight w:val="none"/>
                      <w:u w:val="single"/>
                    </w:rPr>
                  </w:pPr>
                  <w:r>
                    <w:rPr>
                      <w:color w:val="auto"/>
                      <w:szCs w:val="21"/>
                      <w:highlight w:val="none"/>
                      <w:u w:val="single"/>
                    </w:rPr>
                    <w:t>功能区名称</w:t>
                  </w:r>
                </w:p>
              </w:tc>
              <w:tc>
                <w:tcPr>
                  <w:tcW w:w="812" w:type="pct"/>
                  <w:vMerge w:val="restart"/>
                  <w:vAlign w:val="center"/>
                </w:tcPr>
                <w:p>
                  <w:pPr>
                    <w:jc w:val="center"/>
                    <w:rPr>
                      <w:color w:val="auto"/>
                      <w:szCs w:val="21"/>
                      <w:highlight w:val="none"/>
                      <w:u w:val="single"/>
                    </w:rPr>
                  </w:pPr>
                  <w:r>
                    <w:rPr>
                      <w:color w:val="auto"/>
                      <w:szCs w:val="21"/>
                      <w:highlight w:val="none"/>
                      <w:u w:val="single"/>
                    </w:rPr>
                    <w:t>中心坐标</w:t>
                  </w:r>
                </w:p>
              </w:tc>
              <w:tc>
                <w:tcPr>
                  <w:tcW w:w="482" w:type="pct"/>
                  <w:vMerge w:val="restart"/>
                  <w:vAlign w:val="center"/>
                </w:tcPr>
                <w:p>
                  <w:pPr>
                    <w:jc w:val="center"/>
                    <w:rPr>
                      <w:color w:val="auto"/>
                      <w:szCs w:val="21"/>
                      <w:highlight w:val="none"/>
                      <w:u w:val="single"/>
                    </w:rPr>
                  </w:pPr>
                  <w:r>
                    <w:rPr>
                      <w:color w:val="auto"/>
                      <w:szCs w:val="21"/>
                      <w:highlight w:val="none"/>
                      <w:u w:val="single"/>
                    </w:rPr>
                    <w:t>面积</w:t>
                  </w:r>
                </w:p>
                <w:p>
                  <w:pPr>
                    <w:jc w:val="center"/>
                    <w:rPr>
                      <w:color w:val="auto"/>
                      <w:szCs w:val="21"/>
                      <w:highlight w:val="none"/>
                      <w:u w:val="single"/>
                    </w:rPr>
                  </w:pPr>
                  <w:r>
                    <w:rPr>
                      <w:rFonts w:hint="eastAsia"/>
                      <w:color w:val="auto"/>
                      <w:szCs w:val="21"/>
                      <w:highlight w:val="none"/>
                      <w:u w:val="single"/>
                    </w:rPr>
                    <w:t>(</w:t>
                  </w:r>
                  <w:r>
                    <w:rPr>
                      <w:color w:val="auto"/>
                      <w:szCs w:val="21"/>
                      <w:highlight w:val="none"/>
                      <w:u w:val="single"/>
                    </w:rPr>
                    <w:t>km</w:t>
                  </w:r>
                  <w:r>
                    <w:rPr>
                      <w:color w:val="auto"/>
                      <w:szCs w:val="21"/>
                      <w:highlight w:val="none"/>
                      <w:u w:val="single"/>
                      <w:vertAlign w:val="superscript"/>
                    </w:rPr>
                    <w:t>2</w:t>
                  </w:r>
                  <w:r>
                    <w:rPr>
                      <w:rFonts w:hint="eastAsia"/>
                      <w:color w:val="auto"/>
                      <w:szCs w:val="21"/>
                      <w:highlight w:val="none"/>
                      <w:u w:val="single"/>
                      <w:vertAlign w:val="superscript"/>
                    </w:rPr>
                    <w:t>)</w:t>
                  </w:r>
                </w:p>
              </w:tc>
              <w:tc>
                <w:tcPr>
                  <w:tcW w:w="428" w:type="pct"/>
                  <w:vMerge w:val="restart"/>
                  <w:vAlign w:val="center"/>
                </w:tcPr>
                <w:p>
                  <w:pPr>
                    <w:jc w:val="center"/>
                    <w:rPr>
                      <w:color w:val="auto"/>
                      <w:szCs w:val="21"/>
                      <w:highlight w:val="none"/>
                      <w:u w:val="single"/>
                    </w:rPr>
                  </w:pPr>
                  <w:r>
                    <w:rPr>
                      <w:color w:val="auto"/>
                      <w:szCs w:val="21"/>
                      <w:highlight w:val="none"/>
                      <w:u w:val="single"/>
                    </w:rPr>
                    <w:t>功能区</w:t>
                  </w:r>
                </w:p>
                <w:p>
                  <w:pPr>
                    <w:jc w:val="center"/>
                    <w:rPr>
                      <w:color w:val="auto"/>
                      <w:szCs w:val="21"/>
                      <w:highlight w:val="none"/>
                      <w:u w:val="single"/>
                    </w:rPr>
                  </w:pPr>
                  <w:r>
                    <w:rPr>
                      <w:color w:val="auto"/>
                      <w:szCs w:val="21"/>
                      <w:highlight w:val="none"/>
                      <w:u w:val="single"/>
                    </w:rPr>
                    <w:t>类别</w:t>
                  </w:r>
                </w:p>
              </w:tc>
              <w:tc>
                <w:tcPr>
                  <w:tcW w:w="1026" w:type="pct"/>
                  <w:vMerge w:val="restart"/>
                  <w:vAlign w:val="center"/>
                </w:tcPr>
                <w:p>
                  <w:pPr>
                    <w:jc w:val="center"/>
                    <w:rPr>
                      <w:color w:val="auto"/>
                      <w:szCs w:val="21"/>
                      <w:highlight w:val="none"/>
                      <w:u w:val="single"/>
                    </w:rPr>
                  </w:pPr>
                  <w:r>
                    <w:rPr>
                      <w:color w:val="auto"/>
                      <w:szCs w:val="21"/>
                      <w:highlight w:val="none"/>
                      <w:u w:val="single"/>
                    </w:rPr>
                    <w:t>主要功能</w:t>
                  </w:r>
                </w:p>
              </w:tc>
              <w:tc>
                <w:tcPr>
                  <w:tcW w:w="1070" w:type="pct"/>
                  <w:gridSpan w:val="3"/>
                  <w:vAlign w:val="center"/>
                </w:tcPr>
                <w:p>
                  <w:pPr>
                    <w:jc w:val="center"/>
                    <w:rPr>
                      <w:color w:val="auto"/>
                      <w:szCs w:val="21"/>
                      <w:highlight w:val="none"/>
                      <w:u w:val="single"/>
                    </w:rPr>
                  </w:pPr>
                  <w:r>
                    <w:rPr>
                      <w:color w:val="auto"/>
                      <w:szCs w:val="21"/>
                      <w:highlight w:val="none"/>
                      <w:u w:val="single"/>
                    </w:rPr>
                    <w:t>海水水质目标及分阶段水质保护要求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9" w:type="pct"/>
                  <w:vMerge w:val="continue"/>
                  <w:vAlign w:val="center"/>
                </w:tcPr>
                <w:p>
                  <w:pPr>
                    <w:jc w:val="center"/>
                    <w:rPr>
                      <w:color w:val="auto"/>
                      <w:szCs w:val="21"/>
                      <w:highlight w:val="none"/>
                      <w:u w:val="single"/>
                    </w:rPr>
                  </w:pPr>
                </w:p>
              </w:tc>
              <w:tc>
                <w:tcPr>
                  <w:tcW w:w="669" w:type="pct"/>
                  <w:vMerge w:val="continue"/>
                  <w:vAlign w:val="center"/>
                </w:tcPr>
                <w:p>
                  <w:pPr>
                    <w:jc w:val="center"/>
                    <w:rPr>
                      <w:color w:val="auto"/>
                      <w:szCs w:val="21"/>
                      <w:highlight w:val="none"/>
                      <w:u w:val="single"/>
                    </w:rPr>
                  </w:pPr>
                </w:p>
              </w:tc>
              <w:tc>
                <w:tcPr>
                  <w:tcW w:w="812" w:type="pct"/>
                  <w:vMerge w:val="continue"/>
                  <w:vAlign w:val="center"/>
                </w:tcPr>
                <w:p>
                  <w:pPr>
                    <w:jc w:val="center"/>
                    <w:rPr>
                      <w:color w:val="auto"/>
                      <w:szCs w:val="21"/>
                      <w:highlight w:val="none"/>
                      <w:u w:val="single"/>
                    </w:rPr>
                  </w:pPr>
                </w:p>
              </w:tc>
              <w:tc>
                <w:tcPr>
                  <w:tcW w:w="482" w:type="pct"/>
                  <w:vMerge w:val="continue"/>
                  <w:vAlign w:val="center"/>
                </w:tcPr>
                <w:p>
                  <w:pPr>
                    <w:jc w:val="center"/>
                    <w:rPr>
                      <w:color w:val="auto"/>
                      <w:szCs w:val="21"/>
                      <w:highlight w:val="none"/>
                      <w:u w:val="single"/>
                    </w:rPr>
                  </w:pPr>
                </w:p>
              </w:tc>
              <w:tc>
                <w:tcPr>
                  <w:tcW w:w="428" w:type="pct"/>
                  <w:vMerge w:val="continue"/>
                  <w:vAlign w:val="center"/>
                </w:tcPr>
                <w:p>
                  <w:pPr>
                    <w:jc w:val="center"/>
                    <w:rPr>
                      <w:color w:val="auto"/>
                      <w:szCs w:val="21"/>
                      <w:highlight w:val="none"/>
                      <w:u w:val="single"/>
                    </w:rPr>
                  </w:pPr>
                </w:p>
              </w:tc>
              <w:tc>
                <w:tcPr>
                  <w:tcW w:w="1026" w:type="pct"/>
                  <w:vMerge w:val="continue"/>
                  <w:vAlign w:val="center"/>
                </w:tcPr>
                <w:p>
                  <w:pPr>
                    <w:jc w:val="center"/>
                    <w:rPr>
                      <w:color w:val="auto"/>
                      <w:szCs w:val="21"/>
                      <w:highlight w:val="none"/>
                      <w:u w:val="single"/>
                    </w:rPr>
                  </w:pPr>
                </w:p>
              </w:tc>
              <w:tc>
                <w:tcPr>
                  <w:tcW w:w="355" w:type="pct"/>
                  <w:vAlign w:val="center"/>
                </w:tcPr>
                <w:p>
                  <w:pPr>
                    <w:jc w:val="center"/>
                    <w:rPr>
                      <w:color w:val="auto"/>
                      <w:szCs w:val="21"/>
                      <w:highlight w:val="none"/>
                      <w:u w:val="single"/>
                    </w:rPr>
                  </w:pPr>
                  <w:r>
                    <w:rPr>
                      <w:color w:val="auto"/>
                      <w:szCs w:val="21"/>
                      <w:highlight w:val="none"/>
                      <w:u w:val="single"/>
                    </w:rPr>
                    <w:t>2025年</w:t>
                  </w:r>
                </w:p>
              </w:tc>
              <w:tc>
                <w:tcPr>
                  <w:tcW w:w="355" w:type="pct"/>
                  <w:vAlign w:val="center"/>
                </w:tcPr>
                <w:p>
                  <w:pPr>
                    <w:jc w:val="center"/>
                    <w:rPr>
                      <w:color w:val="auto"/>
                      <w:szCs w:val="21"/>
                      <w:highlight w:val="none"/>
                      <w:u w:val="single"/>
                    </w:rPr>
                  </w:pPr>
                  <w:r>
                    <w:rPr>
                      <w:color w:val="auto"/>
                      <w:szCs w:val="21"/>
                      <w:highlight w:val="none"/>
                      <w:u w:val="single"/>
                    </w:rPr>
                    <w:t>2030年</w:t>
                  </w:r>
                </w:p>
              </w:tc>
              <w:tc>
                <w:tcPr>
                  <w:tcW w:w="360" w:type="pct"/>
                  <w:vAlign w:val="center"/>
                </w:tcPr>
                <w:p>
                  <w:pPr>
                    <w:jc w:val="center"/>
                    <w:rPr>
                      <w:color w:val="auto"/>
                      <w:szCs w:val="21"/>
                      <w:highlight w:val="none"/>
                      <w:u w:val="single"/>
                    </w:rPr>
                  </w:pPr>
                  <w:r>
                    <w:rPr>
                      <w:color w:val="auto"/>
                      <w:szCs w:val="21"/>
                      <w:highlight w:val="none"/>
                      <w:u w:val="single"/>
                    </w:rPr>
                    <w:t>区划目标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9" w:type="pct"/>
                  <w:vAlign w:val="center"/>
                </w:tcPr>
                <w:p>
                  <w:pPr>
                    <w:jc w:val="center"/>
                    <w:rPr>
                      <w:rFonts w:hint="eastAsia" w:eastAsia="宋体"/>
                      <w:color w:val="auto"/>
                      <w:szCs w:val="21"/>
                      <w:highlight w:val="none"/>
                      <w:u w:val="single"/>
                      <w:lang w:val="en-US" w:eastAsia="zh-CN"/>
                    </w:rPr>
                  </w:pPr>
                  <w:r>
                    <w:rPr>
                      <w:rFonts w:hint="eastAsia"/>
                      <w:color w:val="auto"/>
                      <w:highlight w:val="none"/>
                      <w:u w:val="single"/>
                      <w:lang w:val="en-US" w:eastAsia="zh-CN"/>
                    </w:rPr>
                    <w:t>*</w:t>
                  </w:r>
                </w:p>
              </w:tc>
              <w:tc>
                <w:tcPr>
                  <w:tcW w:w="669" w:type="pct"/>
                  <w:vAlign w:val="center"/>
                </w:tcPr>
                <w:p>
                  <w:pPr>
                    <w:jc w:val="center"/>
                    <w:rPr>
                      <w:rFonts w:hint="default"/>
                      <w:color w:val="auto"/>
                      <w:szCs w:val="21"/>
                      <w:highlight w:val="none"/>
                      <w:u w:val="single"/>
                      <w:lang w:val="en-US"/>
                    </w:rPr>
                  </w:pPr>
                </w:p>
              </w:tc>
              <w:tc>
                <w:tcPr>
                  <w:tcW w:w="812" w:type="pct"/>
                  <w:vAlign w:val="center"/>
                </w:tcPr>
                <w:p>
                  <w:pPr>
                    <w:jc w:val="center"/>
                    <w:rPr>
                      <w:rFonts w:hint="default"/>
                      <w:color w:val="auto"/>
                      <w:szCs w:val="21"/>
                      <w:highlight w:val="none"/>
                      <w:u w:val="single"/>
                      <w:lang w:val="en-US"/>
                    </w:rPr>
                  </w:pPr>
                </w:p>
              </w:tc>
              <w:tc>
                <w:tcPr>
                  <w:tcW w:w="482" w:type="pct"/>
                  <w:vAlign w:val="center"/>
                </w:tcPr>
                <w:p>
                  <w:pPr>
                    <w:jc w:val="center"/>
                    <w:rPr>
                      <w:rFonts w:hint="default"/>
                      <w:color w:val="auto"/>
                      <w:szCs w:val="21"/>
                      <w:highlight w:val="none"/>
                      <w:u w:val="single"/>
                      <w:lang w:val="en-US"/>
                    </w:rPr>
                  </w:pPr>
                </w:p>
              </w:tc>
              <w:tc>
                <w:tcPr>
                  <w:tcW w:w="428" w:type="pct"/>
                  <w:vAlign w:val="center"/>
                </w:tcPr>
                <w:p>
                  <w:pPr>
                    <w:jc w:val="center"/>
                    <w:rPr>
                      <w:color w:val="auto"/>
                      <w:szCs w:val="21"/>
                      <w:highlight w:val="none"/>
                      <w:u w:val="single"/>
                    </w:rPr>
                  </w:pPr>
                  <w:r>
                    <w:rPr>
                      <w:color w:val="auto"/>
                      <w:szCs w:val="21"/>
                      <w:highlight w:val="none"/>
                      <w:u w:val="single"/>
                    </w:rPr>
                    <w:t>三类区</w:t>
                  </w:r>
                </w:p>
              </w:tc>
              <w:tc>
                <w:tcPr>
                  <w:tcW w:w="1026" w:type="pct"/>
                  <w:vAlign w:val="center"/>
                </w:tcPr>
                <w:p>
                  <w:pPr>
                    <w:jc w:val="center"/>
                    <w:rPr>
                      <w:color w:val="auto"/>
                      <w:szCs w:val="21"/>
                      <w:highlight w:val="none"/>
                      <w:u w:val="single"/>
                    </w:rPr>
                  </w:pPr>
                  <w:r>
                    <w:rPr>
                      <w:color w:val="auto"/>
                      <w:szCs w:val="21"/>
                      <w:highlight w:val="none"/>
                      <w:u w:val="single"/>
                    </w:rPr>
                    <w:t>一般工业用水、核电温排水、纳污</w:t>
                  </w:r>
                </w:p>
              </w:tc>
              <w:tc>
                <w:tcPr>
                  <w:tcW w:w="355" w:type="pct"/>
                  <w:vAlign w:val="center"/>
                </w:tcPr>
                <w:p>
                  <w:pPr>
                    <w:jc w:val="center"/>
                    <w:rPr>
                      <w:color w:val="auto"/>
                      <w:szCs w:val="21"/>
                      <w:highlight w:val="none"/>
                      <w:u w:val="single"/>
                    </w:rPr>
                  </w:pPr>
                  <w:r>
                    <w:rPr>
                      <w:color w:val="auto"/>
                      <w:highlight w:val="none"/>
                      <w:u w:val="single"/>
                    </w:rPr>
                    <w:t>三类</w:t>
                  </w:r>
                </w:p>
              </w:tc>
              <w:tc>
                <w:tcPr>
                  <w:tcW w:w="355" w:type="pct"/>
                  <w:vAlign w:val="center"/>
                </w:tcPr>
                <w:p>
                  <w:pPr>
                    <w:jc w:val="center"/>
                    <w:rPr>
                      <w:color w:val="auto"/>
                      <w:szCs w:val="21"/>
                      <w:highlight w:val="none"/>
                      <w:u w:val="single"/>
                    </w:rPr>
                  </w:pPr>
                  <w:r>
                    <w:rPr>
                      <w:color w:val="auto"/>
                      <w:highlight w:val="none"/>
                      <w:u w:val="single"/>
                    </w:rPr>
                    <w:t>三类</w:t>
                  </w:r>
                </w:p>
              </w:tc>
              <w:tc>
                <w:tcPr>
                  <w:tcW w:w="360" w:type="pct"/>
                  <w:vAlign w:val="center"/>
                </w:tcPr>
                <w:p>
                  <w:pPr>
                    <w:jc w:val="center"/>
                    <w:rPr>
                      <w:color w:val="auto"/>
                      <w:szCs w:val="21"/>
                      <w:highlight w:val="none"/>
                      <w:u w:val="single"/>
                    </w:rPr>
                  </w:pPr>
                  <w:r>
                    <w:rPr>
                      <w:color w:val="auto"/>
                      <w:highlight w:val="none"/>
                      <w:u w:val="single"/>
                    </w:rPr>
                    <w:t>三类</w:t>
                  </w:r>
                </w:p>
              </w:tc>
            </w:tr>
          </w:tbl>
          <w:p>
            <w:pPr>
              <w:pStyle w:val="8"/>
              <w:numPr>
                <w:ilvl w:val="0"/>
                <w:numId w:val="2"/>
              </w:numPr>
              <w:ind w:firstLine="480"/>
              <w:rPr>
                <w:color w:val="auto"/>
                <w:highlight w:val="none"/>
                <w:u w:val="single"/>
              </w:rPr>
            </w:pPr>
            <w:r>
              <w:rPr>
                <w:rFonts w:hint="eastAsia"/>
                <w:color w:val="auto"/>
                <w:highlight w:val="none"/>
                <w:u w:val="wave"/>
              </w:rPr>
              <w:t>福清核电6台机组原划定的排污混合区未突破最新海域功能区划的划定结果。根据《福建省人民政府关于福州市近岸海域环境功能区划的批复》（闽政文〔2008〕279号），并引用《福清核电厂1、2号机组环境影响报告书（运行阶段）》原文描述</w:t>
            </w:r>
            <w:r>
              <w:rPr>
                <w:rFonts w:hint="eastAsia"/>
                <w:color w:val="auto"/>
                <w:highlight w:val="none"/>
                <w:u w:val="single"/>
              </w:rPr>
              <w:t>：“兴化湾前薛排污混合区位于兴化湾东北部，前薛附近海域，总面积7.7km</w:t>
            </w:r>
            <w:r>
              <w:rPr>
                <w:rFonts w:hint="eastAsia"/>
                <w:color w:val="auto"/>
                <w:highlight w:val="none"/>
                <w:u w:val="single"/>
                <w:vertAlign w:val="superscript"/>
              </w:rPr>
              <w:t>2</w:t>
            </w:r>
            <w:r>
              <w:rPr>
                <w:rFonts w:hint="eastAsia"/>
                <w:color w:val="auto"/>
                <w:highlight w:val="none"/>
                <w:u w:val="single"/>
              </w:rPr>
              <w:t>。地理坐标为：</w:t>
            </w:r>
            <w:r>
              <w:rPr>
                <w:rFonts w:hint="eastAsia"/>
                <w:color w:val="auto"/>
                <w:highlight w:val="none"/>
                <w:u w:val="single"/>
                <w:lang w:val="en-US" w:eastAsia="zh-CN"/>
              </w:rPr>
              <w:t>***</w:t>
            </w:r>
            <w:r>
              <w:rPr>
                <w:rFonts w:hint="eastAsia"/>
                <w:color w:val="auto"/>
                <w:highlight w:val="none"/>
                <w:u w:val="single"/>
              </w:rPr>
              <w:t>。该海域为工程温排水4℃以上温升区范围，调整后划为排污混合区，不执行任何水质标准，主导功能为核电厂用海。”</w:t>
            </w:r>
            <w:r>
              <w:rPr>
                <w:rFonts w:hint="eastAsia"/>
                <w:color w:val="auto"/>
                <w:highlight w:val="none"/>
                <w:u w:val="wave"/>
              </w:rPr>
              <w:t>排污混合区见下图1-1（补充说明；由于核电厂非放射性废水占温排水的量不到0.02%，对海域影响最突出的是温排水，因此以温升线划定排污混合区）。福清核电1-6号机组建设是一次规划分3期建设，每期建设2台机组，在2008年~2011年分别完成了《福清核电厂取排水工程温排水综合分析研究报告》（2008.06）、《福清核电厂二期工程温排水及低放废水综合分析研究报告》（2009.05）、《福清核电厂5、6号机组温排水数值模拟补充计算研究报告》（2011.02），这些外委报告关于排污混合区、6台机组的温排水影响区等研究成果被引用在《福清核电厂1、2号机组环境影响报告书（运行阶段）》（2014）中（见附件18），本次环评将原划定的排污混合区边界叠加到最新的海域环境功能区划征求意见稿中，见附图2-3，从图看出，原1-6号机组的排污混合区未超过最新海域环境功能区划的三类区边界。</w:t>
            </w:r>
          </w:p>
          <w:p>
            <w:pPr>
              <w:pStyle w:val="34"/>
              <w:rPr>
                <w:rFonts w:hint="default" w:eastAsia="宋体"/>
                <w:color w:val="auto"/>
                <w:highlight w:val="none"/>
                <w:lang w:val="en-US" w:eastAsia="zh-CN"/>
              </w:rPr>
            </w:pPr>
            <w:r>
              <w:rPr>
                <w:rFonts w:hint="eastAsia"/>
                <w:color w:val="auto"/>
                <w:highlight w:val="none"/>
                <w:lang w:val="en-US" w:eastAsia="zh-CN"/>
              </w:rPr>
              <w:t>**涉密</w:t>
            </w:r>
          </w:p>
          <w:p>
            <w:pPr>
              <w:ind w:firstLine="420" w:firstLineChars="200"/>
              <w:jc w:val="center"/>
              <w:rPr>
                <w:color w:val="auto"/>
                <w:highlight w:val="none"/>
                <w:u w:val="single"/>
              </w:rPr>
            </w:pPr>
            <w:r>
              <w:rPr>
                <w:rFonts w:hint="eastAsia"/>
                <w:color w:val="auto"/>
                <w:highlight w:val="none"/>
              </w:rPr>
              <w:t>图1-1福清核电6台机组排污混合区范围及福州市近岸海域环境功能区划（摘自</w:t>
            </w:r>
            <w:r>
              <w:rPr>
                <w:rFonts w:hint="eastAsia"/>
                <w:color w:val="auto"/>
                <w:highlight w:val="none"/>
                <w:u w:val="single"/>
              </w:rPr>
              <w:t>《福清核电厂1、2号机组环境影响报告书（运行阶段）》）</w:t>
            </w:r>
          </w:p>
          <w:p>
            <w:pPr>
              <w:pStyle w:val="8"/>
              <w:rPr>
                <w:color w:val="auto"/>
                <w:highlight w:val="none"/>
                <w:u w:val="single"/>
              </w:rPr>
            </w:pPr>
            <w:r>
              <w:rPr>
                <w:rFonts w:hint="eastAsia"/>
                <w:color w:val="auto"/>
                <w:highlight w:val="none"/>
                <w:u w:val="single"/>
              </w:rPr>
              <w:t>②项目为污染物减排，对海洋环境影响向好</w:t>
            </w:r>
          </w:p>
          <w:p>
            <w:pPr>
              <w:pStyle w:val="8"/>
              <w:rPr>
                <w:color w:val="auto"/>
                <w:highlight w:val="none"/>
                <w:u w:val="single"/>
              </w:rPr>
            </w:pPr>
            <w:r>
              <w:rPr>
                <w:rFonts w:hint="eastAsia"/>
                <w:color w:val="auto"/>
                <w:highlight w:val="none"/>
                <w:u w:val="single"/>
              </w:rPr>
              <w:t>福清核电厂区雨废分离项目实施后，将原与雨水共管排放的非放射性生产废水与雨水分离、集中收集处理达到《污水综合排放标准》（GB 8978-1996）表4一级标准后，排入现有厂区入海总排口。项目实施将减少现状非放射性废水中的污染物排放，COD、氨氮和总磷分别减少38.14t/a、2.45t/a和6.02t/a，对外环境的影响是正向的。</w:t>
            </w:r>
          </w:p>
          <w:p>
            <w:pPr>
              <w:pStyle w:val="8"/>
              <w:rPr>
                <w:color w:val="auto"/>
                <w:highlight w:val="none"/>
                <w:u w:val="single"/>
              </w:rPr>
            </w:pPr>
            <w:r>
              <w:rPr>
                <w:rFonts w:hint="eastAsia"/>
                <w:color w:val="auto"/>
                <w:highlight w:val="none"/>
                <w:u w:val="single"/>
              </w:rPr>
              <w:t>③周边海水水质质量现状较好</w:t>
            </w:r>
          </w:p>
          <w:p>
            <w:pPr>
              <w:pStyle w:val="8"/>
              <w:rPr>
                <w:color w:val="auto"/>
                <w:highlight w:val="none"/>
                <w:u w:val="single"/>
              </w:rPr>
            </w:pPr>
            <w:r>
              <w:rPr>
                <w:color w:val="auto"/>
                <w:highlight w:val="none"/>
                <w:u w:val="single"/>
              </w:rPr>
              <w:t>根据现状调查结果，选取排污口周边5km范围内海域常规国省控点位2024年秋季、2025年春季和夏季共3季调查数据说明其海域水环境现状。</w:t>
            </w:r>
            <w:r>
              <w:rPr>
                <w:rFonts w:hint="eastAsia"/>
                <w:color w:val="auto"/>
                <w:highlight w:val="none"/>
                <w:u w:val="single"/>
              </w:rPr>
              <w:t>调查数据详见本报告后文第3章表3-4，</w:t>
            </w:r>
            <w:r>
              <w:rPr>
                <w:color w:val="auto"/>
                <w:highlight w:val="none"/>
                <w:u w:val="single"/>
              </w:rPr>
              <w:t>FJDS01019、FJS0109、FJS0110、FJS02001共4个调查站位2024年、2025年水质均可以稳定达到二类海水水质，优于三类功能区的要求，部分站位数据甚至可以达到一类海水水质。四个监测站位分别位于东南西北四个方位，</w:t>
            </w:r>
            <w:r>
              <w:rPr>
                <w:rFonts w:hint="eastAsia"/>
                <w:color w:val="auto"/>
                <w:highlight w:val="none"/>
                <w:u w:val="single"/>
              </w:rPr>
              <w:t>涵盖近岸海域功能区划修编后的三类区和二类区，</w:t>
            </w:r>
            <w:r>
              <w:rPr>
                <w:color w:val="auto"/>
                <w:highlight w:val="none"/>
                <w:u w:val="single"/>
              </w:rPr>
              <w:t>能够代表入海排污口对周边海水水质的当前影响状况。经本项目实施收集与处理后排放，对周边海域水质的影响将进一步降低。</w:t>
            </w:r>
          </w:p>
          <w:p>
            <w:pPr>
              <w:pStyle w:val="8"/>
              <w:rPr>
                <w:color w:val="auto"/>
                <w:highlight w:val="none"/>
              </w:rPr>
            </w:pPr>
            <w:r>
              <w:rPr>
                <w:rFonts w:hint="eastAsia"/>
                <w:color w:val="auto"/>
                <w:highlight w:val="none"/>
                <w:u w:val="single"/>
              </w:rPr>
              <w:t>综上所述</w:t>
            </w:r>
            <w:r>
              <w:rPr>
                <w:color w:val="auto"/>
                <w:highlight w:val="none"/>
                <w:u w:val="single"/>
              </w:rPr>
              <w:t>，本项目为减排项目</w:t>
            </w:r>
            <w:r>
              <w:rPr>
                <w:rFonts w:hint="eastAsia"/>
                <w:color w:val="auto"/>
                <w:highlight w:val="none"/>
                <w:u w:val="single"/>
                <w:lang w:eastAsia="zh-CN"/>
              </w:rPr>
              <w:t>且</w:t>
            </w:r>
            <w:r>
              <w:rPr>
                <w:color w:val="auto"/>
                <w:highlight w:val="none"/>
                <w:u w:val="single"/>
              </w:rPr>
              <w:t>入海排污口周边国省控站位水质现状可以稳定达到第二类海水质量标准，</w:t>
            </w:r>
            <w:r>
              <w:rPr>
                <w:rFonts w:hint="eastAsia"/>
                <w:color w:val="auto"/>
                <w:highlight w:val="none"/>
                <w:u w:val="single"/>
              </w:rPr>
              <w:t>排污混合区未突破现有及即将划定的功能区划定结果。认为</w:t>
            </w:r>
            <w:r>
              <w:rPr>
                <w:color w:val="auto"/>
                <w:highlight w:val="none"/>
                <w:u w:val="single"/>
              </w:rPr>
              <w:t>福清核电厂区雨废分离项目的建成投产，符合《福建省近岸海域环境功能区划（修编）》调整后相关要求。</w:t>
            </w:r>
          </w:p>
          <w:p>
            <w:pPr>
              <w:pStyle w:val="8"/>
              <w:ind w:firstLine="482"/>
              <w:rPr>
                <w:b/>
                <w:bCs/>
                <w:color w:val="auto"/>
                <w:highlight w:val="none"/>
              </w:rPr>
            </w:pPr>
            <w:r>
              <w:rPr>
                <w:rFonts w:hint="eastAsia"/>
                <w:b/>
                <w:bCs/>
                <w:color w:val="auto"/>
                <w:highlight w:val="none"/>
              </w:rPr>
              <w:t>（</w:t>
            </w:r>
            <w:r>
              <w:rPr>
                <w:rFonts w:hint="eastAsia"/>
                <w:b/>
                <w:bCs/>
                <w:color w:val="auto"/>
                <w:highlight w:val="none"/>
                <w:lang w:eastAsia="zh"/>
              </w:rPr>
              <w:t>3</w:t>
            </w:r>
            <w:r>
              <w:rPr>
                <w:rFonts w:hint="eastAsia"/>
                <w:b/>
                <w:bCs/>
                <w:color w:val="auto"/>
                <w:highlight w:val="none"/>
              </w:rPr>
              <w:t>）与《福清市国土空间总体规划（2021—2035年）》的符合性分析</w:t>
            </w:r>
          </w:p>
          <w:p>
            <w:pPr>
              <w:pStyle w:val="8"/>
              <w:rPr>
                <w:color w:val="auto"/>
                <w:highlight w:val="none"/>
              </w:rPr>
            </w:pPr>
            <w:r>
              <w:rPr>
                <w:rFonts w:hint="eastAsia"/>
                <w:color w:val="auto"/>
                <w:highlight w:val="none"/>
              </w:rPr>
              <w:t>本项目位于福清核电基地内，不新增用地，非放射性废水处理站处理后的废水排入兴化湾。根据项目与《福清市国土空间总体规划（2021—2035年）》市域国土空间用地用海现状叠图（附图</w:t>
            </w:r>
            <w:r>
              <w:rPr>
                <w:rFonts w:hint="eastAsia"/>
                <w:color w:val="auto"/>
                <w:highlight w:val="none"/>
                <w:lang w:eastAsia="zh"/>
              </w:rPr>
              <w:t>3</w:t>
            </w:r>
            <w:r>
              <w:rPr>
                <w:rFonts w:hint="eastAsia"/>
                <w:color w:val="auto"/>
                <w:highlight w:val="none"/>
              </w:rPr>
              <w:t>），可知项目所在核电厂位于工矿用地，用地性质符合福清市国土空间总体规划要求。</w:t>
            </w:r>
          </w:p>
          <w:p>
            <w:pPr>
              <w:pStyle w:val="8"/>
              <w:rPr>
                <w:color w:val="auto"/>
                <w:highlight w:val="none"/>
                <w:u w:val="wave"/>
              </w:rPr>
            </w:pPr>
            <w:r>
              <w:rPr>
                <w:rFonts w:hint="eastAsia"/>
                <w:color w:val="auto"/>
                <w:highlight w:val="none"/>
              </w:rPr>
              <w:t>根据项目与《福清市国土空间总体规划（2021—2035年）》市域国土空间规划分区叠图（附图</w:t>
            </w:r>
            <w:r>
              <w:rPr>
                <w:rFonts w:hint="eastAsia"/>
                <w:color w:val="auto"/>
                <w:highlight w:val="none"/>
                <w:lang w:eastAsia="zh"/>
              </w:rPr>
              <w:t>4</w:t>
            </w:r>
            <w:r>
              <w:rPr>
                <w:rFonts w:hint="eastAsia"/>
                <w:color w:val="auto"/>
                <w:highlight w:val="none"/>
              </w:rPr>
              <w:t>），福清核电入海排污口所在海域属于特殊用海区，特殊用海区空间用途准入要求为：以科研教学、海岸防护、防灾减灾、污水达标排放、倾倒、取排水、生态修复和军事用海为主导功能；兼容渔业基础设施、陆岛交通码头、旅游码头、游艇码头、航道、锚地、路桥隧道、可再生能源利用、海底电缆管道、风景旅游和文体休闲娱乐等用海。项目非放射性废水处理站处理达标后的废水排入现有虹吸井中（总排放渠混合井CC），最终排入特殊用海区，属于“污水达标排放”用途，</w:t>
            </w:r>
            <w:r>
              <w:rPr>
                <w:rFonts w:hint="eastAsia"/>
                <w:color w:val="auto"/>
                <w:highlight w:val="none"/>
                <w:u w:val="wave"/>
              </w:rPr>
              <w:t>根据叠图比对，现有6台机组的排污混合区包络在国空特殊用海区范围内，本项目依托现有入海排污口、不新增排污量，原有排污混合区维持不变，符合国空划定的特殊用海区空间用途准入要求。</w:t>
            </w:r>
          </w:p>
          <w:p>
            <w:pPr>
              <w:pStyle w:val="8"/>
              <w:rPr>
                <w:color w:val="auto"/>
                <w:highlight w:val="none"/>
              </w:rPr>
            </w:pPr>
            <w:r>
              <w:rPr>
                <w:rFonts w:hint="eastAsia"/>
                <w:color w:val="auto"/>
                <w:highlight w:val="none"/>
              </w:rPr>
              <w:t>综上，项目选址符合《福清市国土空间总体规划（2021—2035年）》要求。</w:t>
            </w:r>
          </w:p>
          <w:p>
            <w:pPr>
              <w:pStyle w:val="8"/>
              <w:ind w:firstLine="482"/>
              <w:rPr>
                <w:b/>
                <w:bCs/>
                <w:color w:val="auto"/>
                <w:highlight w:val="none"/>
              </w:rPr>
            </w:pPr>
            <w:r>
              <w:rPr>
                <w:rFonts w:hint="eastAsia"/>
                <w:b/>
                <w:bCs/>
                <w:color w:val="auto"/>
                <w:highlight w:val="none"/>
              </w:rPr>
              <w:t>（</w:t>
            </w:r>
            <w:r>
              <w:rPr>
                <w:rFonts w:hint="eastAsia"/>
                <w:b/>
                <w:bCs/>
                <w:color w:val="auto"/>
                <w:highlight w:val="none"/>
                <w:lang w:eastAsia="zh"/>
              </w:rPr>
              <w:t>4</w:t>
            </w:r>
            <w:r>
              <w:rPr>
                <w:rFonts w:hint="eastAsia"/>
                <w:b/>
                <w:bCs/>
                <w:color w:val="auto"/>
                <w:highlight w:val="none"/>
              </w:rPr>
              <w:t>）与《福清市养殖水域滩涂规划（2018—2030年）》（2024年修编）的符合性分析</w:t>
            </w:r>
          </w:p>
          <w:p>
            <w:pPr>
              <w:pStyle w:val="8"/>
              <w:rPr>
                <w:color w:val="auto"/>
                <w:highlight w:val="none"/>
              </w:rPr>
            </w:pPr>
            <w:r>
              <w:rPr>
                <w:rFonts w:hint="eastAsia"/>
                <w:color w:val="auto"/>
                <w:highlight w:val="none"/>
              </w:rPr>
              <w:t>根据《福清市养殖水域滩涂规划（2018—2030年）》（2024年修编），养殖水域滩涂功能区分为禁止养殖区、限制养殖区和养殖区。项目位于福清核电厂已建厂区内，非放射性废水处理站处理后的废水排入兴化湾。根据项目与福清市养殖水域滩涂规划位置关系图（附图</w:t>
            </w:r>
            <w:r>
              <w:rPr>
                <w:rFonts w:hint="eastAsia"/>
                <w:color w:val="auto"/>
                <w:highlight w:val="none"/>
                <w:lang w:eastAsia="zh"/>
              </w:rPr>
              <w:t>5</w:t>
            </w:r>
            <w:r>
              <w:rPr>
                <w:rFonts w:hint="eastAsia"/>
                <w:color w:val="auto"/>
                <w:highlight w:val="none"/>
              </w:rPr>
              <w:t>）可知，现有厂区总排放口位于“1-4.3牛头尾其他特殊用海”禁养区。</w:t>
            </w:r>
          </w:p>
          <w:p>
            <w:pPr>
              <w:pStyle w:val="8"/>
              <w:rPr>
                <w:color w:val="auto"/>
                <w:highlight w:val="none"/>
              </w:rPr>
            </w:pPr>
            <w:r>
              <w:rPr>
                <w:rFonts w:hint="eastAsia"/>
                <w:color w:val="auto"/>
                <w:highlight w:val="none"/>
              </w:rPr>
              <w:t>禁养区管控要求：禁养区内严格禁止养殖活动，对现有的水产养殖由本级人民政府及相关部门负责限期搬迁或清退。严格执法，清理整治侵占港区和航道等公共设施安全区域的非法养殖行为。禁养区内重点生态功能区、公共设施安全区、特殊利用区等划定前已有的水产养殖，搬迁或关停造成养殖生产者经济损失的应依法给予补偿，并妥善安置养殖渔民生产生活。</w:t>
            </w:r>
          </w:p>
          <w:p>
            <w:pPr>
              <w:pStyle w:val="8"/>
              <w:rPr>
                <w:color w:val="auto"/>
                <w:highlight w:val="none"/>
              </w:rPr>
            </w:pPr>
            <w:r>
              <w:rPr>
                <w:rFonts w:hint="eastAsia"/>
                <w:color w:val="auto"/>
                <w:highlight w:val="none"/>
              </w:rPr>
              <w:t>本项目属于现有核电项目的雨废分离水质提升项目，项目依托的核电厂总排放口位于禁止养殖区，</w:t>
            </w:r>
            <w:r>
              <w:rPr>
                <w:rFonts w:hint="eastAsia"/>
                <w:color w:val="auto"/>
                <w:highlight w:val="none"/>
                <w:lang w:eastAsia="zh"/>
              </w:rPr>
              <w:t>距离最近“3-1-1围垦养殖区”约5km，</w:t>
            </w:r>
            <w:r>
              <w:rPr>
                <w:rFonts w:hint="eastAsia"/>
                <w:color w:val="auto"/>
                <w:highlight w:val="none"/>
              </w:rPr>
              <w:t>项目实施后，将原与雨水共管排放的非放射性生产废水与雨水分离，集中收集、处置后再排回虹吸井（总排放渠混合井CC），外排出水水质提高，排放的污染物总量减少，一定程度提高兴化湾海水水质。</w:t>
            </w:r>
          </w:p>
          <w:p>
            <w:pPr>
              <w:pStyle w:val="8"/>
              <w:rPr>
                <w:color w:val="auto"/>
                <w:szCs w:val="21"/>
                <w:highlight w:val="none"/>
              </w:rPr>
            </w:pPr>
            <w:r>
              <w:rPr>
                <w:rFonts w:hint="eastAsia"/>
                <w:color w:val="auto"/>
                <w:highlight w:val="none"/>
              </w:rPr>
              <w:t>综上，项目的建设符合《福清市养殖水域滩涂规划（2018—2030年）》（2024年修编）要求。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7" w:type="dxa"/>
            <w:vAlign w:val="center"/>
          </w:tcPr>
          <w:p>
            <w:pPr>
              <w:autoSpaceDE w:val="0"/>
              <w:autoSpaceDN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其他符合性分析</w:t>
            </w:r>
          </w:p>
        </w:tc>
        <w:tc>
          <w:tcPr>
            <w:tcW w:w="7313" w:type="dxa"/>
            <w:gridSpan w:val="3"/>
            <w:vAlign w:val="center"/>
          </w:tcPr>
          <w:p>
            <w:pPr>
              <w:pStyle w:val="3"/>
              <w:rPr>
                <w:color w:val="auto"/>
                <w:highlight w:val="none"/>
              </w:rPr>
            </w:pPr>
            <w:bookmarkStart w:id="5" w:name="_Toc20071"/>
            <w:bookmarkStart w:id="6" w:name="_Toc6830"/>
            <w:r>
              <w:rPr>
                <w:rFonts w:hint="eastAsia"/>
                <w:color w:val="auto"/>
                <w:highlight w:val="none"/>
              </w:rPr>
              <w:t>1.2其他符合性分析</w:t>
            </w:r>
            <w:bookmarkEnd w:id="5"/>
            <w:bookmarkEnd w:id="6"/>
          </w:p>
          <w:p>
            <w:pPr>
              <w:pStyle w:val="8"/>
              <w:ind w:firstLine="482"/>
              <w:rPr>
                <w:b/>
                <w:bCs/>
                <w:color w:val="auto"/>
                <w:highlight w:val="none"/>
              </w:rPr>
            </w:pPr>
            <w:r>
              <w:rPr>
                <w:rFonts w:hint="eastAsia"/>
                <w:b/>
                <w:bCs/>
                <w:color w:val="auto"/>
                <w:highlight w:val="none"/>
              </w:rPr>
              <w:t>（1）产业政策符合性分析</w:t>
            </w:r>
          </w:p>
          <w:p>
            <w:pPr>
              <w:pStyle w:val="8"/>
              <w:rPr>
                <w:color w:val="auto"/>
                <w:highlight w:val="none"/>
              </w:rPr>
            </w:pPr>
            <w:r>
              <w:rPr>
                <w:rFonts w:hint="eastAsia"/>
                <w:color w:val="auto"/>
                <w:highlight w:val="none"/>
              </w:rPr>
              <w:t>本项目为核电厂配套污水改建及管网工程，根据《产业结构调整指导目录（2024年本）》，本项目不属于限制类、淘汰类，根据国务院关于发布实施《促进产业结构调整暂行规定》的决定（国发〔2005〕40号）中的第十三条规定：“《产业结构调整指导目录》由鼓励、限制和淘汰三类目录组成，不属于鼓励类、限制类和淘汰类</w:t>
            </w:r>
            <w:r>
              <w:rPr>
                <w:rFonts w:hint="eastAsia"/>
                <w:color w:val="auto"/>
                <w:highlight w:val="none"/>
                <w:lang w:eastAsia="zh-CN"/>
              </w:rPr>
              <w:t>且</w:t>
            </w:r>
            <w:r>
              <w:rPr>
                <w:rFonts w:hint="eastAsia"/>
                <w:color w:val="auto"/>
                <w:highlight w:val="none"/>
              </w:rPr>
              <w:t>符合国家有关法律法规和政策规定的，为允许类”，故本项目属于允许类，项目的建设符合国家产业政策。已完成项目备案，项目的建设符合地方产业政策。</w:t>
            </w:r>
          </w:p>
          <w:p>
            <w:pPr>
              <w:pStyle w:val="8"/>
              <w:rPr>
                <w:color w:val="auto"/>
                <w:highlight w:val="none"/>
              </w:rPr>
            </w:pPr>
            <w:r>
              <w:rPr>
                <w:rFonts w:hint="eastAsia"/>
                <w:color w:val="auto"/>
                <w:highlight w:val="none"/>
              </w:rPr>
              <w:t>综上，项目符合国家及地方当前的产业政策要求。</w:t>
            </w:r>
          </w:p>
          <w:p>
            <w:pPr>
              <w:pStyle w:val="8"/>
              <w:ind w:firstLine="482"/>
              <w:rPr>
                <w:b/>
                <w:bCs/>
                <w:color w:val="auto"/>
                <w:highlight w:val="none"/>
              </w:rPr>
            </w:pPr>
            <w:r>
              <w:rPr>
                <w:rFonts w:hint="eastAsia"/>
                <w:b/>
                <w:bCs/>
                <w:color w:val="auto"/>
                <w:highlight w:val="none"/>
              </w:rPr>
              <w:t>（2）选址合理性分析</w:t>
            </w:r>
          </w:p>
          <w:p>
            <w:pPr>
              <w:pStyle w:val="8"/>
              <w:rPr>
                <w:color w:val="auto"/>
                <w:highlight w:val="none"/>
              </w:rPr>
            </w:pPr>
            <w:r>
              <w:rPr>
                <w:rFonts w:hint="eastAsia"/>
                <w:color w:val="auto"/>
                <w:highlight w:val="none"/>
              </w:rPr>
              <w:t>拟建项目位于福清核电基地内，不新增用地，厂址不涉及自然保护区、生态功能保护区、风景名胜区、森林公园、饮用水水源保护区，不占用基本农田。</w:t>
            </w:r>
          </w:p>
          <w:p>
            <w:pPr>
              <w:pStyle w:val="8"/>
              <w:rPr>
                <w:color w:val="auto"/>
                <w:highlight w:val="none"/>
              </w:rPr>
            </w:pPr>
            <w:r>
              <w:rPr>
                <w:rFonts w:hint="eastAsia"/>
                <w:color w:val="auto"/>
                <w:highlight w:val="none"/>
              </w:rPr>
              <w:t>本项目建设的非放射性废水处理站位于排污虹吸井（总排放渠混合井CC）南侧附近空地，有助于污水管道布设和污水收集、排放。</w:t>
            </w:r>
          </w:p>
          <w:p>
            <w:pPr>
              <w:pStyle w:val="8"/>
              <w:rPr>
                <w:color w:val="auto"/>
                <w:highlight w:val="none"/>
              </w:rPr>
            </w:pPr>
            <w:r>
              <w:rPr>
                <w:rFonts w:hint="eastAsia"/>
                <w:color w:val="auto"/>
                <w:highlight w:val="none"/>
              </w:rPr>
              <w:t>综上，项目新建的非放射性废水处理站选址可行。</w:t>
            </w:r>
          </w:p>
          <w:p>
            <w:pPr>
              <w:pStyle w:val="3"/>
              <w:rPr>
                <w:color w:val="auto"/>
                <w:highlight w:val="none"/>
              </w:rPr>
            </w:pPr>
            <w:bookmarkStart w:id="7" w:name="_Toc13961"/>
            <w:bookmarkStart w:id="8" w:name="_Toc18358"/>
            <w:r>
              <w:rPr>
                <w:rFonts w:hint="eastAsia"/>
                <w:color w:val="auto"/>
                <w:highlight w:val="none"/>
              </w:rPr>
              <w:t>1.3与“三区三线”划定成果符合性分析</w:t>
            </w:r>
            <w:bookmarkEnd w:id="7"/>
            <w:bookmarkEnd w:id="8"/>
          </w:p>
          <w:p>
            <w:pPr>
              <w:pStyle w:val="8"/>
              <w:rPr>
                <w:color w:val="auto"/>
                <w:highlight w:val="none"/>
              </w:rPr>
            </w:pPr>
            <w:r>
              <w:rPr>
                <w:rFonts w:hint="eastAsia"/>
                <w:color w:val="auto"/>
                <w:highlight w:val="none"/>
              </w:rPr>
              <w:t>本项目为核电站配套的</w:t>
            </w:r>
            <w:r>
              <w:rPr>
                <w:rFonts w:hint="eastAsia"/>
                <w:color w:val="auto"/>
                <w:highlight w:val="none"/>
                <w:lang w:eastAsia="zh-CN"/>
              </w:rPr>
              <w:t>废水处理站</w:t>
            </w:r>
            <w:r>
              <w:rPr>
                <w:rFonts w:hint="eastAsia"/>
                <w:color w:val="auto"/>
                <w:highlight w:val="none"/>
              </w:rPr>
              <w:t>及配套管网改造项目，位于福清核电基地内现有厂区内，不新增用地。根据《福清市国土空间总体规划（2021—2035年）》市域国土空间控制线规划叠图（附图6），项目不涉及海洋生态保护红线、永久基本农田、城镇开发边界等。</w:t>
            </w:r>
          </w:p>
          <w:p>
            <w:pPr>
              <w:pStyle w:val="8"/>
              <w:rPr>
                <w:color w:val="auto"/>
                <w:highlight w:val="none"/>
              </w:rPr>
            </w:pPr>
            <w:r>
              <w:rPr>
                <w:rFonts w:hint="eastAsia"/>
                <w:color w:val="auto"/>
                <w:highlight w:val="none"/>
              </w:rPr>
              <w:t>因此，非放射性废水处理站的建设不改变前沿水深地形条件，对生态保护红线基本无影响，符合“三区三线”划定成果。</w:t>
            </w:r>
          </w:p>
          <w:p>
            <w:pPr>
              <w:pStyle w:val="3"/>
              <w:rPr>
                <w:color w:val="auto"/>
                <w:highlight w:val="none"/>
              </w:rPr>
            </w:pPr>
            <w:bookmarkStart w:id="9" w:name="_Toc12133"/>
            <w:bookmarkStart w:id="10" w:name="_Toc17554"/>
            <w:r>
              <w:rPr>
                <w:rFonts w:hint="eastAsia"/>
                <w:color w:val="auto"/>
                <w:highlight w:val="none"/>
              </w:rPr>
              <w:t>1.4与“三线一单”符合性分析</w:t>
            </w:r>
            <w:bookmarkEnd w:id="9"/>
            <w:bookmarkEnd w:id="10"/>
          </w:p>
          <w:p>
            <w:pPr>
              <w:pStyle w:val="8"/>
              <w:rPr>
                <w:color w:val="auto"/>
                <w:highlight w:val="none"/>
              </w:rPr>
            </w:pPr>
            <w:r>
              <w:rPr>
                <w:rFonts w:hint="eastAsia"/>
                <w:color w:val="auto"/>
                <w:highlight w:val="none"/>
              </w:rPr>
              <w:t>根据《关于以改善环境质量为核心、加强环境影响评价管理的通知》（环环评〔2016〕150号）（简称“三线一单”）要求，落实“生态保护红线、环境质量底线、资源利用上线和环境准入负面清单”（简称“三线一单”）约束，结合《福州市生态环境分区管控方案（2023年更新）》（榕政办规〔2024〕20号），对项目“三线一单”管理要求符合性分析如下。</w:t>
            </w:r>
          </w:p>
          <w:p>
            <w:pPr>
              <w:pStyle w:val="8"/>
              <w:ind w:firstLine="482"/>
              <w:rPr>
                <w:b/>
                <w:bCs/>
                <w:color w:val="auto"/>
                <w:highlight w:val="none"/>
              </w:rPr>
            </w:pPr>
            <w:r>
              <w:rPr>
                <w:rFonts w:hint="eastAsia"/>
                <w:b/>
                <w:bCs/>
                <w:color w:val="auto"/>
                <w:highlight w:val="none"/>
              </w:rPr>
              <w:t>（1）生态保护红线</w:t>
            </w:r>
          </w:p>
          <w:p>
            <w:pPr>
              <w:pStyle w:val="8"/>
              <w:rPr>
                <w:color w:val="auto"/>
                <w:highlight w:val="none"/>
              </w:rPr>
            </w:pPr>
            <w:r>
              <w:rPr>
                <w:rFonts w:hint="eastAsia"/>
                <w:color w:val="auto"/>
                <w:highlight w:val="none"/>
              </w:rPr>
              <w:t>项目位于福清核电厂区内，不新增用地，本项目不占用基本农田，不在自然保护区、风景名胜区和其他需要特别保护等法律法规禁止开发建设的区域，符合生态红线控制要求。</w:t>
            </w:r>
          </w:p>
          <w:p>
            <w:pPr>
              <w:pStyle w:val="8"/>
              <w:ind w:firstLine="482"/>
              <w:rPr>
                <w:b/>
                <w:bCs/>
                <w:color w:val="auto"/>
                <w:highlight w:val="none"/>
              </w:rPr>
            </w:pPr>
            <w:r>
              <w:rPr>
                <w:rFonts w:hint="eastAsia"/>
                <w:b/>
                <w:bCs/>
                <w:color w:val="auto"/>
                <w:highlight w:val="none"/>
              </w:rPr>
              <w:t>（2）环境质量底线</w:t>
            </w:r>
          </w:p>
          <w:p>
            <w:pPr>
              <w:pStyle w:val="8"/>
              <w:rPr>
                <w:color w:val="auto"/>
                <w:highlight w:val="none"/>
              </w:rPr>
            </w:pPr>
            <w:r>
              <w:rPr>
                <w:rFonts w:hint="eastAsia"/>
                <w:color w:val="auto"/>
                <w:highlight w:val="none"/>
              </w:rPr>
              <w:t>项目位于福清核电厂区内，项目营运期声环境执行《声环境质量标准》（GB 3096-2008）中3类标准，环境空气质量执行《环境空气质量标准》（GB 3095-2012）及修改单中二级浓度限值，项目所在海域海水水质执行《海水水质标准》（GB 3097-1997）第三类海水水质标准。</w:t>
            </w:r>
          </w:p>
          <w:p>
            <w:pPr>
              <w:pStyle w:val="8"/>
              <w:rPr>
                <w:color w:val="auto"/>
                <w:highlight w:val="none"/>
              </w:rPr>
            </w:pPr>
            <w:r>
              <w:rPr>
                <w:rFonts w:hint="eastAsia"/>
                <w:color w:val="auto"/>
                <w:highlight w:val="none"/>
              </w:rPr>
              <w:t>本项目为核电站配套的</w:t>
            </w:r>
            <w:r>
              <w:rPr>
                <w:rFonts w:hint="eastAsia"/>
                <w:color w:val="auto"/>
                <w:highlight w:val="none"/>
                <w:lang w:eastAsia="zh-CN"/>
              </w:rPr>
              <w:t>废水处理站</w:t>
            </w:r>
            <w:r>
              <w:rPr>
                <w:rFonts w:hint="eastAsia"/>
                <w:color w:val="auto"/>
                <w:highlight w:val="none"/>
              </w:rPr>
              <w:t>及配套管网改造项目，主要对福清核电厂区内非放射性生产废水进行雨废分流改造，非放射性生产废水处理达标后拟排入现有虹吸井中（总排放渠混合井CC）然后排入兴化湾，不涉及新增排污口</w:t>
            </w:r>
            <w:r>
              <w:rPr>
                <w:rFonts w:hint="eastAsia"/>
                <w:color w:val="auto"/>
                <w:highlight w:val="none"/>
                <w:lang w:eastAsia="zh-CN"/>
              </w:rPr>
              <w:t>且</w:t>
            </w:r>
            <w:r>
              <w:rPr>
                <w:rFonts w:hint="eastAsia"/>
                <w:color w:val="auto"/>
                <w:highlight w:val="none"/>
              </w:rPr>
              <w:t>尾水排海各项污染物指标均满足《污水综合排放标准》（GB 8978-1996）表4中一级标准，本项目实施后，将原与雨水共管排放的非放射性生产废水与雨水分离，集中收集处理后排放，外排出水水质提高，排放的污染物总量减少。因此，非放射性废水处理站尾水排放将改善周边海水水质环境质量，不会突破当地环境质量底线。</w:t>
            </w:r>
          </w:p>
          <w:p>
            <w:pPr>
              <w:pStyle w:val="8"/>
              <w:ind w:firstLine="482"/>
              <w:rPr>
                <w:b/>
                <w:bCs/>
                <w:color w:val="auto"/>
                <w:highlight w:val="none"/>
              </w:rPr>
            </w:pPr>
            <w:r>
              <w:rPr>
                <w:rFonts w:hint="eastAsia"/>
                <w:b/>
                <w:bCs/>
                <w:color w:val="auto"/>
                <w:highlight w:val="none"/>
              </w:rPr>
              <w:t>（3）资源利用上限</w:t>
            </w:r>
          </w:p>
          <w:p>
            <w:pPr>
              <w:pStyle w:val="8"/>
              <w:rPr>
                <w:color w:val="auto"/>
                <w:highlight w:val="none"/>
              </w:rPr>
            </w:pPr>
            <w:r>
              <w:rPr>
                <w:rFonts w:hint="eastAsia"/>
                <w:color w:val="auto"/>
                <w:highlight w:val="none"/>
              </w:rPr>
              <w:t>项目位于福清核电基地内，不新增用地，不涉及占用自然岸线。此外，本次改建依托现有的供电照明、自动控制与通信等配套工程。原辅料、水、电供应充足，运营过程中尽可能做到合理利用和节约能耗，最大限度地减少物耗、能耗。同时项目通过加强环境风险防范，提升风险应急处置能力，最大限度降低环境风险污染事故发生概率，避免和减缓风险污染事故影响后果，化解项目建设与环境保护的矛盾。因此，本项目满足资源利用上限要求。</w:t>
            </w:r>
          </w:p>
          <w:p>
            <w:pPr>
              <w:pStyle w:val="8"/>
              <w:rPr>
                <w:color w:val="auto"/>
                <w:highlight w:val="none"/>
              </w:rPr>
            </w:pPr>
            <w:r>
              <w:rPr>
                <w:rFonts w:hint="eastAsia"/>
                <w:color w:val="auto"/>
                <w:highlight w:val="none"/>
              </w:rPr>
              <w:t>施工期所需施工用水较少，施工废水通过沉淀池处理后，沉淀上清液回用于路面降尘，不外排，运营期项目本身无新增废水排放，项目所在地水资源量可以承载，不会突破区域资源利用上限。</w:t>
            </w:r>
          </w:p>
          <w:p>
            <w:pPr>
              <w:pStyle w:val="8"/>
              <w:ind w:firstLine="482"/>
              <w:rPr>
                <w:b/>
                <w:bCs/>
                <w:color w:val="auto"/>
                <w:highlight w:val="none"/>
              </w:rPr>
            </w:pPr>
            <w:r>
              <w:rPr>
                <w:rFonts w:hint="eastAsia"/>
                <w:b/>
                <w:bCs/>
                <w:color w:val="auto"/>
                <w:highlight w:val="none"/>
              </w:rPr>
              <w:t>（4）生态环境准入清单</w:t>
            </w:r>
          </w:p>
          <w:p>
            <w:pPr>
              <w:pStyle w:val="8"/>
              <w:rPr>
                <w:color w:val="auto"/>
                <w:highlight w:val="none"/>
              </w:rPr>
            </w:pPr>
            <w:r>
              <w:rPr>
                <w:rFonts w:hint="eastAsia"/>
                <w:color w:val="auto"/>
                <w:highlight w:val="none"/>
              </w:rPr>
              <w:t>本项目为核电站配套的</w:t>
            </w:r>
            <w:r>
              <w:rPr>
                <w:rFonts w:hint="eastAsia"/>
                <w:color w:val="auto"/>
                <w:highlight w:val="none"/>
                <w:lang w:eastAsia="zh-CN"/>
              </w:rPr>
              <w:t>废水处理站</w:t>
            </w:r>
            <w:r>
              <w:rPr>
                <w:rFonts w:hint="eastAsia"/>
                <w:color w:val="auto"/>
                <w:highlight w:val="none"/>
              </w:rPr>
              <w:t>及配套管网改造项目，根据《产业结构调整指导目录（2024年本）》，不属于禁止准入类和限制准入类，项目建设符合环境准入的要求。</w:t>
            </w:r>
          </w:p>
          <w:p>
            <w:pPr>
              <w:pStyle w:val="8"/>
              <w:rPr>
                <w:color w:val="auto"/>
                <w:highlight w:val="none"/>
              </w:rPr>
            </w:pPr>
            <w:r>
              <w:rPr>
                <w:rFonts w:hint="eastAsia"/>
                <w:color w:val="auto"/>
                <w:highlight w:val="none"/>
              </w:rPr>
              <w:t>对照《福州市生态环境分区管控方案（2023年更新）》（详见下表、附图</w:t>
            </w:r>
            <w:r>
              <w:rPr>
                <w:rFonts w:hint="eastAsia"/>
                <w:color w:val="auto"/>
                <w:highlight w:val="none"/>
                <w:lang w:eastAsia="zh"/>
              </w:rPr>
              <w:t>7</w:t>
            </w:r>
            <w:r>
              <w:rPr>
                <w:rFonts w:hint="eastAsia"/>
                <w:color w:val="auto"/>
                <w:highlight w:val="none"/>
              </w:rPr>
              <w:t>），本项目所在区域属于福清市重点管控单元1，符合生态环境准入清单要求。</w:t>
            </w:r>
          </w:p>
          <w:p>
            <w:pPr>
              <w:pStyle w:val="8"/>
              <w:ind w:firstLine="482"/>
              <w:rPr>
                <w:color w:val="auto"/>
                <w:highlight w:val="none"/>
              </w:rPr>
            </w:pPr>
            <w:r>
              <w:rPr>
                <w:rFonts w:hint="eastAsia"/>
                <w:b/>
                <w:bCs/>
                <w:color w:val="auto"/>
                <w:highlight w:val="none"/>
                <w:u w:val="single"/>
              </w:rPr>
              <w:t>综上所述，本项目建设符合“三线一单”的要求。</w:t>
            </w:r>
          </w:p>
          <w:p>
            <w:pPr>
              <w:pStyle w:val="3"/>
              <w:rPr>
                <w:color w:val="auto"/>
                <w:highlight w:val="none"/>
              </w:rPr>
            </w:pPr>
          </w:p>
        </w:tc>
      </w:tr>
    </w:tbl>
    <w:p>
      <w:pPr>
        <w:rPr>
          <w:b/>
          <w:bCs/>
          <w:color w:val="auto"/>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820" w:type="dxa"/>
            <w:vMerge w:val="restart"/>
            <w:tcBorders>
              <w:top w:val="single" w:color="auto" w:sz="4" w:space="0"/>
              <w:left w:val="single" w:color="auto" w:sz="4" w:space="0"/>
              <w:right w:val="single" w:color="auto" w:sz="4" w:space="0"/>
            </w:tcBorders>
          </w:tcPr>
          <w:p>
            <w:pPr>
              <w:rPr>
                <w:color w:val="auto"/>
                <w:highlight w:val="none"/>
              </w:rPr>
            </w:pPr>
          </w:p>
          <w:p>
            <w:pPr>
              <w:pStyle w:val="5"/>
              <w:keepNext/>
              <w:ind w:firstLine="402" w:firstLineChars="200"/>
              <w:jc w:val="center"/>
              <w:rPr>
                <w:color w:val="auto"/>
                <w:highlight w:val="none"/>
              </w:rPr>
            </w:pPr>
            <w:r>
              <w:rPr>
                <w:rFonts w:hint="eastAsia"/>
                <w:color w:val="auto"/>
                <w:highlight w:val="none"/>
              </w:rPr>
              <w:t>表1-</w:t>
            </w:r>
            <w:r>
              <w:rPr>
                <w:color w:val="auto"/>
                <w:highlight w:val="none"/>
              </w:rPr>
              <w:fldChar w:fldCharType="begin"/>
            </w:r>
            <w:r>
              <w:rPr>
                <w:rFonts w:hint="eastAsia"/>
                <w:color w:val="auto"/>
                <w:highlight w:val="none"/>
              </w:rPr>
              <w:instrText xml:space="preserve">SEQ表1-\*ARABIC</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《福州市生态环境分区管控方案（2023年更新）》（摘录）</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42"/>
              <w:gridCol w:w="686"/>
              <w:gridCol w:w="802"/>
              <w:gridCol w:w="3481"/>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0" w:type="pct"/>
                  <w:vAlign w:val="center"/>
                </w:tcPr>
                <w:p>
                  <w:pPr>
                    <w:jc w:val="center"/>
                    <w:rPr>
                      <w:b/>
                      <w:bCs/>
                      <w:color w:val="auto"/>
                      <w:highlight w:val="none"/>
                    </w:rPr>
                  </w:pPr>
                  <w:r>
                    <w:rPr>
                      <w:rFonts w:hint="eastAsia"/>
                      <w:b/>
                      <w:bCs/>
                      <w:color w:val="auto"/>
                      <w:highlight w:val="none"/>
                    </w:rPr>
                    <w:t>环境管控单元编码</w:t>
                  </w:r>
                </w:p>
              </w:tc>
              <w:tc>
                <w:tcPr>
                  <w:tcW w:w="431" w:type="pct"/>
                  <w:vAlign w:val="center"/>
                </w:tcPr>
                <w:p>
                  <w:pPr>
                    <w:jc w:val="center"/>
                    <w:rPr>
                      <w:b/>
                      <w:bCs/>
                      <w:color w:val="auto"/>
                      <w:highlight w:val="none"/>
                    </w:rPr>
                  </w:pPr>
                  <w:r>
                    <w:rPr>
                      <w:rFonts w:hint="eastAsia"/>
                      <w:b/>
                      <w:bCs/>
                      <w:color w:val="auto"/>
                      <w:highlight w:val="none"/>
                    </w:rPr>
                    <w:t>环境管控单元名称</w:t>
                  </w:r>
                </w:p>
              </w:tc>
              <w:tc>
                <w:tcPr>
                  <w:tcW w:w="399" w:type="pct"/>
                  <w:vAlign w:val="center"/>
                </w:tcPr>
                <w:p>
                  <w:pPr>
                    <w:jc w:val="center"/>
                    <w:rPr>
                      <w:b/>
                      <w:bCs/>
                      <w:color w:val="auto"/>
                      <w:highlight w:val="none"/>
                    </w:rPr>
                  </w:pPr>
                  <w:r>
                    <w:rPr>
                      <w:rFonts w:hint="eastAsia"/>
                      <w:b/>
                      <w:bCs/>
                      <w:color w:val="auto"/>
                      <w:highlight w:val="none"/>
                    </w:rPr>
                    <w:t>管控单元类别</w:t>
                  </w:r>
                </w:p>
              </w:tc>
              <w:tc>
                <w:tcPr>
                  <w:tcW w:w="2492" w:type="pct"/>
                  <w:gridSpan w:val="2"/>
                  <w:vAlign w:val="center"/>
                </w:tcPr>
                <w:p>
                  <w:pPr>
                    <w:jc w:val="center"/>
                    <w:rPr>
                      <w:b/>
                      <w:bCs/>
                      <w:color w:val="auto"/>
                      <w:highlight w:val="none"/>
                    </w:rPr>
                  </w:pPr>
                  <w:r>
                    <w:rPr>
                      <w:rFonts w:hint="eastAsia"/>
                      <w:b/>
                      <w:bCs/>
                      <w:color w:val="auto"/>
                      <w:highlight w:val="none"/>
                    </w:rPr>
                    <w:t>管控要求</w:t>
                  </w:r>
                </w:p>
              </w:tc>
              <w:tc>
                <w:tcPr>
                  <w:tcW w:w="1265" w:type="pct"/>
                  <w:vAlign w:val="center"/>
                </w:tcPr>
                <w:p>
                  <w:pPr>
                    <w:jc w:val="center"/>
                    <w:rPr>
                      <w:b/>
                      <w:bCs/>
                      <w:color w:val="auto"/>
                      <w:highlight w:val="none"/>
                    </w:rPr>
                  </w:pPr>
                  <w:r>
                    <w:rPr>
                      <w:rFonts w:hint="eastAsia"/>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0" w:type="pct"/>
                  <w:vMerge w:val="restart"/>
                  <w:vAlign w:val="center"/>
                </w:tcPr>
                <w:p>
                  <w:pPr>
                    <w:rPr>
                      <w:color w:val="auto"/>
                      <w:highlight w:val="none"/>
                    </w:rPr>
                  </w:pPr>
                  <w:r>
                    <w:rPr>
                      <w:color w:val="auto"/>
                      <w:highlight w:val="none"/>
                    </w:rPr>
                    <w:t>ZH35018</w:t>
                  </w:r>
                </w:p>
                <w:p>
                  <w:pPr>
                    <w:rPr>
                      <w:color w:val="auto"/>
                      <w:highlight w:val="none"/>
                    </w:rPr>
                  </w:pPr>
                  <w:r>
                    <w:rPr>
                      <w:color w:val="auto"/>
                      <w:highlight w:val="none"/>
                    </w:rPr>
                    <w:t>120008</w:t>
                  </w:r>
                </w:p>
              </w:tc>
              <w:tc>
                <w:tcPr>
                  <w:tcW w:w="431" w:type="pct"/>
                  <w:vMerge w:val="restart"/>
                  <w:vAlign w:val="center"/>
                </w:tcPr>
                <w:p>
                  <w:pPr>
                    <w:jc w:val="center"/>
                    <w:rPr>
                      <w:color w:val="auto"/>
                      <w:highlight w:val="none"/>
                    </w:rPr>
                  </w:pPr>
                  <w:r>
                    <w:rPr>
                      <w:rFonts w:hint="eastAsia"/>
                      <w:color w:val="auto"/>
                      <w:highlight w:val="none"/>
                    </w:rPr>
                    <w:t>福清市重点管控单元1</w:t>
                  </w:r>
                </w:p>
              </w:tc>
              <w:tc>
                <w:tcPr>
                  <w:tcW w:w="399" w:type="pct"/>
                  <w:vMerge w:val="restart"/>
                  <w:vAlign w:val="center"/>
                </w:tcPr>
                <w:p>
                  <w:pPr>
                    <w:jc w:val="center"/>
                    <w:rPr>
                      <w:color w:val="auto"/>
                      <w:highlight w:val="none"/>
                    </w:rPr>
                  </w:pPr>
                  <w:r>
                    <w:rPr>
                      <w:rFonts w:hint="eastAsia"/>
                      <w:color w:val="auto"/>
                      <w:highlight w:val="none"/>
                    </w:rPr>
                    <w:t>重点管控单元</w:t>
                  </w:r>
                </w:p>
              </w:tc>
              <w:tc>
                <w:tcPr>
                  <w:tcW w:w="467" w:type="pct"/>
                  <w:vAlign w:val="center"/>
                </w:tcPr>
                <w:p>
                  <w:pPr>
                    <w:jc w:val="center"/>
                    <w:rPr>
                      <w:color w:val="auto"/>
                      <w:highlight w:val="none"/>
                    </w:rPr>
                  </w:pPr>
                  <w:r>
                    <w:rPr>
                      <w:rFonts w:hint="eastAsia"/>
                      <w:color w:val="auto"/>
                      <w:highlight w:val="none"/>
                    </w:rPr>
                    <w:t>空间布局约束</w:t>
                  </w:r>
                </w:p>
              </w:tc>
              <w:tc>
                <w:tcPr>
                  <w:tcW w:w="2025" w:type="pct"/>
                  <w:vAlign w:val="center"/>
                </w:tcPr>
                <w:p>
                  <w:pPr>
                    <w:ind w:firstLine="420" w:firstLineChars="200"/>
                    <w:rPr>
                      <w:color w:val="auto"/>
                      <w:highlight w:val="none"/>
                    </w:rPr>
                  </w:pPr>
                  <w:r>
                    <w:rPr>
                      <w:rFonts w:hint="eastAsia"/>
                      <w:color w:val="auto"/>
                      <w:highlight w:val="none"/>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pPr>
                    <w:ind w:firstLine="420" w:firstLineChars="200"/>
                    <w:rPr>
                      <w:color w:val="auto"/>
                      <w:highlight w:val="none"/>
                    </w:rPr>
                  </w:pPr>
                  <w:r>
                    <w:rPr>
                      <w:rFonts w:hint="eastAsia"/>
                      <w:color w:val="auto"/>
                      <w:highlight w:val="none"/>
                    </w:rPr>
                    <w:t>2.严格控制包装印刷、工业涂装、制鞋等高VOCs排放的项目建设，相关新建项目必须进入工业园区。</w:t>
                  </w:r>
                </w:p>
                <w:p>
                  <w:pPr>
                    <w:ind w:firstLine="420" w:firstLineChars="200"/>
                    <w:rPr>
                      <w:color w:val="auto"/>
                      <w:highlight w:val="none"/>
                    </w:rPr>
                  </w:pPr>
                  <w:r>
                    <w:rPr>
                      <w:rFonts w:hint="eastAsia"/>
                      <w:color w:val="auto"/>
                      <w:highlight w:val="none"/>
                    </w:rPr>
                    <w:t>3.禁止开发利用未经评估和无害化处理的列入建设用地污染地块名录及开发利用负面清单的土地。</w:t>
                  </w:r>
                </w:p>
              </w:tc>
              <w:tc>
                <w:tcPr>
                  <w:tcW w:w="1265" w:type="pct"/>
                  <w:vAlign w:val="center"/>
                </w:tcPr>
                <w:p>
                  <w:pPr>
                    <w:rPr>
                      <w:color w:val="auto"/>
                      <w:highlight w:val="none"/>
                    </w:rPr>
                  </w:pPr>
                  <w:r>
                    <w:rPr>
                      <w:rFonts w:hint="eastAsia"/>
                      <w:color w:val="auto"/>
                      <w:highlight w:val="none"/>
                    </w:rPr>
                    <w:t>符合。项目位于现有福清核电厂区内，不属于化学品生产项目。2.项目不产生VOCs。3.项目用地未列入建设用地污染地块名录及开发利用负面清单。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0" w:type="pct"/>
                  <w:vMerge w:val="continue"/>
                  <w:vAlign w:val="center"/>
                </w:tcPr>
                <w:p>
                  <w:pPr>
                    <w:jc w:val="center"/>
                    <w:rPr>
                      <w:color w:val="auto"/>
                      <w:highlight w:val="none"/>
                    </w:rPr>
                  </w:pPr>
                </w:p>
              </w:tc>
              <w:tc>
                <w:tcPr>
                  <w:tcW w:w="431" w:type="pct"/>
                  <w:vMerge w:val="continue"/>
                  <w:vAlign w:val="center"/>
                </w:tcPr>
                <w:p>
                  <w:pPr>
                    <w:jc w:val="center"/>
                    <w:rPr>
                      <w:color w:val="auto"/>
                      <w:highlight w:val="none"/>
                    </w:rPr>
                  </w:pPr>
                </w:p>
              </w:tc>
              <w:tc>
                <w:tcPr>
                  <w:tcW w:w="399" w:type="pct"/>
                  <w:vMerge w:val="continue"/>
                  <w:vAlign w:val="center"/>
                </w:tcPr>
                <w:p>
                  <w:pPr>
                    <w:jc w:val="center"/>
                    <w:rPr>
                      <w:color w:val="auto"/>
                      <w:highlight w:val="none"/>
                    </w:rPr>
                  </w:pPr>
                </w:p>
              </w:tc>
              <w:tc>
                <w:tcPr>
                  <w:tcW w:w="467" w:type="pct"/>
                  <w:vAlign w:val="center"/>
                </w:tcPr>
                <w:p>
                  <w:pPr>
                    <w:jc w:val="center"/>
                    <w:rPr>
                      <w:color w:val="auto"/>
                      <w:highlight w:val="none"/>
                    </w:rPr>
                  </w:pPr>
                  <w:r>
                    <w:rPr>
                      <w:rFonts w:hint="eastAsia"/>
                      <w:color w:val="auto"/>
                      <w:highlight w:val="none"/>
                    </w:rPr>
                    <w:t>污染物排放管控</w:t>
                  </w:r>
                </w:p>
              </w:tc>
              <w:tc>
                <w:tcPr>
                  <w:tcW w:w="2025" w:type="pct"/>
                  <w:vAlign w:val="center"/>
                </w:tcPr>
                <w:p>
                  <w:pPr>
                    <w:rPr>
                      <w:color w:val="auto"/>
                      <w:highlight w:val="none"/>
                    </w:rPr>
                  </w:pPr>
                  <w:r>
                    <w:rPr>
                      <w:rFonts w:hint="eastAsia"/>
                      <w:color w:val="auto"/>
                      <w:highlight w:val="none"/>
                    </w:rPr>
                    <w:t>落实新增二氧化硫、氮氧化物和VOCs排放总量控制要求。</w:t>
                  </w:r>
                </w:p>
              </w:tc>
              <w:tc>
                <w:tcPr>
                  <w:tcW w:w="1265" w:type="pct"/>
                  <w:vAlign w:val="center"/>
                </w:tcPr>
                <w:p>
                  <w:pPr>
                    <w:rPr>
                      <w:color w:val="auto"/>
                      <w:highlight w:val="none"/>
                    </w:rPr>
                  </w:pPr>
                  <w:r>
                    <w:rPr>
                      <w:rFonts w:hint="eastAsia"/>
                      <w:color w:val="auto"/>
                      <w:highlight w:val="none"/>
                    </w:rPr>
                    <w:t>符合。项目不新增二氧化硫、氮氧化物和VOCs。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0" w:type="pct"/>
                  <w:vMerge w:val="continue"/>
                  <w:vAlign w:val="center"/>
                </w:tcPr>
                <w:p>
                  <w:pPr>
                    <w:jc w:val="center"/>
                    <w:rPr>
                      <w:color w:val="auto"/>
                      <w:highlight w:val="none"/>
                    </w:rPr>
                  </w:pPr>
                </w:p>
              </w:tc>
              <w:tc>
                <w:tcPr>
                  <w:tcW w:w="431" w:type="pct"/>
                  <w:vMerge w:val="continue"/>
                  <w:vAlign w:val="center"/>
                </w:tcPr>
                <w:p>
                  <w:pPr>
                    <w:jc w:val="center"/>
                    <w:rPr>
                      <w:color w:val="auto"/>
                      <w:highlight w:val="none"/>
                    </w:rPr>
                  </w:pPr>
                </w:p>
              </w:tc>
              <w:tc>
                <w:tcPr>
                  <w:tcW w:w="399" w:type="pct"/>
                  <w:vMerge w:val="continue"/>
                  <w:vAlign w:val="center"/>
                </w:tcPr>
                <w:p>
                  <w:pPr>
                    <w:jc w:val="center"/>
                    <w:rPr>
                      <w:color w:val="auto"/>
                      <w:highlight w:val="none"/>
                    </w:rPr>
                  </w:pPr>
                </w:p>
              </w:tc>
              <w:tc>
                <w:tcPr>
                  <w:tcW w:w="467" w:type="pct"/>
                  <w:vAlign w:val="center"/>
                </w:tcPr>
                <w:p>
                  <w:pPr>
                    <w:jc w:val="center"/>
                    <w:rPr>
                      <w:color w:val="auto"/>
                      <w:highlight w:val="none"/>
                    </w:rPr>
                  </w:pPr>
                  <w:r>
                    <w:rPr>
                      <w:rFonts w:hint="eastAsia"/>
                      <w:color w:val="auto"/>
                      <w:highlight w:val="none"/>
                    </w:rPr>
                    <w:t>环境风险防控</w:t>
                  </w:r>
                </w:p>
              </w:tc>
              <w:tc>
                <w:tcPr>
                  <w:tcW w:w="2025" w:type="pct"/>
                  <w:vAlign w:val="center"/>
                </w:tcPr>
                <w:p>
                  <w:pPr>
                    <w:rPr>
                      <w:color w:val="auto"/>
                      <w:highlight w:val="none"/>
                    </w:rPr>
                  </w:pPr>
                  <w:r>
                    <w:rPr>
                      <w:rFonts w:hint="eastAsia"/>
                      <w:color w:val="auto"/>
                      <w:highlight w:val="none"/>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265" w:type="pct"/>
                  <w:vAlign w:val="center"/>
                </w:tcPr>
                <w:p>
                  <w:pPr>
                    <w:rPr>
                      <w:color w:val="auto"/>
                      <w:highlight w:val="none"/>
                    </w:rPr>
                  </w:pPr>
                  <w:r>
                    <w:rPr>
                      <w:rFonts w:hint="eastAsia"/>
                      <w:color w:val="auto"/>
                      <w:highlight w:val="none"/>
                    </w:rPr>
                    <w:t>符合。项目不属于化学原料和化学制品制造业、有色金属冶炼和压延加工业。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0" w:type="pct"/>
                  <w:vMerge w:val="continue"/>
                  <w:vAlign w:val="center"/>
                </w:tcPr>
                <w:p>
                  <w:pPr>
                    <w:jc w:val="center"/>
                    <w:rPr>
                      <w:color w:val="auto"/>
                      <w:highlight w:val="none"/>
                    </w:rPr>
                  </w:pPr>
                </w:p>
              </w:tc>
              <w:tc>
                <w:tcPr>
                  <w:tcW w:w="431" w:type="pct"/>
                  <w:vMerge w:val="continue"/>
                  <w:vAlign w:val="center"/>
                </w:tcPr>
                <w:p>
                  <w:pPr>
                    <w:jc w:val="center"/>
                    <w:rPr>
                      <w:color w:val="auto"/>
                      <w:highlight w:val="none"/>
                    </w:rPr>
                  </w:pPr>
                </w:p>
              </w:tc>
              <w:tc>
                <w:tcPr>
                  <w:tcW w:w="399" w:type="pct"/>
                  <w:vMerge w:val="continue"/>
                  <w:vAlign w:val="center"/>
                </w:tcPr>
                <w:p>
                  <w:pPr>
                    <w:jc w:val="center"/>
                    <w:rPr>
                      <w:color w:val="auto"/>
                      <w:highlight w:val="none"/>
                    </w:rPr>
                  </w:pPr>
                </w:p>
              </w:tc>
              <w:tc>
                <w:tcPr>
                  <w:tcW w:w="467" w:type="pct"/>
                  <w:vAlign w:val="center"/>
                </w:tcPr>
                <w:p>
                  <w:pPr>
                    <w:jc w:val="center"/>
                    <w:rPr>
                      <w:color w:val="auto"/>
                      <w:highlight w:val="none"/>
                    </w:rPr>
                  </w:pPr>
                  <w:r>
                    <w:rPr>
                      <w:rFonts w:hint="eastAsia"/>
                      <w:color w:val="auto"/>
                      <w:highlight w:val="none"/>
                    </w:rPr>
                    <w:t>资源开发效率要求</w:t>
                  </w:r>
                </w:p>
              </w:tc>
              <w:tc>
                <w:tcPr>
                  <w:tcW w:w="2025" w:type="pct"/>
                  <w:vAlign w:val="center"/>
                </w:tcPr>
                <w:p>
                  <w:pPr>
                    <w:spacing w:before="24" w:beforeLines="10" w:after="24" w:afterLines="10" w:line="259" w:lineRule="auto"/>
                    <w:rPr>
                      <w:color w:val="auto"/>
                      <w:sz w:val="20"/>
                      <w:szCs w:val="20"/>
                      <w:highlight w:val="none"/>
                    </w:rPr>
                  </w:pPr>
                  <w:r>
                    <w:rPr>
                      <w:rFonts w:hint="eastAsia"/>
                      <w:color w:val="auto"/>
                      <w:highlight w:val="none"/>
                    </w:rPr>
                    <w:t>高污染燃料禁燃区内禁止燃用高污染燃料，禁止新建、扩建燃用高污染燃料的设施。已建的燃用高污染燃料设施，限期改用电、天然气、液化石油气等清洁能源。</w:t>
                  </w:r>
                </w:p>
              </w:tc>
              <w:tc>
                <w:tcPr>
                  <w:tcW w:w="1265" w:type="pct"/>
                  <w:vAlign w:val="center"/>
                </w:tcPr>
                <w:p>
                  <w:pPr>
                    <w:spacing w:before="24" w:beforeLines="10" w:after="24" w:afterLines="10" w:line="259" w:lineRule="auto"/>
                    <w:rPr>
                      <w:color w:val="auto"/>
                      <w:highlight w:val="none"/>
                    </w:rPr>
                  </w:pPr>
                  <w:r>
                    <w:rPr>
                      <w:rFonts w:hint="eastAsia"/>
                      <w:color w:val="auto"/>
                      <w:highlight w:val="none"/>
                    </w:rPr>
                    <w:t>符合。项目未使用高污染燃料。</w:t>
                  </w:r>
                </w:p>
              </w:tc>
            </w:tr>
          </w:tbl>
          <w:p>
            <w:pPr>
              <w:autoSpaceDE w:val="0"/>
              <w:autoSpaceDN w:val="0"/>
              <w:adjustRightInd w:val="0"/>
              <w:spacing w:line="360" w:lineRule="auto"/>
              <w:ind w:firstLine="420" w:firstLineChars="200"/>
              <w:rPr>
                <w:rFonts w:eastAsia="Times New Roman"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820" w:type="dxa"/>
            <w:vMerge w:val="continue"/>
            <w:tcBorders>
              <w:left w:val="single" w:color="auto" w:sz="4" w:space="0"/>
              <w:right w:val="single" w:color="auto" w:sz="4" w:space="0"/>
            </w:tcBorders>
          </w:tcPr>
          <w:p>
            <w:pPr>
              <w:autoSpaceDE w:val="0"/>
              <w:autoSpaceDN w:val="0"/>
              <w:adjustRightInd w:val="0"/>
              <w:spacing w:line="360" w:lineRule="auto"/>
              <w:ind w:firstLine="420" w:firstLineChars="20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820" w:type="dxa"/>
            <w:vMerge w:val="continue"/>
            <w:tcBorders>
              <w:left w:val="single" w:color="auto" w:sz="4" w:space="0"/>
              <w:right w:val="single" w:color="auto" w:sz="4" w:space="0"/>
            </w:tcBorders>
          </w:tcPr>
          <w:p>
            <w:pPr>
              <w:autoSpaceDE w:val="0"/>
              <w:autoSpaceDN w:val="0"/>
              <w:adjustRightInd w:val="0"/>
              <w:spacing w:line="360" w:lineRule="auto"/>
              <w:ind w:firstLine="420" w:firstLineChars="200"/>
              <w:rPr>
                <w:rFonts w:eastAsia="Times New Roman"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820" w:type="dxa"/>
            <w:vMerge w:val="continue"/>
            <w:tcBorders>
              <w:left w:val="single" w:color="auto" w:sz="4" w:space="0"/>
              <w:bottom w:val="single" w:color="auto" w:sz="4" w:space="0"/>
              <w:right w:val="single" w:color="auto" w:sz="4" w:space="0"/>
            </w:tcBorders>
          </w:tcPr>
          <w:p>
            <w:pPr>
              <w:autoSpaceDE w:val="0"/>
              <w:autoSpaceDN w:val="0"/>
              <w:adjustRightInd w:val="0"/>
              <w:spacing w:line="360" w:lineRule="auto"/>
              <w:ind w:firstLine="420" w:firstLineChars="200"/>
              <w:rPr>
                <w:rFonts w:eastAsia="Times New Roman" w:cs="宋体"/>
                <w:color w:val="auto"/>
                <w:kern w:val="0"/>
                <w:szCs w:val="21"/>
                <w:highlight w:val="none"/>
              </w:rPr>
            </w:pPr>
          </w:p>
        </w:tc>
      </w:tr>
    </w:tbl>
    <w:p>
      <w:pPr>
        <w:spacing w:line="360" w:lineRule="auto"/>
        <w:outlineLvl w:val="0"/>
        <w:rPr>
          <w:rFonts w:eastAsia="黑体"/>
          <w:color w:val="auto"/>
          <w:sz w:val="30"/>
          <w:highlight w:val="none"/>
        </w:rPr>
        <w:sectPr>
          <w:footerReference r:id="rId5" w:type="default"/>
          <w:pgSz w:w="11906" w:h="16838"/>
          <w:pgMar w:top="1701" w:right="1531" w:bottom="1701" w:left="1531" w:header="851" w:footer="1077" w:gutter="0"/>
          <w:pgNumType w:start="1"/>
          <w:cols w:space="720" w:num="1"/>
          <w:docGrid w:linePitch="312" w:charSpace="0"/>
        </w:sectPr>
      </w:pPr>
    </w:p>
    <w:p>
      <w:pPr>
        <w:pStyle w:val="14"/>
        <w:ind w:firstLine="600" w:firstLineChars="200"/>
        <w:jc w:val="center"/>
        <w:outlineLvl w:val="0"/>
        <w:rPr>
          <w:rFonts w:ascii="黑体" w:hAnsi="黑体" w:eastAsia="黑体"/>
          <w:snapToGrid w:val="0"/>
          <w:color w:val="auto"/>
          <w:sz w:val="30"/>
          <w:szCs w:val="30"/>
          <w:highlight w:val="none"/>
        </w:rPr>
      </w:pPr>
      <w:bookmarkStart w:id="11" w:name="_Toc26640"/>
      <w:bookmarkStart w:id="12" w:name="_Toc27388"/>
      <w:r>
        <w:rPr>
          <w:rFonts w:hint="eastAsia" w:ascii="黑体" w:hAnsi="黑体" w:eastAsia="黑体"/>
          <w:snapToGrid w:val="0"/>
          <w:color w:val="auto"/>
          <w:sz w:val="30"/>
          <w:szCs w:val="30"/>
          <w:highlight w:val="none"/>
        </w:rPr>
        <w:t>二、建设项目工程分析</w:t>
      </w:r>
      <w:bookmarkEnd w:id="11"/>
      <w:bookmarkEnd w:id="1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823" w:type="dxa"/>
            <w:vAlign w:val="center"/>
          </w:tcPr>
          <w:p>
            <w:pPr>
              <w:rPr>
                <w:color w:val="auto"/>
                <w:highlight w:val="none"/>
              </w:rPr>
            </w:pPr>
            <w:r>
              <w:rPr>
                <w:rFonts w:hint="eastAsia"/>
                <w:color w:val="auto"/>
                <w:highlight w:val="none"/>
              </w:rPr>
              <w:t>建设内容</w:t>
            </w:r>
          </w:p>
        </w:tc>
        <w:tc>
          <w:tcPr>
            <w:tcW w:w="8161" w:type="dxa"/>
          </w:tcPr>
          <w:p>
            <w:pPr>
              <w:pStyle w:val="3"/>
              <w:rPr>
                <w:color w:val="auto"/>
                <w:highlight w:val="none"/>
              </w:rPr>
            </w:pPr>
            <w:bookmarkStart w:id="13" w:name="_Toc25445"/>
            <w:bookmarkStart w:id="14" w:name="_Toc29203"/>
            <w:r>
              <w:rPr>
                <w:rFonts w:hint="eastAsia"/>
                <w:color w:val="auto"/>
                <w:highlight w:val="none"/>
              </w:rPr>
              <w:t>2.1建设内容</w:t>
            </w:r>
            <w:bookmarkEnd w:id="13"/>
            <w:bookmarkEnd w:id="14"/>
          </w:p>
          <w:p>
            <w:pPr>
              <w:pStyle w:val="4"/>
              <w:rPr>
                <w:color w:val="auto"/>
                <w:highlight w:val="none"/>
              </w:rPr>
            </w:pPr>
            <w:r>
              <w:rPr>
                <w:rFonts w:hint="eastAsia"/>
                <w:color w:val="auto"/>
                <w:highlight w:val="none"/>
              </w:rPr>
              <w:t>2.1.1项目由来</w:t>
            </w:r>
          </w:p>
          <w:p>
            <w:pPr>
              <w:pStyle w:val="8"/>
              <w:rPr>
                <w:color w:val="auto"/>
                <w:highlight w:val="none"/>
              </w:rPr>
            </w:pPr>
            <w:r>
              <w:rPr>
                <w:rFonts w:hint="eastAsia"/>
                <w:color w:val="auto"/>
                <w:highlight w:val="none"/>
              </w:rPr>
              <w:t>福建福清核电有限公司隶属于中国核工业集团有限公司，成立于2006年5月16日。福清核电厂内建有6台机组，按照机组分为一期1、2号机组，M310堆型；二期3、4号机组，M310堆型；三期5、6号机组，华龙堆型。1、2号机组工程于2014年获得原</w:t>
            </w:r>
            <w:r>
              <w:rPr>
                <w:rFonts w:hint="eastAsia"/>
                <w:color w:val="auto"/>
                <w:highlight w:val="none"/>
                <w:lang w:eastAsia="zh-CN"/>
              </w:rPr>
              <w:t>生态环境部</w:t>
            </w:r>
            <w:r>
              <w:rPr>
                <w:rFonts w:hint="eastAsia"/>
                <w:color w:val="auto"/>
                <w:highlight w:val="none"/>
              </w:rPr>
              <w:t>《关于福建福清核电厂一、二号机组环境影响报告书（运行阶段）的批复》（环审〔2014〕128号），2018年通过竣工环保验收；2016年获得原</w:t>
            </w:r>
            <w:r>
              <w:rPr>
                <w:rFonts w:hint="eastAsia"/>
                <w:color w:val="auto"/>
                <w:highlight w:val="none"/>
                <w:lang w:eastAsia="zh-CN"/>
              </w:rPr>
              <w:t>生态环境部</w:t>
            </w:r>
            <w:r>
              <w:rPr>
                <w:rFonts w:hint="eastAsia"/>
                <w:color w:val="auto"/>
                <w:highlight w:val="none"/>
              </w:rPr>
              <w:t>《关于〈福建福清核电厂3、4号机组环境影响报告书（运行阶段）〉的批复》（环审〔2016〕42号），于2018年9月通过竣工环保验收；5、6号机组工程采用自主化三代百万千瓦级压水堆核电机组“华龙一号”，于2020年取得生态环境部《关于福建福清核电厂5、6号机组环境影响报告书（运行阶段）的批复》环审〔2020〕105号，2021年完成竣工环保验收。</w:t>
            </w:r>
            <w:r>
              <w:rPr>
                <w:rFonts w:hint="eastAsia"/>
                <w:color w:val="auto"/>
                <w:highlight w:val="none"/>
                <w:u w:val="single"/>
              </w:rPr>
              <w:t>1-6号机组的环评批复及竣工环保验收意见见附件15。</w:t>
            </w:r>
          </w:p>
          <w:p>
            <w:pPr>
              <w:pStyle w:val="8"/>
              <w:rPr>
                <w:color w:val="auto"/>
                <w:highlight w:val="none"/>
              </w:rPr>
            </w:pPr>
            <w:r>
              <w:rPr>
                <w:rFonts w:hint="eastAsia"/>
                <w:color w:val="auto"/>
                <w:highlight w:val="none"/>
              </w:rPr>
              <w:t>核电厂排入外环境的废水以温排水为主，相对温排水的量，排放的非放射性生产废水量占比不足0.02%</w:t>
            </w:r>
            <w:r>
              <w:rPr>
                <w:rFonts w:hint="eastAsia"/>
                <w:color w:val="auto"/>
                <w:highlight w:val="none"/>
                <w:lang w:eastAsia="zh-CN"/>
              </w:rPr>
              <w:t>且</w:t>
            </w:r>
            <w:r>
              <w:rPr>
                <w:rFonts w:hint="eastAsia"/>
                <w:color w:val="auto"/>
                <w:highlight w:val="none"/>
              </w:rPr>
              <w:t>生产废水成分相对简单和清洁，</w:t>
            </w:r>
            <w:r>
              <w:rPr>
                <w:color w:val="auto"/>
                <w:highlight w:val="none"/>
              </w:rPr>
              <w:t>1~6号机组现状排水管网采用雨废合流方式</w:t>
            </w:r>
            <w:r>
              <w:rPr>
                <w:rFonts w:hint="eastAsia"/>
                <w:color w:val="auto"/>
                <w:highlight w:val="none"/>
                <w:u w:val="single"/>
              </w:rPr>
              <w:t>。全厂的入海排污口已完成备案，备案号</w:t>
            </w:r>
            <w:r>
              <w:rPr>
                <w:rFonts w:hint="eastAsia"/>
                <w:color w:val="auto"/>
                <w:highlight w:val="none"/>
                <w:u w:val="single"/>
                <w:lang w:val="en-US" w:eastAsia="zh-CN"/>
              </w:rPr>
              <w:t>*</w:t>
            </w:r>
            <w:r>
              <w:rPr>
                <w:rFonts w:hint="eastAsia"/>
                <w:color w:val="auto"/>
                <w:highlight w:val="none"/>
                <w:u w:val="single"/>
              </w:rPr>
              <w:t>，入海排污口名称为：福州市福清市三山镇前薛村福清核电厂生产污水排污口，入海排污口编码为：</w:t>
            </w:r>
            <w:r>
              <w:rPr>
                <w:rFonts w:hint="eastAsia"/>
                <w:color w:val="auto"/>
                <w:highlight w:val="none"/>
                <w:u w:val="single"/>
                <w:lang w:val="en-US" w:eastAsia="zh-CN"/>
              </w:rPr>
              <w:t>*</w:t>
            </w:r>
            <w:r>
              <w:rPr>
                <w:rFonts w:hint="eastAsia"/>
                <w:color w:val="auto"/>
                <w:highlight w:val="none"/>
                <w:u w:val="single"/>
              </w:rPr>
              <w:t>，见附件16，入海排污口位于全厂的排水渠末端，位置见附图1</w:t>
            </w:r>
            <w:r>
              <w:rPr>
                <w:color w:val="auto"/>
                <w:highlight w:val="none"/>
              </w:rPr>
              <w:t>。</w:t>
            </w:r>
          </w:p>
          <w:p>
            <w:pPr>
              <w:pStyle w:val="8"/>
              <w:rPr>
                <w:color w:val="auto"/>
                <w:highlight w:val="none"/>
                <w:u w:val="single"/>
              </w:rPr>
            </w:pPr>
            <w:r>
              <w:rPr>
                <w:rFonts w:hint="eastAsia"/>
                <w:color w:val="auto"/>
                <w:highlight w:val="none"/>
                <w:u w:val="single"/>
              </w:rPr>
              <w:t>全厂</w:t>
            </w:r>
            <w:r>
              <w:rPr>
                <w:color w:val="auto"/>
                <w:highlight w:val="none"/>
                <w:u w:val="single"/>
              </w:rPr>
              <w:t>每2台机组设有1座非放射性含油废水处理站（FS），目前厂区</w:t>
            </w:r>
            <w:r>
              <w:rPr>
                <w:rFonts w:hint="eastAsia"/>
                <w:color w:val="auto"/>
                <w:highlight w:val="none"/>
                <w:u w:val="single"/>
              </w:rPr>
              <w:t>含油废水经油水分离处理、除盐水厂房浓水/离子交换树脂反冲洗废水经酸碱中和处理后</w:t>
            </w:r>
            <w:r>
              <w:rPr>
                <w:rFonts w:hint="eastAsia"/>
                <w:color w:val="auto"/>
                <w:highlight w:val="none"/>
                <w:u w:val="single"/>
                <w:lang w:eastAsia="zh"/>
              </w:rPr>
              <w:t>以及其他非放射性生产废水</w:t>
            </w:r>
            <w:r>
              <w:rPr>
                <w:rFonts w:hint="eastAsia"/>
                <w:color w:val="auto"/>
                <w:highlight w:val="none"/>
                <w:u w:val="single"/>
              </w:rPr>
              <w:t>汇入全厂的排水渠。目前全厂的非放射性生产废水均采用雨废混流方式排海，无回用。</w:t>
            </w:r>
            <w:r>
              <w:rPr>
                <w:rFonts w:hint="eastAsia"/>
                <w:color w:val="auto"/>
                <w:highlight w:val="none"/>
                <w:u w:val="single"/>
                <w:lang w:eastAsia="zh"/>
              </w:rPr>
              <w:t>1-6号机组已批复的</w:t>
            </w:r>
            <w:r>
              <w:rPr>
                <w:rFonts w:hint="eastAsia"/>
                <w:color w:val="auto"/>
                <w:highlight w:val="none"/>
                <w:u w:val="single"/>
              </w:rPr>
              <w:t>环评明确生产废水排放执行《污水综合排放标准》（GB8978-1996）表4一级标准。</w:t>
            </w:r>
          </w:p>
          <w:p>
            <w:pPr>
              <w:pStyle w:val="8"/>
              <w:rPr>
                <w:color w:val="auto"/>
                <w:highlight w:val="none"/>
              </w:rPr>
            </w:pPr>
            <w:r>
              <w:rPr>
                <w:rFonts w:hint="eastAsia"/>
                <w:color w:val="auto"/>
                <w:highlight w:val="none"/>
              </w:rPr>
              <w:t>福清核电首台机组于2014年投入运行，至今已运行了13年，福清核电厂原设计符合环评要求并已按照相关法律法规取得环评批复，但因设计较早，在常规环保方面还有待进一步提升，为加强福清核电非放射性废水处理管控能力，持续推进绿色福核建设，</w:t>
            </w:r>
            <w:r>
              <w:rPr>
                <w:color w:val="auto"/>
                <w:highlight w:val="none"/>
              </w:rPr>
              <w:t>福清核电厂拟</w:t>
            </w:r>
            <w:r>
              <w:rPr>
                <w:rFonts w:hint="eastAsia"/>
                <w:color w:val="auto"/>
                <w:highlight w:val="none"/>
                <w:lang w:eastAsia="zh"/>
              </w:rPr>
              <w:t>仅</w:t>
            </w:r>
            <w:r>
              <w:rPr>
                <w:color w:val="auto"/>
                <w:highlight w:val="none"/>
              </w:rPr>
              <w:t>对厂区的</w:t>
            </w:r>
            <w:r>
              <w:rPr>
                <w:color w:val="auto"/>
                <w:highlight w:val="none"/>
                <w:u w:val="single"/>
              </w:rPr>
              <w:t>雨</w:t>
            </w:r>
            <w:r>
              <w:rPr>
                <w:rFonts w:hint="eastAsia"/>
                <w:color w:val="auto"/>
                <w:highlight w:val="none"/>
                <w:u w:val="single"/>
              </w:rPr>
              <w:t>水</w:t>
            </w:r>
            <w:r>
              <w:rPr>
                <w:color w:val="auto"/>
                <w:highlight w:val="none"/>
                <w:u w:val="single"/>
              </w:rPr>
              <w:t>、</w:t>
            </w:r>
            <w:r>
              <w:rPr>
                <w:rFonts w:hint="eastAsia"/>
                <w:color w:val="auto"/>
                <w:highlight w:val="none"/>
                <w:u w:val="single"/>
              </w:rPr>
              <w:t>非放射性生产</w:t>
            </w:r>
            <w:r>
              <w:rPr>
                <w:color w:val="auto"/>
                <w:highlight w:val="none"/>
                <w:u w:val="single"/>
              </w:rPr>
              <w:t>废水</w:t>
            </w:r>
            <w:r>
              <w:rPr>
                <w:color w:val="auto"/>
                <w:highlight w:val="none"/>
              </w:rPr>
              <w:t>实施管网分离改造，并</w:t>
            </w:r>
            <w:r>
              <w:rPr>
                <w:rFonts w:hint="eastAsia"/>
                <w:color w:val="auto"/>
                <w:highlight w:val="none"/>
              </w:rPr>
              <w:t>建设</w:t>
            </w:r>
            <w:r>
              <w:rPr>
                <w:color w:val="auto"/>
                <w:highlight w:val="none"/>
              </w:rPr>
              <w:t>非放射性生产废水处理站，对收集的非放射性生产废水进行监测、处理、排放。</w:t>
            </w:r>
            <w:r>
              <w:rPr>
                <w:rFonts w:hint="eastAsia"/>
                <w:color w:val="auto"/>
                <w:highlight w:val="none"/>
                <w:lang w:eastAsia="zh"/>
              </w:rPr>
              <w:t>本项目不涉及</w:t>
            </w:r>
            <w:r>
              <w:rPr>
                <w:rFonts w:hint="eastAsia"/>
                <w:color w:val="auto"/>
                <w:highlight w:val="none"/>
                <w:u w:val="single"/>
              </w:rPr>
              <w:t>生活污水</w:t>
            </w:r>
            <w:r>
              <w:rPr>
                <w:rFonts w:hint="eastAsia"/>
                <w:color w:val="auto"/>
                <w:highlight w:val="none"/>
                <w:u w:val="single"/>
                <w:lang w:eastAsia="zh"/>
              </w:rPr>
              <w:t>等</w:t>
            </w:r>
            <w:r>
              <w:rPr>
                <w:rFonts w:hint="eastAsia"/>
                <w:color w:val="auto"/>
                <w:highlight w:val="none"/>
                <w:u w:val="single"/>
              </w:rPr>
              <w:t>的处理及排放</w:t>
            </w:r>
            <w:r>
              <w:rPr>
                <w:rFonts w:hint="eastAsia"/>
                <w:color w:val="auto"/>
                <w:highlight w:val="none"/>
                <w:u w:val="single"/>
                <w:lang w:eastAsia="zh"/>
              </w:rPr>
              <w:t>的</w:t>
            </w:r>
            <w:r>
              <w:rPr>
                <w:rFonts w:hint="eastAsia"/>
                <w:color w:val="auto"/>
                <w:highlight w:val="none"/>
                <w:u w:val="single"/>
              </w:rPr>
              <w:t>改造。</w:t>
            </w:r>
          </w:p>
          <w:p>
            <w:pPr>
              <w:pStyle w:val="8"/>
              <w:rPr>
                <w:bCs/>
                <w:color w:val="auto"/>
                <w:highlight w:val="none"/>
              </w:rPr>
            </w:pPr>
            <w:r>
              <w:rPr>
                <w:bCs/>
                <w:color w:val="auto"/>
                <w:highlight w:val="none"/>
              </w:rPr>
              <w:t>根据《中华人民共和国环境影响评价法</w:t>
            </w:r>
            <w:r>
              <w:rPr>
                <w:rFonts w:hint="eastAsia"/>
                <w:bCs/>
                <w:color w:val="auto"/>
                <w:highlight w:val="none"/>
              </w:rPr>
              <w:t>》《</w:t>
            </w:r>
            <w:r>
              <w:rPr>
                <w:color w:val="auto"/>
                <w:spacing w:val="-2"/>
                <w:highlight w:val="none"/>
              </w:rPr>
              <w:t>建设项目环境保护管理条例</w:t>
            </w:r>
            <w:r>
              <w:rPr>
                <w:rFonts w:hint="eastAsia"/>
                <w:color w:val="auto"/>
                <w:spacing w:val="-2"/>
                <w:highlight w:val="none"/>
              </w:rPr>
              <w:t>》《</w:t>
            </w:r>
            <w:r>
              <w:rPr>
                <w:color w:val="auto"/>
                <w:spacing w:val="-2"/>
                <w:highlight w:val="none"/>
              </w:rPr>
              <w:t>建设项目环境影响评价分类管理名录》（2021年版）</w:t>
            </w:r>
            <w:r>
              <w:rPr>
                <w:bCs/>
                <w:color w:val="auto"/>
                <w:highlight w:val="none"/>
              </w:rPr>
              <w:t>等的相关规定，</w:t>
            </w:r>
            <w:r>
              <w:rPr>
                <w:rFonts w:hint="eastAsia"/>
                <w:bCs/>
                <w:color w:val="auto"/>
                <w:highlight w:val="none"/>
              </w:rPr>
              <w:t>本项目主要建设非放射性废水处理设施、对现有雨废混流的废水管网进行改造，对应分类名录中的“四十三、水的生产和供应业——95污水处理及其再生利用新建、扩建日处理10万吨以下500吨以上城乡污水处理；新建、扩建其他工业废水处理的（不含建设单位自建自用仅处理生活污水的；不含出水间接排入地表水体且不排放重金属）”，应编制环境影响报告表。</w:t>
            </w:r>
          </w:p>
          <w:p>
            <w:pPr>
              <w:pStyle w:val="37"/>
              <w:ind w:firstLine="482" w:firstLineChars="200"/>
              <w:rPr>
                <w:color w:val="auto"/>
                <w:sz w:val="24"/>
                <w:highlight w:val="none"/>
              </w:rPr>
            </w:pPr>
            <w:r>
              <w:rPr>
                <w:color w:val="auto"/>
                <w:sz w:val="24"/>
                <w:highlight w:val="none"/>
              </w:rPr>
              <w:t>表2-</w:t>
            </w:r>
            <w:r>
              <w:rPr>
                <w:color w:val="auto"/>
                <w:sz w:val="24"/>
                <w:highlight w:val="none"/>
              </w:rPr>
              <w:fldChar w:fldCharType="begin"/>
            </w:r>
            <w:r>
              <w:rPr>
                <w:color w:val="auto"/>
                <w:sz w:val="24"/>
                <w:highlight w:val="none"/>
              </w:rPr>
              <w:instrText xml:space="preserve">SEQ表2-\*ARABIC</w:instrText>
            </w:r>
            <w:r>
              <w:rPr>
                <w:color w:val="auto"/>
                <w:sz w:val="24"/>
                <w:highlight w:val="none"/>
              </w:rPr>
              <w:fldChar w:fldCharType="separate"/>
            </w:r>
            <w:r>
              <w:rPr>
                <w:color w:val="auto"/>
                <w:sz w:val="24"/>
                <w:highlight w:val="none"/>
              </w:rPr>
              <w:t>1</w:t>
            </w:r>
            <w:r>
              <w:rPr>
                <w:color w:val="auto"/>
                <w:sz w:val="24"/>
                <w:highlight w:val="none"/>
              </w:rPr>
              <w:fldChar w:fldCharType="end"/>
            </w:r>
            <w:r>
              <w:rPr>
                <w:color w:val="auto"/>
                <w:sz w:val="24"/>
                <w:highlight w:val="none"/>
              </w:rPr>
              <w:t>建设项目环境影响评价管理分类</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590"/>
              <w:gridCol w:w="109"/>
              <w:gridCol w:w="3291"/>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7" w:type="pct"/>
                  <w:tcBorders>
                    <w:tl2br w:val="single" w:color="auto" w:sz="4" w:space="0"/>
                  </w:tcBorders>
                  <w:vAlign w:val="center"/>
                </w:tcPr>
                <w:p>
                  <w:pPr>
                    <w:pStyle w:val="34"/>
                    <w:rPr>
                      <w:color w:val="auto"/>
                      <w:highlight w:val="none"/>
                    </w:rPr>
                  </w:pPr>
                  <w:r>
                    <w:rPr>
                      <w:color w:val="auto"/>
                      <w:highlight w:val="none"/>
                    </w:rPr>
                    <w:t>环评类别</w:t>
                  </w:r>
                </w:p>
                <w:p>
                  <w:pPr>
                    <w:pStyle w:val="34"/>
                    <w:rPr>
                      <w:color w:val="auto"/>
                      <w:highlight w:val="none"/>
                    </w:rPr>
                  </w:pPr>
                  <w:r>
                    <w:rPr>
                      <w:color w:val="auto"/>
                      <w:highlight w:val="none"/>
                    </w:rPr>
                    <w:t>项目类别</w:t>
                  </w:r>
                </w:p>
              </w:tc>
              <w:tc>
                <w:tcPr>
                  <w:tcW w:w="945" w:type="pct"/>
                  <w:vAlign w:val="center"/>
                </w:tcPr>
                <w:p>
                  <w:pPr>
                    <w:jc w:val="center"/>
                    <w:rPr>
                      <w:b/>
                      <w:color w:val="auto"/>
                      <w:highlight w:val="none"/>
                    </w:rPr>
                  </w:pPr>
                  <w:r>
                    <w:rPr>
                      <w:b/>
                      <w:color w:val="auto"/>
                      <w:highlight w:val="none"/>
                    </w:rPr>
                    <w:t>报告书</w:t>
                  </w:r>
                </w:p>
              </w:tc>
              <w:tc>
                <w:tcPr>
                  <w:tcW w:w="2021" w:type="pct"/>
                  <w:gridSpan w:val="2"/>
                  <w:vAlign w:val="center"/>
                </w:tcPr>
                <w:p>
                  <w:pPr>
                    <w:jc w:val="center"/>
                    <w:rPr>
                      <w:b/>
                      <w:color w:val="auto"/>
                      <w:highlight w:val="none"/>
                    </w:rPr>
                  </w:pPr>
                  <w:r>
                    <w:rPr>
                      <w:b/>
                      <w:color w:val="auto"/>
                      <w:highlight w:val="none"/>
                    </w:rPr>
                    <w:t>报告表</w:t>
                  </w:r>
                </w:p>
              </w:tc>
              <w:tc>
                <w:tcPr>
                  <w:tcW w:w="1164" w:type="pct"/>
                  <w:vAlign w:val="center"/>
                </w:tcPr>
                <w:p>
                  <w:pPr>
                    <w:jc w:val="center"/>
                    <w:rPr>
                      <w:b/>
                      <w:color w:val="auto"/>
                      <w:highlight w:val="none"/>
                    </w:rPr>
                  </w:pPr>
                  <w:r>
                    <w:rPr>
                      <w:b/>
                      <w:color w:val="auto"/>
                      <w:highlight w:val="none"/>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pPr>
                    <w:jc w:val="left"/>
                    <w:rPr>
                      <w:b/>
                      <w:color w:val="auto"/>
                      <w:highlight w:val="none"/>
                    </w:rPr>
                  </w:pPr>
                  <w:r>
                    <w:rPr>
                      <w:rFonts w:hint="eastAsia"/>
                      <w:b/>
                      <w:color w:val="auto"/>
                      <w:highlight w:val="none"/>
                    </w:rPr>
                    <w:t>四十三、水的生产和供应业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7" w:type="pct"/>
                  <w:vAlign w:val="center"/>
                </w:tcPr>
                <w:p>
                  <w:pPr>
                    <w:pStyle w:val="38"/>
                    <w:rPr>
                      <w:color w:val="auto"/>
                      <w:highlight w:val="none"/>
                    </w:rPr>
                  </w:pPr>
                  <w:r>
                    <w:rPr>
                      <w:rFonts w:hint="eastAsia"/>
                      <w:color w:val="auto"/>
                      <w:highlight w:val="none"/>
                    </w:rPr>
                    <w:t>95污水处理及其再生利用</w:t>
                  </w:r>
                </w:p>
              </w:tc>
              <w:tc>
                <w:tcPr>
                  <w:tcW w:w="1010" w:type="pct"/>
                  <w:gridSpan w:val="2"/>
                  <w:vAlign w:val="center"/>
                </w:tcPr>
                <w:p>
                  <w:pPr>
                    <w:pStyle w:val="38"/>
                    <w:rPr>
                      <w:color w:val="auto"/>
                      <w:highlight w:val="none"/>
                    </w:rPr>
                  </w:pPr>
                  <w:r>
                    <w:rPr>
                      <w:rFonts w:hint="eastAsia"/>
                      <w:color w:val="auto"/>
                      <w:highlight w:val="none"/>
                    </w:rPr>
                    <w:t>新建、扩建日处理10万吨及以上城乡污水处理的；新建、扩建工业废水集中处理的</w:t>
                  </w:r>
                </w:p>
              </w:tc>
              <w:tc>
                <w:tcPr>
                  <w:tcW w:w="1956" w:type="pct"/>
                  <w:vAlign w:val="center"/>
                </w:tcPr>
                <w:p>
                  <w:pPr>
                    <w:pStyle w:val="38"/>
                    <w:rPr>
                      <w:color w:val="auto"/>
                      <w:highlight w:val="none"/>
                    </w:rPr>
                  </w:pPr>
                  <w:r>
                    <w:rPr>
                      <w:rFonts w:hint="eastAsia"/>
                      <w:color w:val="auto"/>
                      <w:highlight w:val="none"/>
                    </w:rPr>
                    <w:t>新建、扩建日处理10万吨以下500吨以上城乡污水处理；</w:t>
                  </w:r>
                  <w:r>
                    <w:rPr>
                      <w:rFonts w:hint="eastAsia"/>
                      <w:b/>
                      <w:bCs/>
                      <w:color w:val="auto"/>
                      <w:highlight w:val="none"/>
                    </w:rPr>
                    <w:t>新建</w:t>
                  </w:r>
                  <w:r>
                    <w:rPr>
                      <w:rFonts w:hint="eastAsia"/>
                      <w:color w:val="auto"/>
                      <w:highlight w:val="none"/>
                    </w:rPr>
                    <w:t>、</w:t>
                  </w:r>
                  <w:r>
                    <w:rPr>
                      <w:rFonts w:hint="eastAsia"/>
                      <w:b/>
                      <w:bCs/>
                      <w:color w:val="auto"/>
                      <w:highlight w:val="none"/>
                    </w:rPr>
                    <w:t>扩建其他工业废水处理</w:t>
                  </w:r>
                  <w:r>
                    <w:rPr>
                      <w:rFonts w:hint="eastAsia"/>
                      <w:color w:val="auto"/>
                      <w:highlight w:val="none"/>
                    </w:rPr>
                    <w:t>的（不含建设单位自建自用仅处理生活污水的；不含出水间接排入地表水体且不排放重金属）</w:t>
                  </w:r>
                </w:p>
              </w:tc>
              <w:tc>
                <w:tcPr>
                  <w:tcW w:w="1164" w:type="pct"/>
                  <w:vAlign w:val="center"/>
                </w:tcPr>
                <w:p>
                  <w:pPr>
                    <w:pStyle w:val="38"/>
                    <w:rPr>
                      <w:color w:val="auto"/>
                      <w:highlight w:val="none"/>
                    </w:rPr>
                  </w:pPr>
                  <w:r>
                    <w:rPr>
                      <w:rFonts w:hint="eastAsia"/>
                      <w:color w:val="auto"/>
                      <w:highlight w:val="none"/>
                    </w:rPr>
                    <w:t>其他（不含提标改造项目；不含化粪池及化粪池处理后中水处理回用；不含仅建设沉淀池处理的）</w:t>
                  </w:r>
                </w:p>
              </w:tc>
            </w:tr>
          </w:tbl>
          <w:p>
            <w:pPr>
              <w:pStyle w:val="8"/>
              <w:rPr>
                <w:color w:val="auto"/>
                <w:highlight w:val="none"/>
              </w:rPr>
            </w:pPr>
          </w:p>
          <w:p>
            <w:pPr>
              <w:pStyle w:val="4"/>
              <w:rPr>
                <w:color w:val="auto"/>
                <w:highlight w:val="none"/>
              </w:rPr>
            </w:pPr>
            <w:r>
              <w:rPr>
                <w:rFonts w:hint="eastAsia"/>
                <w:color w:val="auto"/>
                <w:highlight w:val="none"/>
              </w:rPr>
              <w:t>2.1.2工程组成</w:t>
            </w:r>
          </w:p>
          <w:p>
            <w:pPr>
              <w:pStyle w:val="8"/>
              <w:rPr>
                <w:color w:val="auto"/>
                <w:highlight w:val="none"/>
                <w:lang w:eastAsia="zh"/>
              </w:rPr>
            </w:pPr>
            <w:r>
              <w:rPr>
                <w:rFonts w:hint="eastAsia"/>
                <w:color w:val="auto"/>
                <w:highlight w:val="none"/>
              </w:rPr>
              <w:t>本</w:t>
            </w:r>
            <w:r>
              <w:rPr>
                <w:color w:val="auto"/>
                <w:highlight w:val="none"/>
              </w:rPr>
              <w:t>项目主要新建</w:t>
            </w:r>
            <w:r>
              <w:rPr>
                <w:rFonts w:hint="eastAsia"/>
                <w:color w:val="auto"/>
                <w:highlight w:val="none"/>
              </w:rPr>
              <w:t>1座非放射性废水处理站</w:t>
            </w:r>
            <w:r>
              <w:rPr>
                <w:color w:val="auto"/>
                <w:highlight w:val="none"/>
              </w:rPr>
              <w:t>及新建、改造</w:t>
            </w:r>
            <w:r>
              <w:rPr>
                <w:rFonts w:hint="eastAsia"/>
                <w:color w:val="auto"/>
                <w:highlight w:val="none"/>
              </w:rPr>
              <w:t>非放射性生产废水</w:t>
            </w:r>
            <w:r>
              <w:rPr>
                <w:color w:val="auto"/>
                <w:highlight w:val="none"/>
              </w:rPr>
              <w:t>管网。</w:t>
            </w:r>
            <w:r>
              <w:rPr>
                <w:rFonts w:hint="eastAsia"/>
                <w:color w:val="auto"/>
                <w:highlight w:val="none"/>
              </w:rPr>
              <w:t>废水处理站</w:t>
            </w:r>
            <w:r>
              <w:rPr>
                <w:rFonts w:hint="eastAsia"/>
                <w:color w:val="auto"/>
                <w:highlight w:val="none"/>
                <w:lang w:eastAsia="zh"/>
              </w:rPr>
              <w:t>主要</w:t>
            </w:r>
            <w:r>
              <w:rPr>
                <w:rFonts w:hint="eastAsia"/>
                <w:color w:val="auto"/>
                <w:highlight w:val="none"/>
              </w:rPr>
              <w:t>构筑物包括：调节池、中间水池、污泥池、清水池、深度处理间、污泥脱水间、加药间、工艺预处理区、药品储罐区、配电间、控制室、在线监测间、水泵间、物品间、办公辅助用房等</w:t>
            </w:r>
            <w:r>
              <w:rPr>
                <w:rFonts w:hint="eastAsia"/>
                <w:color w:val="auto"/>
                <w:highlight w:val="none"/>
                <w:lang w:eastAsia="zh"/>
              </w:rPr>
              <w:t>。</w:t>
            </w:r>
            <w:r>
              <w:rPr>
                <w:rFonts w:hint="eastAsia"/>
                <w:color w:val="auto"/>
                <w:highlight w:val="none"/>
                <w:u w:val="single"/>
              </w:rPr>
              <w:t>现有的雨水管沟维持现状，将现状雨废合流的非放射生产废水分离，敷设管道长度约15.4千米，管径主要为DN300-DN500。</w:t>
            </w:r>
          </w:p>
          <w:p>
            <w:pPr>
              <w:pStyle w:val="8"/>
              <w:rPr>
                <w:color w:val="auto"/>
                <w:highlight w:val="none"/>
                <w:lang w:eastAsia="zh"/>
              </w:rPr>
            </w:pPr>
            <w:r>
              <w:rPr>
                <w:color w:val="auto"/>
                <w:highlight w:val="none"/>
              </w:rPr>
              <w:t>本项目工程组成见表2-</w:t>
            </w:r>
            <w:r>
              <w:rPr>
                <w:rFonts w:hint="eastAsia"/>
                <w:color w:val="auto"/>
                <w:highlight w:val="none"/>
              </w:rPr>
              <w:t>2</w:t>
            </w:r>
            <w:r>
              <w:rPr>
                <w:color w:val="auto"/>
                <w:highlight w:val="none"/>
              </w:rPr>
              <w:t>。</w:t>
            </w:r>
          </w:p>
          <w:p>
            <w:pPr>
              <w:pStyle w:val="37"/>
              <w:ind w:firstLine="482" w:firstLineChars="200"/>
              <w:rPr>
                <w:color w:val="auto"/>
                <w:sz w:val="24"/>
                <w:highlight w:val="none"/>
              </w:rPr>
            </w:pPr>
            <w:r>
              <w:rPr>
                <w:color w:val="auto"/>
                <w:sz w:val="24"/>
                <w:highlight w:val="none"/>
              </w:rPr>
              <w:t>表2-</w:t>
            </w:r>
            <w:r>
              <w:rPr>
                <w:color w:val="auto"/>
                <w:sz w:val="24"/>
                <w:highlight w:val="none"/>
              </w:rPr>
              <w:fldChar w:fldCharType="begin"/>
            </w:r>
            <w:r>
              <w:rPr>
                <w:color w:val="auto"/>
                <w:sz w:val="24"/>
                <w:highlight w:val="none"/>
              </w:rPr>
              <w:instrText xml:space="preserve">SEQ表2-\*ARABIC</w:instrText>
            </w:r>
            <w:r>
              <w:rPr>
                <w:color w:val="auto"/>
                <w:sz w:val="24"/>
                <w:highlight w:val="none"/>
              </w:rPr>
              <w:fldChar w:fldCharType="separate"/>
            </w:r>
            <w:r>
              <w:rPr>
                <w:color w:val="auto"/>
                <w:sz w:val="24"/>
                <w:highlight w:val="none"/>
              </w:rPr>
              <w:t>2</w:t>
            </w:r>
            <w:r>
              <w:rPr>
                <w:color w:val="auto"/>
                <w:sz w:val="24"/>
                <w:highlight w:val="none"/>
              </w:rPr>
              <w:fldChar w:fldCharType="end"/>
            </w:r>
            <w:r>
              <w:rPr>
                <w:rFonts w:hint="eastAsia"/>
                <w:color w:val="auto"/>
                <w:sz w:val="24"/>
                <w:highlight w:val="none"/>
              </w:rPr>
              <w:t>工程组成</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1"/>
              <w:gridCol w:w="1112"/>
              <w:gridCol w:w="6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54" w:type="pct"/>
                  <w:gridSpan w:val="2"/>
                  <w:vAlign w:val="center"/>
                </w:tcPr>
                <w:p>
                  <w:pPr>
                    <w:tabs>
                      <w:tab w:val="left" w:pos="3225"/>
                    </w:tabs>
                    <w:adjustRightInd w:val="0"/>
                    <w:snapToGrid w:val="0"/>
                    <w:jc w:val="center"/>
                    <w:rPr>
                      <w:b/>
                      <w:bCs/>
                      <w:color w:val="auto"/>
                      <w:szCs w:val="21"/>
                      <w:highlight w:val="none"/>
                    </w:rPr>
                  </w:pPr>
                  <w:r>
                    <w:rPr>
                      <w:b/>
                      <w:bCs/>
                      <w:color w:val="auto"/>
                      <w:szCs w:val="21"/>
                      <w:highlight w:val="none"/>
                    </w:rPr>
                    <w:t>项目内容</w:t>
                  </w:r>
                </w:p>
              </w:tc>
              <w:tc>
                <w:tcPr>
                  <w:tcW w:w="3945" w:type="pct"/>
                  <w:vAlign w:val="center"/>
                </w:tcPr>
                <w:p>
                  <w:pPr>
                    <w:tabs>
                      <w:tab w:val="left" w:pos="3225"/>
                    </w:tabs>
                    <w:adjustRightInd w:val="0"/>
                    <w:snapToGrid w:val="0"/>
                    <w:jc w:val="center"/>
                    <w:rPr>
                      <w:b/>
                      <w:bCs/>
                      <w:color w:val="auto"/>
                      <w:szCs w:val="21"/>
                      <w:highlight w:val="none"/>
                    </w:rPr>
                  </w:pPr>
                  <w:r>
                    <w:rPr>
                      <w:b/>
                      <w:bCs/>
                      <w:color w:val="auto"/>
                      <w:szCs w:val="21"/>
                      <w:highlight w:val="none"/>
                    </w:rPr>
                    <w:t>主要内容及规模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Align w:val="center"/>
                </w:tcPr>
                <w:p>
                  <w:pPr>
                    <w:tabs>
                      <w:tab w:val="left" w:pos="3225"/>
                    </w:tabs>
                    <w:adjustRightInd w:val="0"/>
                    <w:snapToGrid w:val="0"/>
                    <w:jc w:val="center"/>
                    <w:rPr>
                      <w:color w:val="auto"/>
                      <w:szCs w:val="21"/>
                      <w:highlight w:val="none"/>
                    </w:rPr>
                  </w:pPr>
                  <w:r>
                    <w:rPr>
                      <w:color w:val="auto"/>
                      <w:szCs w:val="21"/>
                      <w:highlight w:val="none"/>
                    </w:rPr>
                    <w:t>主体工程</w:t>
                  </w:r>
                </w:p>
              </w:tc>
              <w:tc>
                <w:tcPr>
                  <w:tcW w:w="661" w:type="pct"/>
                  <w:vAlign w:val="center"/>
                </w:tcPr>
                <w:p>
                  <w:pPr>
                    <w:adjustRightInd w:val="0"/>
                    <w:snapToGrid w:val="0"/>
                    <w:jc w:val="center"/>
                    <w:rPr>
                      <w:color w:val="auto"/>
                      <w:szCs w:val="21"/>
                      <w:highlight w:val="none"/>
                    </w:rPr>
                  </w:pPr>
                  <w:r>
                    <w:rPr>
                      <w:rFonts w:hint="eastAsia"/>
                      <w:color w:val="auto"/>
                      <w:szCs w:val="21"/>
                      <w:highlight w:val="none"/>
                    </w:rPr>
                    <w:t>非放射性废水处理站</w:t>
                  </w:r>
                </w:p>
              </w:tc>
              <w:tc>
                <w:tcPr>
                  <w:tcW w:w="3945" w:type="pct"/>
                  <w:vAlign w:val="center"/>
                </w:tcPr>
                <w:p>
                  <w:pPr>
                    <w:pStyle w:val="34"/>
                    <w:jc w:val="left"/>
                    <w:rPr>
                      <w:rFonts w:ascii="Times New Roman" w:hAnsi="Times New Roman"/>
                      <w:color w:val="auto"/>
                      <w:kern w:val="2"/>
                      <w:szCs w:val="21"/>
                      <w:highlight w:val="none"/>
                    </w:rPr>
                  </w:pPr>
                  <w:r>
                    <w:rPr>
                      <w:color w:val="auto"/>
                      <w:highlight w:val="none"/>
                    </w:rPr>
                    <w:t>位于</w:t>
                  </w:r>
                  <w:r>
                    <w:rPr>
                      <w:rFonts w:hint="eastAsia"/>
                      <w:color w:val="auto"/>
                      <w:highlight w:val="none"/>
                    </w:rPr>
                    <w:t>福清核电厂区内现有空地，建设</w:t>
                  </w:r>
                  <w:r>
                    <w:rPr>
                      <w:color w:val="auto"/>
                      <w:highlight w:val="none"/>
                    </w:rPr>
                    <w:t>1座</w:t>
                  </w:r>
                  <w:r>
                    <w:rPr>
                      <w:rFonts w:hint="eastAsia"/>
                      <w:color w:val="auto"/>
                      <w:highlight w:val="none"/>
                    </w:rPr>
                    <w:t>非放射性废水处理站</w:t>
                  </w:r>
                  <w:r>
                    <w:rPr>
                      <w:color w:val="auto"/>
                      <w:highlight w:val="none"/>
                    </w:rPr>
                    <w:t>，占地面积</w:t>
                  </w:r>
                  <w:r>
                    <w:rPr>
                      <w:rFonts w:hint="eastAsia"/>
                      <w:color w:val="auto"/>
                      <w:highlight w:val="none"/>
                    </w:rPr>
                    <w:t>约</w:t>
                  </w:r>
                  <w:r>
                    <w:rPr>
                      <w:color w:val="auto"/>
                      <w:highlight w:val="none"/>
                    </w:rPr>
                    <w:t>为12291m</w:t>
                  </w:r>
                  <w:r>
                    <w:rPr>
                      <w:color w:val="auto"/>
                      <w:highlight w:val="none"/>
                      <w:vertAlign w:val="superscript"/>
                    </w:rPr>
                    <w:t>2</w:t>
                  </w:r>
                  <w:r>
                    <w:rPr>
                      <w:color w:val="auto"/>
                      <w:highlight w:val="none"/>
                    </w:rPr>
                    <w:t>，设计废水处理能力</w:t>
                  </w:r>
                  <w:r>
                    <w:rPr>
                      <w:rFonts w:hint="eastAsia"/>
                      <w:color w:val="auto"/>
                      <w:highlight w:val="none"/>
                    </w:rPr>
                    <w:t>6800m</w:t>
                  </w:r>
                  <w:r>
                    <w:rPr>
                      <w:rFonts w:hint="eastAsia"/>
                      <w:color w:val="auto"/>
                      <w:highlight w:val="none"/>
                      <w:vertAlign w:val="superscript"/>
                    </w:rPr>
                    <w:t>3</w:t>
                  </w:r>
                  <w:r>
                    <w:rPr>
                      <w:color w:val="auto"/>
                      <w:highlight w:val="none"/>
                    </w:rPr>
                    <w:t>/</w:t>
                  </w:r>
                  <w:r>
                    <w:rPr>
                      <w:rFonts w:hint="eastAsia"/>
                      <w:color w:val="auto"/>
                      <w:highlight w:val="none"/>
                    </w:rPr>
                    <w:t>d（284t/h）</w:t>
                  </w:r>
                  <w:r>
                    <w:rPr>
                      <w:color w:val="auto"/>
                      <w:highlight w:val="none"/>
                    </w:rPr>
                    <w:t>，同时改造</w:t>
                  </w:r>
                  <w:r>
                    <w:rPr>
                      <w:rFonts w:hint="eastAsia"/>
                      <w:color w:val="auto"/>
                      <w:highlight w:val="none"/>
                    </w:rPr>
                    <w:t>非放射性生产废水</w:t>
                  </w:r>
                  <w:r>
                    <w:rPr>
                      <w:color w:val="auto"/>
                      <w:highlight w:val="none"/>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Align w:val="center"/>
                </w:tcPr>
                <w:p>
                  <w:pPr>
                    <w:tabs>
                      <w:tab w:val="left" w:pos="3225"/>
                    </w:tabs>
                    <w:adjustRightInd w:val="0"/>
                    <w:snapToGrid w:val="0"/>
                    <w:jc w:val="center"/>
                    <w:rPr>
                      <w:color w:val="auto"/>
                      <w:szCs w:val="21"/>
                      <w:highlight w:val="none"/>
                      <w:u w:val="single"/>
                    </w:rPr>
                  </w:pPr>
                  <w:r>
                    <w:rPr>
                      <w:rFonts w:hint="eastAsia"/>
                      <w:color w:val="auto"/>
                      <w:szCs w:val="21"/>
                      <w:highlight w:val="none"/>
                      <w:u w:val="single"/>
                    </w:rPr>
                    <w:t>管网工程</w:t>
                  </w:r>
                </w:p>
              </w:tc>
              <w:tc>
                <w:tcPr>
                  <w:tcW w:w="661" w:type="pct"/>
                  <w:vAlign w:val="center"/>
                </w:tcPr>
                <w:p>
                  <w:pPr>
                    <w:adjustRightInd w:val="0"/>
                    <w:snapToGrid w:val="0"/>
                    <w:jc w:val="center"/>
                    <w:rPr>
                      <w:color w:val="auto"/>
                      <w:szCs w:val="21"/>
                      <w:highlight w:val="none"/>
                      <w:u w:val="single"/>
                    </w:rPr>
                  </w:pPr>
                  <w:r>
                    <w:rPr>
                      <w:rFonts w:hint="eastAsia"/>
                      <w:color w:val="auto"/>
                      <w:szCs w:val="21"/>
                      <w:highlight w:val="none"/>
                      <w:u w:val="single"/>
                    </w:rPr>
                    <w:t>非放射性废水收集管网</w:t>
                  </w:r>
                </w:p>
              </w:tc>
              <w:tc>
                <w:tcPr>
                  <w:tcW w:w="3945" w:type="pct"/>
                  <w:vAlign w:val="center"/>
                </w:tcPr>
                <w:p>
                  <w:pPr>
                    <w:pStyle w:val="34"/>
                    <w:jc w:val="left"/>
                    <w:rPr>
                      <w:color w:val="auto"/>
                      <w:highlight w:val="none"/>
                      <w:u w:val="single"/>
                    </w:rPr>
                  </w:pPr>
                  <w:r>
                    <w:rPr>
                      <w:rFonts w:hint="eastAsia"/>
                      <w:color w:val="auto"/>
                      <w:highlight w:val="none"/>
                      <w:u w:val="single"/>
                    </w:rPr>
                    <w:t>现有的雨水管沟维持现状，将现状</w:t>
                  </w:r>
                  <w:r>
                    <w:rPr>
                      <w:rFonts w:hint="eastAsia"/>
                      <w:color w:val="auto"/>
                      <w:highlight w:val="none"/>
                      <w:u w:val="single"/>
                      <w:lang w:eastAsia="zh-CN"/>
                    </w:rPr>
                    <w:t>雨废合流</w:t>
                  </w:r>
                  <w:r>
                    <w:rPr>
                      <w:rFonts w:hint="eastAsia"/>
                      <w:color w:val="auto"/>
                      <w:highlight w:val="none"/>
                      <w:u w:val="single"/>
                    </w:rPr>
                    <w:t>的非放射生产废水分离，敷设管道长度</w:t>
                  </w:r>
                  <w:r>
                    <w:rPr>
                      <w:rFonts w:hint="eastAsia"/>
                      <w:color w:val="auto"/>
                      <w:highlight w:val="none"/>
                      <w:u w:val="single"/>
                      <w:lang w:eastAsia="zh"/>
                    </w:rPr>
                    <w:t>约</w:t>
                  </w:r>
                  <w:r>
                    <w:rPr>
                      <w:rFonts w:hint="eastAsia"/>
                      <w:color w:val="auto"/>
                      <w:highlight w:val="none"/>
                      <w:u w:val="single"/>
                    </w:rPr>
                    <w:t>15.4千米，管径主要为DN300-DN500。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Align w:val="center"/>
                </w:tcPr>
                <w:p>
                  <w:pPr>
                    <w:tabs>
                      <w:tab w:val="left" w:pos="3225"/>
                    </w:tabs>
                    <w:adjustRightInd w:val="0"/>
                    <w:snapToGrid w:val="0"/>
                    <w:jc w:val="center"/>
                    <w:rPr>
                      <w:color w:val="auto"/>
                      <w:szCs w:val="21"/>
                      <w:highlight w:val="none"/>
                    </w:rPr>
                  </w:pPr>
                  <w:r>
                    <w:rPr>
                      <w:color w:val="auto"/>
                      <w:szCs w:val="21"/>
                      <w:highlight w:val="none"/>
                    </w:rPr>
                    <w:t>辅助工程</w:t>
                  </w:r>
                </w:p>
              </w:tc>
              <w:tc>
                <w:tcPr>
                  <w:tcW w:w="661" w:type="pct"/>
                  <w:vAlign w:val="center"/>
                </w:tcPr>
                <w:p>
                  <w:pPr>
                    <w:adjustRightInd w:val="0"/>
                    <w:snapToGrid w:val="0"/>
                    <w:jc w:val="center"/>
                    <w:rPr>
                      <w:color w:val="auto"/>
                      <w:szCs w:val="21"/>
                      <w:highlight w:val="none"/>
                    </w:rPr>
                  </w:pPr>
                  <w:r>
                    <w:rPr>
                      <w:color w:val="auto"/>
                      <w:szCs w:val="21"/>
                      <w:highlight w:val="none"/>
                    </w:rPr>
                    <w:t>/</w:t>
                  </w:r>
                </w:p>
              </w:tc>
              <w:tc>
                <w:tcPr>
                  <w:tcW w:w="3945" w:type="pct"/>
                  <w:vAlign w:val="center"/>
                </w:tcPr>
                <w:p>
                  <w:pPr>
                    <w:adjustRightInd w:val="0"/>
                    <w:snapToGrid w:val="0"/>
                    <w:rPr>
                      <w:color w:val="auto"/>
                      <w:szCs w:val="21"/>
                      <w:highlight w:val="none"/>
                    </w:rPr>
                  </w:pPr>
                  <w:r>
                    <w:rPr>
                      <w:color w:val="auto"/>
                      <w:szCs w:val="21"/>
                      <w:highlight w:val="none"/>
                    </w:rPr>
                    <w:t>本项目不新增员工。</w:t>
                  </w:r>
                  <w:r>
                    <w:rPr>
                      <w:rFonts w:hint="eastAsia"/>
                      <w:color w:val="auto"/>
                      <w:szCs w:val="21"/>
                      <w:highlight w:val="none"/>
                    </w:rPr>
                    <w:t>非放射性废水处理站</w:t>
                  </w:r>
                  <w:r>
                    <w:rPr>
                      <w:color w:val="auto"/>
                      <w:szCs w:val="21"/>
                      <w:highlight w:val="none"/>
                    </w:rPr>
                    <w:t>均配备配电房、操作间等。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Merge w:val="restart"/>
                  <w:vAlign w:val="center"/>
                </w:tcPr>
                <w:p>
                  <w:pPr>
                    <w:tabs>
                      <w:tab w:val="left" w:pos="3225"/>
                    </w:tabs>
                    <w:adjustRightInd w:val="0"/>
                    <w:snapToGrid w:val="0"/>
                    <w:jc w:val="center"/>
                    <w:rPr>
                      <w:color w:val="auto"/>
                      <w:szCs w:val="21"/>
                      <w:highlight w:val="none"/>
                    </w:rPr>
                  </w:pPr>
                  <w:r>
                    <w:rPr>
                      <w:color w:val="auto"/>
                      <w:szCs w:val="21"/>
                      <w:highlight w:val="none"/>
                    </w:rPr>
                    <w:t>储运工程</w:t>
                  </w: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原料储存</w:t>
                  </w:r>
                </w:p>
              </w:tc>
              <w:tc>
                <w:tcPr>
                  <w:tcW w:w="3945" w:type="pct"/>
                  <w:vAlign w:val="center"/>
                </w:tcPr>
                <w:p>
                  <w:pPr>
                    <w:tabs>
                      <w:tab w:val="left" w:pos="3225"/>
                    </w:tabs>
                    <w:adjustRightInd w:val="0"/>
                    <w:snapToGrid w:val="0"/>
                    <w:rPr>
                      <w:color w:val="auto"/>
                      <w:szCs w:val="21"/>
                      <w:highlight w:val="none"/>
                    </w:rPr>
                  </w:pPr>
                  <w:r>
                    <w:rPr>
                      <w:rFonts w:hint="eastAsia"/>
                      <w:color w:val="auto"/>
                      <w:szCs w:val="21"/>
                      <w:highlight w:val="none"/>
                    </w:rPr>
                    <w:t>非放射性废水处理站</w:t>
                  </w:r>
                  <w:r>
                    <w:rPr>
                      <w:color w:val="auto"/>
                      <w:szCs w:val="21"/>
                      <w:highlight w:val="none"/>
                    </w:rPr>
                    <w:t>配套1处</w:t>
                  </w:r>
                  <w:r>
                    <w:rPr>
                      <w:rFonts w:hint="eastAsia"/>
                      <w:color w:val="auto"/>
                      <w:szCs w:val="21"/>
                      <w:highlight w:val="none"/>
                    </w:rPr>
                    <w:t>贮罐区，设有</w:t>
                  </w:r>
                  <w:r>
                    <w:rPr>
                      <w:rFonts w:ascii="宋体" w:hAnsi="宋体" w:cs="宋体"/>
                      <w:color w:val="auto"/>
                      <w:spacing w:val="-3"/>
                      <w:szCs w:val="21"/>
                      <w:highlight w:val="none"/>
                    </w:rPr>
                    <w:t>酸</w:t>
                  </w:r>
                  <w:r>
                    <w:rPr>
                      <w:rFonts w:hint="eastAsia" w:ascii="宋体" w:hAnsi="宋体" w:cs="宋体"/>
                      <w:color w:val="auto"/>
                      <w:spacing w:val="-3"/>
                      <w:szCs w:val="21"/>
                      <w:highlight w:val="none"/>
                    </w:rPr>
                    <w:t>碱</w:t>
                  </w:r>
                  <w:r>
                    <w:rPr>
                      <w:rFonts w:ascii="宋体" w:hAnsi="宋体" w:cs="宋体"/>
                      <w:color w:val="auto"/>
                      <w:spacing w:val="-3"/>
                      <w:szCs w:val="21"/>
                      <w:highlight w:val="none"/>
                    </w:rPr>
                    <w:t>贮罐</w:t>
                  </w:r>
                  <w:r>
                    <w:rPr>
                      <w:rFonts w:hint="eastAsia" w:ascii="宋体" w:hAnsi="宋体" w:cs="宋体"/>
                      <w:color w:val="auto"/>
                      <w:spacing w:val="-3"/>
                      <w:szCs w:val="21"/>
                      <w:highlight w:val="none"/>
                    </w:rPr>
                    <w:t>、各类加药装置、次氯酸钠贮罐、</w:t>
                  </w:r>
                  <w:r>
                    <w:rPr>
                      <w:rFonts w:ascii="宋体" w:hAnsi="宋体" w:cs="宋体"/>
                      <w:color w:val="auto"/>
                      <w:spacing w:val="-2"/>
                      <w:szCs w:val="21"/>
                      <w:highlight w:val="none"/>
                    </w:rPr>
                    <w:t>混凝剂贮罐</w:t>
                  </w:r>
                  <w:r>
                    <w:rPr>
                      <w:rFonts w:hint="eastAsia" w:ascii="宋体" w:hAnsi="宋体" w:cs="宋体"/>
                      <w:color w:val="auto"/>
                      <w:spacing w:val="-2"/>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Merge w:val="continue"/>
                  <w:vAlign w:val="center"/>
                </w:tcPr>
                <w:p>
                  <w:pPr>
                    <w:tabs>
                      <w:tab w:val="left" w:pos="3225"/>
                    </w:tabs>
                    <w:adjustRightInd w:val="0"/>
                    <w:snapToGrid w:val="0"/>
                    <w:rPr>
                      <w:color w:val="auto"/>
                      <w:highlight w:val="none"/>
                    </w:rPr>
                  </w:pP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污泥储存</w:t>
                  </w:r>
                </w:p>
              </w:tc>
              <w:tc>
                <w:tcPr>
                  <w:tcW w:w="3945" w:type="pct"/>
                  <w:vAlign w:val="center"/>
                </w:tcPr>
                <w:p>
                  <w:pPr>
                    <w:tabs>
                      <w:tab w:val="left" w:pos="3225"/>
                    </w:tabs>
                    <w:adjustRightInd w:val="0"/>
                    <w:snapToGrid w:val="0"/>
                    <w:rPr>
                      <w:color w:val="auto"/>
                      <w:szCs w:val="21"/>
                      <w:highlight w:val="none"/>
                    </w:rPr>
                  </w:pPr>
                  <w:r>
                    <w:rPr>
                      <w:rFonts w:hint="eastAsia"/>
                      <w:color w:val="auto"/>
                      <w:szCs w:val="21"/>
                      <w:highlight w:val="none"/>
                    </w:rPr>
                    <w:t>非放射性废水处理站</w:t>
                  </w:r>
                  <w:r>
                    <w:rPr>
                      <w:color w:val="auto"/>
                      <w:szCs w:val="21"/>
                      <w:highlight w:val="none"/>
                    </w:rPr>
                    <w:t>配套1处污泥</w:t>
                  </w:r>
                  <w:r>
                    <w:rPr>
                      <w:rFonts w:hint="eastAsia"/>
                      <w:color w:val="auto"/>
                      <w:szCs w:val="21"/>
                      <w:highlight w:val="none"/>
                    </w:rPr>
                    <w:t>处理间</w:t>
                  </w:r>
                  <w:r>
                    <w:rPr>
                      <w:rFonts w:hint="eastAsia"/>
                      <w:color w:val="auto"/>
                      <w:szCs w:val="21"/>
                      <w:highlight w:val="none"/>
                      <w:lang w:val="en-US" w:eastAsia="zh-CN"/>
                    </w:rPr>
                    <w:t>及固废暂存间</w:t>
                  </w:r>
                  <w:r>
                    <w:rPr>
                      <w:rFonts w:hint="eastAsia"/>
                      <w:color w:val="auto"/>
                      <w:szCs w:val="21"/>
                      <w:highlight w:val="none"/>
                    </w:rPr>
                    <w:t>，产生污泥经</w:t>
                  </w:r>
                  <w:r>
                    <w:rPr>
                      <w:rFonts w:hint="eastAsia"/>
                      <w:color w:val="auto"/>
                      <w:szCs w:val="21"/>
                      <w:highlight w:val="none"/>
                      <w:lang w:val="en-US" w:eastAsia="zh-CN"/>
                    </w:rPr>
                    <w:t>脱水</w:t>
                  </w:r>
                  <w:r>
                    <w:rPr>
                      <w:rFonts w:hint="eastAsia"/>
                      <w:color w:val="auto"/>
                      <w:szCs w:val="21"/>
                      <w:highlight w:val="none"/>
                    </w:rPr>
                    <w:t>后定期清</w:t>
                  </w:r>
                  <w:r>
                    <w:rPr>
                      <w:rFonts w:hint="eastAsia"/>
                      <w:color w:val="auto"/>
                      <w:szCs w:val="21"/>
                      <w:highlight w:val="none"/>
                      <w:lang w:val="en-US" w:eastAsia="zh-CN"/>
                    </w:rPr>
                    <w:t>运</w:t>
                  </w:r>
                  <w:r>
                    <w:rPr>
                      <w:rFonts w:hint="eastAsia"/>
                      <w:color w:val="auto"/>
                      <w:szCs w:val="21"/>
                      <w:highlight w:val="none"/>
                    </w:rPr>
                    <w:t>，委托</w:t>
                  </w:r>
                  <w:r>
                    <w:rPr>
                      <w:color w:val="auto"/>
                      <w:szCs w:val="21"/>
                      <w:highlight w:val="none"/>
                    </w:rPr>
                    <w:t>有污泥处置能力的</w:t>
                  </w:r>
                  <w:r>
                    <w:rPr>
                      <w:rFonts w:hint="eastAsia"/>
                      <w:color w:val="auto"/>
                      <w:szCs w:val="21"/>
                      <w:highlight w:val="none"/>
                    </w:rPr>
                    <w:t>单位外运处理</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Align w:val="center"/>
                </w:tcPr>
                <w:p>
                  <w:pPr>
                    <w:tabs>
                      <w:tab w:val="left" w:pos="3225"/>
                    </w:tabs>
                    <w:adjustRightInd w:val="0"/>
                    <w:snapToGrid w:val="0"/>
                    <w:jc w:val="center"/>
                    <w:rPr>
                      <w:color w:val="auto"/>
                      <w:szCs w:val="21"/>
                      <w:highlight w:val="none"/>
                    </w:rPr>
                  </w:pPr>
                  <w:r>
                    <w:rPr>
                      <w:color w:val="auto"/>
                      <w:szCs w:val="21"/>
                      <w:highlight w:val="none"/>
                    </w:rPr>
                    <w:t>公用工程</w:t>
                  </w: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排水系统</w:t>
                  </w:r>
                </w:p>
              </w:tc>
              <w:tc>
                <w:tcPr>
                  <w:tcW w:w="3945" w:type="pct"/>
                  <w:vAlign w:val="center"/>
                </w:tcPr>
                <w:p>
                  <w:pPr>
                    <w:tabs>
                      <w:tab w:val="left" w:pos="3225"/>
                    </w:tabs>
                    <w:adjustRightInd w:val="0"/>
                    <w:snapToGrid w:val="0"/>
                    <w:rPr>
                      <w:color w:val="auto"/>
                      <w:szCs w:val="21"/>
                      <w:highlight w:val="none"/>
                    </w:rPr>
                  </w:pPr>
                  <w:r>
                    <w:rPr>
                      <w:rFonts w:hint="eastAsia"/>
                      <w:color w:val="auto"/>
                      <w:szCs w:val="21"/>
                      <w:highlight w:val="none"/>
                    </w:rPr>
                    <w:t>非放射性废水处理站</w:t>
                  </w:r>
                  <w:r>
                    <w:rPr>
                      <w:color w:val="auto"/>
                      <w:szCs w:val="21"/>
                      <w:highlight w:val="none"/>
                    </w:rPr>
                    <w:t>处理后的废水排入现有虹吸井中（总排放渠混合井</w:t>
                  </w:r>
                  <w:r>
                    <w:rPr>
                      <w:rFonts w:hint="eastAsia"/>
                      <w:color w:val="auto"/>
                      <w:szCs w:val="21"/>
                      <w:highlight w:val="none"/>
                    </w:rPr>
                    <w:t>CC</w:t>
                  </w:r>
                  <w:r>
                    <w:rPr>
                      <w:color w:val="auto"/>
                      <w:szCs w:val="21"/>
                      <w:highlight w:val="none"/>
                    </w:rPr>
                    <w:t>）</w:t>
                  </w:r>
                  <w:r>
                    <w:rPr>
                      <w:rFonts w:hint="eastAsia"/>
                      <w:color w:val="auto"/>
                      <w:szCs w:val="21"/>
                      <w:highlight w:val="none"/>
                    </w:rPr>
                    <w:t>经排水渠</w:t>
                  </w:r>
                  <w:r>
                    <w:rPr>
                      <w:color w:val="auto"/>
                      <w:szCs w:val="21"/>
                      <w:highlight w:val="none"/>
                    </w:rPr>
                    <w:t>排入</w:t>
                  </w:r>
                  <w:r>
                    <w:rPr>
                      <w:rFonts w:hint="eastAsia"/>
                      <w:color w:val="auto"/>
                      <w:szCs w:val="21"/>
                      <w:highlight w:val="none"/>
                    </w:rPr>
                    <w:t>兴化</w:t>
                  </w:r>
                  <w:r>
                    <w:rPr>
                      <w:color w:val="auto"/>
                      <w:szCs w:val="21"/>
                      <w:highlight w:val="none"/>
                    </w:rPr>
                    <w:t>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Merge w:val="restart"/>
                  <w:vAlign w:val="center"/>
                </w:tcPr>
                <w:p>
                  <w:pPr>
                    <w:tabs>
                      <w:tab w:val="left" w:pos="3225"/>
                    </w:tabs>
                    <w:adjustRightInd w:val="0"/>
                    <w:snapToGrid w:val="0"/>
                    <w:jc w:val="center"/>
                    <w:rPr>
                      <w:color w:val="auto"/>
                      <w:szCs w:val="21"/>
                      <w:highlight w:val="none"/>
                    </w:rPr>
                  </w:pPr>
                  <w:r>
                    <w:rPr>
                      <w:color w:val="auto"/>
                      <w:szCs w:val="21"/>
                      <w:highlight w:val="none"/>
                    </w:rPr>
                    <w:t>环保工程</w:t>
                  </w: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废水处理</w:t>
                  </w:r>
                </w:p>
              </w:tc>
              <w:tc>
                <w:tcPr>
                  <w:tcW w:w="3945" w:type="pct"/>
                  <w:vAlign w:val="center"/>
                </w:tcPr>
                <w:p>
                  <w:pPr>
                    <w:tabs>
                      <w:tab w:val="left" w:pos="3225"/>
                    </w:tabs>
                    <w:adjustRightInd w:val="0"/>
                    <w:snapToGrid w:val="0"/>
                    <w:rPr>
                      <w:color w:val="auto"/>
                      <w:szCs w:val="21"/>
                      <w:highlight w:val="none"/>
                    </w:rPr>
                  </w:pPr>
                  <w:r>
                    <w:rPr>
                      <w:rFonts w:hint="eastAsia"/>
                      <w:color w:val="auto"/>
                      <w:szCs w:val="21"/>
                      <w:highlight w:val="none"/>
                    </w:rPr>
                    <w:t>非放射性废水经新建的废水处理站处理达标后排放</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Merge w:val="continue"/>
                  <w:vAlign w:val="center"/>
                </w:tcPr>
                <w:p>
                  <w:pPr>
                    <w:tabs>
                      <w:tab w:val="left" w:pos="3225"/>
                    </w:tabs>
                    <w:adjustRightInd w:val="0"/>
                    <w:snapToGrid w:val="0"/>
                    <w:jc w:val="center"/>
                    <w:rPr>
                      <w:color w:val="auto"/>
                      <w:szCs w:val="21"/>
                      <w:highlight w:val="none"/>
                    </w:rPr>
                  </w:pP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噪声处理</w:t>
                  </w:r>
                </w:p>
              </w:tc>
              <w:tc>
                <w:tcPr>
                  <w:tcW w:w="3945" w:type="pct"/>
                  <w:vAlign w:val="center"/>
                </w:tcPr>
                <w:p>
                  <w:pPr>
                    <w:tabs>
                      <w:tab w:val="left" w:pos="3225"/>
                    </w:tabs>
                    <w:adjustRightInd w:val="0"/>
                    <w:snapToGrid w:val="0"/>
                    <w:rPr>
                      <w:color w:val="auto"/>
                      <w:szCs w:val="21"/>
                      <w:highlight w:val="none"/>
                    </w:rPr>
                  </w:pPr>
                  <w:r>
                    <w:rPr>
                      <w:color w:val="auto"/>
                      <w:szCs w:val="21"/>
                      <w:highlight w:val="none"/>
                    </w:rPr>
                    <w:t>采用低声设备、基础减振、厂房隔声等措施。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3" w:type="pct"/>
                  <w:vMerge w:val="continue"/>
                  <w:vAlign w:val="center"/>
                </w:tcPr>
                <w:p>
                  <w:pPr>
                    <w:tabs>
                      <w:tab w:val="left" w:pos="3225"/>
                    </w:tabs>
                    <w:adjustRightInd w:val="0"/>
                    <w:snapToGrid w:val="0"/>
                    <w:jc w:val="center"/>
                    <w:rPr>
                      <w:color w:val="auto"/>
                      <w:szCs w:val="21"/>
                      <w:highlight w:val="none"/>
                    </w:rPr>
                  </w:pP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固废处置</w:t>
                  </w:r>
                </w:p>
              </w:tc>
              <w:tc>
                <w:tcPr>
                  <w:tcW w:w="3945" w:type="pct"/>
                  <w:vAlign w:val="center"/>
                </w:tcPr>
                <w:p>
                  <w:pPr>
                    <w:tabs>
                      <w:tab w:val="left" w:pos="3225"/>
                    </w:tabs>
                    <w:adjustRightInd w:val="0"/>
                    <w:snapToGrid w:val="0"/>
                    <w:rPr>
                      <w:color w:val="auto"/>
                      <w:szCs w:val="21"/>
                      <w:highlight w:val="none"/>
                    </w:rPr>
                  </w:pPr>
                  <w:r>
                    <w:rPr>
                      <w:rFonts w:hint="eastAsia"/>
                      <w:color w:val="auto"/>
                      <w:szCs w:val="21"/>
                      <w:highlight w:val="none"/>
                      <w:lang w:val="en-US" w:eastAsia="zh-CN"/>
                    </w:rPr>
                    <w:t>配套</w:t>
                  </w:r>
                  <w:r>
                    <w:rPr>
                      <w:rFonts w:hint="eastAsia"/>
                      <w:color w:val="auto"/>
                      <w:szCs w:val="21"/>
                      <w:highlight w:val="none"/>
                    </w:rPr>
                    <w:t>固废暂存间，</w:t>
                  </w:r>
                  <w:r>
                    <w:rPr>
                      <w:rFonts w:hint="eastAsia"/>
                      <w:color w:val="auto"/>
                      <w:szCs w:val="21"/>
                      <w:highlight w:val="none"/>
                      <w:lang w:val="en-US" w:eastAsia="zh-CN"/>
                    </w:rPr>
                    <w:t>污泥</w:t>
                  </w:r>
                  <w:r>
                    <w:rPr>
                      <w:rFonts w:hint="eastAsia"/>
                      <w:color w:val="auto"/>
                      <w:szCs w:val="21"/>
                      <w:highlight w:val="none"/>
                    </w:rPr>
                    <w:t>定期清</w:t>
                  </w:r>
                  <w:r>
                    <w:rPr>
                      <w:rFonts w:hint="eastAsia"/>
                      <w:color w:val="auto"/>
                      <w:szCs w:val="21"/>
                      <w:highlight w:val="none"/>
                      <w:lang w:val="en-US" w:eastAsia="zh-CN"/>
                    </w:rPr>
                    <w:t>运</w:t>
                  </w:r>
                  <w:r>
                    <w:rPr>
                      <w:rFonts w:hint="eastAsia"/>
                      <w:color w:val="auto"/>
                      <w:szCs w:val="21"/>
                      <w:highlight w:val="none"/>
                    </w:rPr>
                    <w:t>，委托</w:t>
                  </w:r>
                  <w:r>
                    <w:rPr>
                      <w:color w:val="auto"/>
                      <w:szCs w:val="21"/>
                      <w:highlight w:val="none"/>
                    </w:rPr>
                    <w:t>有污泥处置能力的</w:t>
                  </w:r>
                  <w:r>
                    <w:rPr>
                      <w:rFonts w:hint="eastAsia"/>
                      <w:color w:val="auto"/>
                      <w:szCs w:val="21"/>
                      <w:highlight w:val="none"/>
                    </w:rPr>
                    <w:t>单位外运处理。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93" w:type="pct"/>
                  <w:vMerge w:val="restart"/>
                  <w:vAlign w:val="center"/>
                </w:tcPr>
                <w:p>
                  <w:pPr>
                    <w:tabs>
                      <w:tab w:val="left" w:pos="3225"/>
                    </w:tabs>
                    <w:adjustRightInd w:val="0"/>
                    <w:snapToGrid w:val="0"/>
                    <w:jc w:val="center"/>
                    <w:rPr>
                      <w:color w:val="auto"/>
                      <w:szCs w:val="21"/>
                      <w:highlight w:val="none"/>
                    </w:rPr>
                  </w:pPr>
                  <w:r>
                    <w:rPr>
                      <w:color w:val="auto"/>
                      <w:szCs w:val="21"/>
                      <w:highlight w:val="none"/>
                    </w:rPr>
                    <w:t>依托工程</w:t>
                  </w:r>
                </w:p>
              </w:tc>
              <w:tc>
                <w:tcPr>
                  <w:tcW w:w="661" w:type="pct"/>
                  <w:vAlign w:val="center"/>
                </w:tcPr>
                <w:p>
                  <w:pPr>
                    <w:tabs>
                      <w:tab w:val="left" w:pos="3225"/>
                    </w:tabs>
                    <w:adjustRightInd w:val="0"/>
                    <w:snapToGrid w:val="0"/>
                    <w:jc w:val="center"/>
                    <w:rPr>
                      <w:color w:val="auto"/>
                      <w:szCs w:val="21"/>
                      <w:highlight w:val="none"/>
                    </w:rPr>
                  </w:pPr>
                  <w:r>
                    <w:rPr>
                      <w:rFonts w:hint="eastAsia"/>
                      <w:color w:val="auto"/>
                      <w:szCs w:val="21"/>
                      <w:highlight w:val="none"/>
                    </w:rPr>
                    <w:t>供电</w:t>
                  </w:r>
                </w:p>
              </w:tc>
              <w:tc>
                <w:tcPr>
                  <w:tcW w:w="3945" w:type="pct"/>
                  <w:vAlign w:val="center"/>
                </w:tcPr>
                <w:p>
                  <w:pPr>
                    <w:tabs>
                      <w:tab w:val="left" w:pos="3225"/>
                    </w:tabs>
                    <w:adjustRightInd w:val="0"/>
                    <w:snapToGrid w:val="0"/>
                    <w:rPr>
                      <w:color w:val="auto"/>
                      <w:szCs w:val="21"/>
                      <w:highlight w:val="none"/>
                    </w:rPr>
                  </w:pPr>
                  <w:r>
                    <w:rPr>
                      <w:color w:val="auto"/>
                      <w:szCs w:val="21"/>
                      <w:highlight w:val="none"/>
                    </w:rPr>
                    <w:t>依托核电厂现有的供电网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93" w:type="pct"/>
                  <w:vMerge w:val="continue"/>
                  <w:vAlign w:val="center"/>
                </w:tcPr>
                <w:p>
                  <w:pPr>
                    <w:tabs>
                      <w:tab w:val="left" w:pos="3225"/>
                    </w:tabs>
                    <w:adjustRightInd w:val="0"/>
                    <w:snapToGrid w:val="0"/>
                    <w:rPr>
                      <w:color w:val="auto"/>
                      <w:highlight w:val="none"/>
                    </w:rPr>
                  </w:pPr>
                </w:p>
              </w:tc>
              <w:tc>
                <w:tcPr>
                  <w:tcW w:w="661" w:type="pct"/>
                  <w:vAlign w:val="center"/>
                </w:tcPr>
                <w:p>
                  <w:pPr>
                    <w:tabs>
                      <w:tab w:val="left" w:pos="3225"/>
                    </w:tabs>
                    <w:adjustRightInd w:val="0"/>
                    <w:snapToGrid w:val="0"/>
                    <w:jc w:val="center"/>
                    <w:rPr>
                      <w:color w:val="auto"/>
                      <w:szCs w:val="21"/>
                      <w:highlight w:val="none"/>
                    </w:rPr>
                  </w:pPr>
                  <w:r>
                    <w:rPr>
                      <w:rFonts w:hint="eastAsia"/>
                      <w:color w:val="auto"/>
                      <w:szCs w:val="21"/>
                      <w:highlight w:val="none"/>
                    </w:rPr>
                    <w:t>给水</w:t>
                  </w:r>
                </w:p>
              </w:tc>
              <w:tc>
                <w:tcPr>
                  <w:tcW w:w="3945" w:type="pct"/>
                  <w:vAlign w:val="center"/>
                </w:tcPr>
                <w:p>
                  <w:pPr>
                    <w:tabs>
                      <w:tab w:val="left" w:pos="3225"/>
                    </w:tabs>
                    <w:adjustRightInd w:val="0"/>
                    <w:snapToGrid w:val="0"/>
                    <w:rPr>
                      <w:bCs/>
                      <w:color w:val="auto"/>
                      <w:spacing w:val="8"/>
                      <w:szCs w:val="21"/>
                      <w:highlight w:val="none"/>
                    </w:rPr>
                  </w:pPr>
                  <w:r>
                    <w:rPr>
                      <w:bCs/>
                      <w:color w:val="auto"/>
                      <w:spacing w:val="8"/>
                      <w:szCs w:val="21"/>
                      <w:highlight w:val="none"/>
                    </w:rPr>
                    <w:t>依托核电厂现有的给水系统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93" w:type="pct"/>
                  <w:vMerge w:val="continue"/>
                  <w:vAlign w:val="center"/>
                </w:tcPr>
                <w:p>
                  <w:pPr>
                    <w:tabs>
                      <w:tab w:val="left" w:pos="3225"/>
                    </w:tabs>
                    <w:adjustRightInd w:val="0"/>
                    <w:snapToGrid w:val="0"/>
                    <w:rPr>
                      <w:color w:val="auto"/>
                      <w:szCs w:val="21"/>
                      <w:highlight w:val="none"/>
                    </w:rPr>
                  </w:pPr>
                </w:p>
              </w:tc>
              <w:tc>
                <w:tcPr>
                  <w:tcW w:w="661" w:type="pct"/>
                  <w:vAlign w:val="center"/>
                </w:tcPr>
                <w:p>
                  <w:pPr>
                    <w:tabs>
                      <w:tab w:val="left" w:pos="3225"/>
                    </w:tabs>
                    <w:adjustRightInd w:val="0"/>
                    <w:snapToGrid w:val="0"/>
                    <w:jc w:val="center"/>
                    <w:rPr>
                      <w:color w:val="auto"/>
                      <w:szCs w:val="21"/>
                      <w:highlight w:val="none"/>
                    </w:rPr>
                  </w:pPr>
                  <w:r>
                    <w:rPr>
                      <w:color w:val="auto"/>
                      <w:szCs w:val="21"/>
                      <w:highlight w:val="none"/>
                    </w:rPr>
                    <w:t>排污口</w:t>
                  </w:r>
                </w:p>
              </w:tc>
              <w:tc>
                <w:tcPr>
                  <w:tcW w:w="3945" w:type="pct"/>
                  <w:vAlign w:val="center"/>
                </w:tcPr>
                <w:p>
                  <w:pPr>
                    <w:tabs>
                      <w:tab w:val="left" w:pos="3225"/>
                    </w:tabs>
                    <w:adjustRightInd w:val="0"/>
                    <w:snapToGrid w:val="0"/>
                    <w:rPr>
                      <w:color w:val="auto"/>
                      <w:szCs w:val="21"/>
                      <w:highlight w:val="none"/>
                    </w:rPr>
                  </w:pPr>
                  <w:r>
                    <w:rPr>
                      <w:color w:val="auto"/>
                      <w:szCs w:val="21"/>
                      <w:highlight w:val="none"/>
                    </w:rPr>
                    <w:t>项目处理后的废水排放依托现有工程排污</w:t>
                  </w:r>
                  <w:r>
                    <w:rPr>
                      <w:rFonts w:hint="eastAsia"/>
                      <w:color w:val="auto"/>
                      <w:szCs w:val="21"/>
                      <w:highlight w:val="none"/>
                    </w:rPr>
                    <w:t>虹吸井</w:t>
                  </w:r>
                  <w:r>
                    <w:rPr>
                      <w:color w:val="auto"/>
                      <w:szCs w:val="21"/>
                      <w:highlight w:val="none"/>
                    </w:rPr>
                    <w:t>（总排放渠混合井</w:t>
                  </w:r>
                  <w:r>
                    <w:rPr>
                      <w:rFonts w:hint="eastAsia"/>
                      <w:color w:val="auto"/>
                      <w:szCs w:val="21"/>
                      <w:highlight w:val="none"/>
                    </w:rPr>
                    <w:t>CC</w:t>
                  </w:r>
                  <w:r>
                    <w:rPr>
                      <w:color w:val="auto"/>
                      <w:szCs w:val="21"/>
                      <w:highlight w:val="none"/>
                    </w:rPr>
                    <w:t>），排至</w:t>
                  </w:r>
                  <w:r>
                    <w:rPr>
                      <w:rFonts w:hint="eastAsia"/>
                      <w:color w:val="auto"/>
                      <w:szCs w:val="21"/>
                      <w:highlight w:val="none"/>
                    </w:rPr>
                    <w:t>兴化湾</w:t>
                  </w:r>
                  <w:r>
                    <w:rPr>
                      <w:color w:val="auto"/>
                      <w:szCs w:val="21"/>
                      <w:highlight w:val="none"/>
                    </w:rPr>
                    <w:t>。</w:t>
                  </w:r>
                </w:p>
              </w:tc>
            </w:tr>
          </w:tbl>
          <w:p>
            <w:pPr>
              <w:pStyle w:val="3"/>
              <w:rPr>
                <w:color w:val="auto"/>
                <w:highlight w:val="none"/>
              </w:rPr>
            </w:pPr>
            <w:bookmarkStart w:id="15" w:name="_Toc28291"/>
            <w:bookmarkStart w:id="16" w:name="_Toc24466"/>
            <w:r>
              <w:rPr>
                <w:rFonts w:hint="eastAsia"/>
                <w:color w:val="auto"/>
                <w:highlight w:val="none"/>
              </w:rPr>
              <w:t>2.1.3</w:t>
            </w:r>
            <w:r>
              <w:rPr>
                <w:color w:val="auto"/>
                <w:highlight w:val="none"/>
              </w:rPr>
              <w:t>建设内容及规模</w:t>
            </w:r>
            <w:bookmarkEnd w:id="15"/>
            <w:bookmarkEnd w:id="16"/>
          </w:p>
          <w:p>
            <w:pPr>
              <w:pStyle w:val="8"/>
              <w:numPr>
                <w:ilvl w:val="0"/>
                <w:numId w:val="3"/>
              </w:numPr>
              <w:ind w:firstLine="482"/>
              <w:rPr>
                <w:color w:val="auto"/>
                <w:highlight w:val="none"/>
              </w:rPr>
            </w:pPr>
            <w:r>
              <w:rPr>
                <w:rFonts w:hint="eastAsia"/>
                <w:b/>
                <w:bCs/>
                <w:color w:val="auto"/>
                <w:highlight w:val="none"/>
              </w:rPr>
              <w:t>建设地点</w:t>
            </w:r>
            <w:r>
              <w:rPr>
                <w:rFonts w:hint="eastAsia"/>
                <w:color w:val="auto"/>
                <w:highlight w:val="none"/>
              </w:rPr>
              <w:t>：</w:t>
            </w:r>
            <w:r>
              <w:rPr>
                <w:color w:val="auto"/>
                <w:highlight w:val="none"/>
              </w:rPr>
              <w:t>福清核电厂区雨废分离项目位于福建福清核电厂内，厂址位于福清市三山镇前薛村，厂址地理</w:t>
            </w:r>
            <w:r>
              <w:rPr>
                <w:rFonts w:hint="eastAsia"/>
                <w:color w:val="auto"/>
                <w:highlight w:val="none"/>
                <w:lang w:val="en-US" w:eastAsia="zh-CN"/>
              </w:rPr>
              <w:t>**</w:t>
            </w:r>
            <w:r>
              <w:rPr>
                <w:color w:val="auto"/>
                <w:highlight w:val="none"/>
              </w:rPr>
              <w:t>。</w:t>
            </w:r>
          </w:p>
          <w:p>
            <w:pPr>
              <w:pStyle w:val="8"/>
              <w:numPr>
                <w:ilvl w:val="0"/>
                <w:numId w:val="3"/>
              </w:numPr>
              <w:ind w:firstLine="482"/>
              <w:rPr>
                <w:color w:val="auto"/>
                <w:highlight w:val="none"/>
              </w:rPr>
            </w:pPr>
            <w:r>
              <w:rPr>
                <w:rFonts w:hint="eastAsia"/>
                <w:b/>
                <w:bCs/>
                <w:color w:val="auto"/>
                <w:highlight w:val="none"/>
              </w:rPr>
              <w:t>建设内容</w:t>
            </w:r>
            <w:r>
              <w:rPr>
                <w:rFonts w:hint="eastAsia"/>
                <w:color w:val="auto"/>
                <w:highlight w:val="none"/>
              </w:rPr>
              <w:t>：在福清核电厂区内进行雨水管网、非放生产废水管网改造，实现雨废分离</w:t>
            </w:r>
            <w:r>
              <w:rPr>
                <w:rFonts w:hint="eastAsia"/>
                <w:color w:val="auto"/>
                <w:highlight w:val="none"/>
                <w:lang w:eastAsia="zh"/>
              </w:rPr>
              <w:t>；</w:t>
            </w:r>
            <w:r>
              <w:rPr>
                <w:rFonts w:hint="eastAsia"/>
                <w:color w:val="auto"/>
                <w:highlight w:val="none"/>
              </w:rPr>
              <w:t>配套建设非放生产废水处理站(含两条废水处理线)及其附属配套设施，处理规模6800吨/日，主要建筑面积2036.43</w:t>
            </w:r>
            <w:r>
              <w:rPr>
                <w:rFonts w:hint="eastAsia"/>
                <w:color w:val="auto"/>
                <w:highlight w:val="none"/>
                <w:lang w:eastAsia="zh"/>
              </w:rPr>
              <w:t>m</w:t>
            </w:r>
            <w:r>
              <w:rPr>
                <w:rFonts w:hint="eastAsia"/>
                <w:color w:val="auto"/>
                <w:highlight w:val="none"/>
                <w:vertAlign w:val="superscript"/>
                <w:lang w:eastAsia="zh"/>
              </w:rPr>
              <w:t>2</w:t>
            </w:r>
            <w:r>
              <w:rPr>
                <w:rFonts w:hint="eastAsia"/>
                <w:color w:val="auto"/>
                <w:highlight w:val="none"/>
              </w:rPr>
              <w:t>，对1~6号机组污水排放管网进行改造，敷设管道，总长约15.4千米，管材采用HDPE缠绕结构壁管以及碳钢无缝钢管</w:t>
            </w:r>
            <w:r>
              <w:rPr>
                <w:rFonts w:hint="eastAsia"/>
                <w:color w:val="auto"/>
                <w:highlight w:val="none"/>
                <w:lang w:eastAsia="zh"/>
              </w:rPr>
              <w:t>等</w:t>
            </w:r>
            <w:r>
              <w:rPr>
                <w:rFonts w:hint="eastAsia"/>
                <w:color w:val="auto"/>
                <w:highlight w:val="none"/>
              </w:rPr>
              <w:t>，管径主要为DN300-DN500。新增生产能力(或使用功能)：建成后可实现对现有核电厂非放生产废水进行收集处理。</w:t>
            </w:r>
          </w:p>
          <w:p>
            <w:pPr>
              <w:pStyle w:val="8"/>
              <w:numPr>
                <w:ilvl w:val="0"/>
                <w:numId w:val="3"/>
              </w:numPr>
              <w:ind w:firstLine="450"/>
              <w:rPr>
                <w:rFonts w:ascii="宋体" w:hAnsi="宋体" w:cs="宋体"/>
                <w:color w:val="auto"/>
                <w:spacing w:val="-8"/>
                <w:highlight w:val="none"/>
              </w:rPr>
            </w:pPr>
            <w:r>
              <w:rPr>
                <w:rFonts w:hint="eastAsia" w:ascii="宋体" w:hAnsi="宋体" w:cs="宋体"/>
                <w:b/>
                <w:bCs/>
                <w:color w:val="auto"/>
                <w:spacing w:val="-8"/>
                <w:highlight w:val="none"/>
              </w:rPr>
              <w:t>收集范围及规模</w:t>
            </w:r>
            <w:r>
              <w:rPr>
                <w:rFonts w:hint="eastAsia" w:ascii="宋体" w:hAnsi="宋体" w:cs="宋体"/>
                <w:color w:val="auto"/>
                <w:spacing w:val="-8"/>
                <w:highlight w:val="none"/>
              </w:rPr>
              <w:t>：</w:t>
            </w:r>
          </w:p>
          <w:p>
            <w:pPr>
              <w:pStyle w:val="8"/>
              <w:rPr>
                <w:color w:val="auto"/>
                <w:highlight w:val="none"/>
                <w:lang w:eastAsia="zh"/>
              </w:rPr>
            </w:pPr>
            <w:r>
              <w:rPr>
                <w:color w:val="auto"/>
                <w:highlight w:val="none"/>
              </w:rPr>
              <w:t>福清核电厂区雨废分流</w:t>
            </w:r>
            <w:r>
              <w:rPr>
                <w:b/>
                <w:bCs/>
                <w:color w:val="auto"/>
                <w:highlight w:val="none"/>
              </w:rPr>
              <w:t>改造范围</w:t>
            </w:r>
            <w:r>
              <w:rPr>
                <w:color w:val="auto"/>
                <w:highlight w:val="none"/>
              </w:rPr>
              <w:t>为：汽轮机厂房、消防稳压间、第五柴油发电机房、除盐水生产厂房、除盐水贮存罐、辅助锅炉房、空气压缩机房、</w:t>
            </w:r>
            <w:r>
              <w:rPr>
                <w:rFonts w:hint="eastAsia"/>
                <w:color w:val="auto"/>
                <w:highlight w:val="none"/>
              </w:rPr>
              <w:t>综合管廊</w:t>
            </w:r>
            <w:r>
              <w:rPr>
                <w:color w:val="auto"/>
                <w:highlight w:val="none"/>
              </w:rPr>
              <w:t>GB</w:t>
            </w:r>
            <w:r>
              <w:rPr>
                <w:rFonts w:hint="eastAsia"/>
                <w:color w:val="auto"/>
                <w:highlight w:val="none"/>
              </w:rPr>
              <w:t>/</w:t>
            </w:r>
            <w:r>
              <w:rPr>
                <w:color w:val="auto"/>
                <w:highlight w:val="none"/>
              </w:rPr>
              <w:t>GF等沟道、含油生产废水油水分离池</w:t>
            </w:r>
            <w:r>
              <w:rPr>
                <w:rFonts w:hint="eastAsia"/>
                <w:color w:val="auto"/>
                <w:highlight w:val="none"/>
                <w:lang w:eastAsia="zh"/>
              </w:rPr>
              <w:t>出水以及淡水厂厂房溢流排水</w:t>
            </w:r>
            <w:r>
              <w:rPr>
                <w:color w:val="auto"/>
                <w:highlight w:val="none"/>
              </w:rPr>
              <w:t>等</w:t>
            </w:r>
            <w:r>
              <w:rPr>
                <w:rFonts w:hint="eastAsia"/>
                <w:color w:val="auto"/>
                <w:highlight w:val="none"/>
              </w:rPr>
              <w:t>。淡水厂房0OF</w:t>
            </w:r>
            <w:r>
              <w:rPr>
                <w:rFonts w:hint="eastAsia"/>
                <w:color w:val="auto"/>
                <w:highlight w:val="none"/>
                <w:lang w:eastAsia="zh"/>
              </w:rPr>
              <w:t>为6台机组供水，由北林水库引水进入核电厂内，先进行预处理以满足机组运行需求，淡水厂的配水井溢流水等</w:t>
            </w:r>
            <w:r>
              <w:rPr>
                <w:rFonts w:hint="eastAsia"/>
                <w:color w:val="auto"/>
                <w:highlight w:val="none"/>
              </w:rPr>
              <w:t>本次改造将现状</w:t>
            </w:r>
            <w:r>
              <w:rPr>
                <w:rFonts w:hint="eastAsia"/>
                <w:color w:val="auto"/>
                <w:highlight w:val="none"/>
                <w:lang w:eastAsia="zh"/>
              </w:rPr>
              <w:t>排入雨水管网</w:t>
            </w:r>
            <w:r>
              <w:rPr>
                <w:rFonts w:hint="eastAsia"/>
                <w:color w:val="auto"/>
                <w:highlight w:val="none"/>
              </w:rPr>
              <w:t>改为通过一路DN500的独立管线接入7CC前的检</w:t>
            </w:r>
            <w:r>
              <w:rPr>
                <w:rFonts w:hint="eastAsia"/>
                <w:color w:val="auto"/>
                <w:highlight w:val="none"/>
                <w:lang w:eastAsia="zh-CN"/>
              </w:rPr>
              <w:t>查</w:t>
            </w:r>
            <w:r>
              <w:rPr>
                <w:rFonts w:hint="eastAsia"/>
                <w:color w:val="auto"/>
                <w:highlight w:val="none"/>
              </w:rPr>
              <w:t>井并排入7CC后排海，不进入本次新建的废水处理站</w:t>
            </w:r>
            <w:r>
              <w:rPr>
                <w:rFonts w:hint="eastAsia"/>
                <w:color w:val="auto"/>
                <w:highlight w:val="none"/>
                <w:lang w:eastAsia="zh"/>
              </w:rPr>
              <w:t>。（补充说明：</w:t>
            </w:r>
            <w:r>
              <w:rPr>
                <w:rFonts w:hint="eastAsia"/>
                <w:color w:val="auto"/>
                <w:kern w:val="2"/>
                <w:highlight w:val="none"/>
              </w:rPr>
              <w:t>消防定期试验排水、空调冷凝水等排水水质清</w:t>
            </w:r>
            <w:bookmarkStart w:id="61" w:name="_GoBack"/>
            <w:bookmarkEnd w:id="61"/>
            <w:r>
              <w:rPr>
                <w:rFonts w:hint="eastAsia"/>
                <w:color w:val="auto"/>
                <w:kern w:val="2"/>
                <w:highlight w:val="none"/>
              </w:rPr>
              <w:t>洁、海水源排水不新增污染物，维持现状排放形式，本次改造不纳入新增废水处理站的处理范围</w:t>
            </w:r>
            <w:r>
              <w:rPr>
                <w:rFonts w:hint="eastAsia"/>
                <w:color w:val="auto"/>
                <w:highlight w:val="none"/>
                <w:lang w:eastAsia="zh"/>
              </w:rPr>
              <w:t>）</w:t>
            </w:r>
            <w:r>
              <w:rPr>
                <w:rFonts w:hint="eastAsia"/>
                <w:color w:val="auto"/>
                <w:kern w:val="2"/>
                <w:highlight w:val="none"/>
              </w:rPr>
              <w:t>。</w:t>
            </w:r>
          </w:p>
          <w:p>
            <w:pPr>
              <w:pStyle w:val="8"/>
              <w:ind w:firstLine="464"/>
              <w:rPr>
                <w:color w:val="auto"/>
                <w:highlight w:val="none"/>
                <w:lang w:eastAsia="zh"/>
              </w:rPr>
            </w:pPr>
            <w:r>
              <w:rPr>
                <w:rFonts w:hint="eastAsia" w:ascii="宋体" w:hAnsi="宋体" w:cs="宋体"/>
                <w:color w:val="auto"/>
                <w:spacing w:val="-4"/>
                <w:sz w:val="24"/>
                <w:szCs w:val="24"/>
                <w:highlight w:val="none"/>
                <w:lang w:eastAsia="zh"/>
              </w:rPr>
              <w:t>拟建废水处理站</w:t>
            </w:r>
            <w:r>
              <w:rPr>
                <w:color w:val="auto"/>
                <w:kern w:val="2"/>
                <w:sz w:val="24"/>
                <w:szCs w:val="24"/>
                <w:highlight w:val="none"/>
              </w:rPr>
              <w:t>收集处理废水包</w:t>
            </w:r>
            <w:r>
              <w:rPr>
                <w:rFonts w:hint="eastAsia"/>
                <w:color w:val="auto"/>
                <w:kern w:val="2"/>
                <w:sz w:val="24"/>
                <w:szCs w:val="24"/>
                <w:highlight w:val="none"/>
                <w:lang w:eastAsia="zh"/>
              </w:rPr>
              <w:t>括两类，一是电厂正常生产过程中连续或定期产生的非放射性生产废水，二是启动、检修或事故过程中产生的非放射性生产废水</w:t>
            </w:r>
            <w:r>
              <w:rPr>
                <w:rFonts w:hint="eastAsia"/>
                <w:color w:val="auto"/>
                <w:sz w:val="24"/>
                <w:szCs w:val="24"/>
                <w:highlight w:val="none"/>
              </w:rPr>
              <w:t>。</w:t>
            </w:r>
            <w:r>
              <w:rPr>
                <w:rFonts w:hint="eastAsia"/>
                <w:color w:val="auto"/>
                <w:sz w:val="24"/>
                <w:szCs w:val="24"/>
                <w:highlight w:val="none"/>
                <w:lang w:eastAsia="zh"/>
              </w:rPr>
              <w:t>第一类是正常生产运行时的非放射性生产废水</w:t>
            </w:r>
            <w:r>
              <w:rPr>
                <w:rFonts w:ascii="宋体" w:hAnsi="宋体" w:cs="宋体"/>
                <w:color w:val="auto"/>
                <w:spacing w:val="-5"/>
                <w:sz w:val="24"/>
                <w:szCs w:val="24"/>
                <w:highlight w:val="none"/>
              </w:rPr>
              <w:t>主要</w:t>
            </w:r>
            <w:r>
              <w:rPr>
                <w:rFonts w:ascii="宋体" w:hAnsi="宋体" w:cs="宋体"/>
                <w:color w:val="auto"/>
                <w:spacing w:val="-3"/>
                <w:sz w:val="24"/>
                <w:szCs w:val="24"/>
                <w:highlight w:val="none"/>
              </w:rPr>
              <w:t>为除盐水厂房（</w:t>
            </w:r>
            <w:r>
              <w:rPr>
                <w:rFonts w:hint="eastAsia" w:ascii="宋体" w:hAnsi="宋体" w:cs="宋体"/>
                <w:color w:val="auto"/>
                <w:spacing w:val="-3"/>
                <w:sz w:val="24"/>
                <w:szCs w:val="24"/>
                <w:highlight w:val="none"/>
              </w:rPr>
              <w:t>厂房编码为</w:t>
            </w:r>
            <w:r>
              <w:rPr>
                <w:rFonts w:eastAsia="Times New Roman"/>
                <w:color w:val="auto"/>
                <w:spacing w:val="-3"/>
                <w:sz w:val="24"/>
                <w:szCs w:val="24"/>
                <w:highlight w:val="none"/>
              </w:rPr>
              <w:t>YA/YB</w:t>
            </w:r>
            <w:r>
              <w:rPr>
                <w:rFonts w:hint="eastAsia"/>
                <w:color w:val="auto"/>
                <w:spacing w:val="-3"/>
                <w:sz w:val="24"/>
                <w:szCs w:val="24"/>
                <w:highlight w:val="none"/>
              </w:rPr>
              <w:t>、8YC/YD、8OF等</w:t>
            </w:r>
            <w:r>
              <w:rPr>
                <w:rFonts w:ascii="宋体" w:hAnsi="宋体" w:cs="宋体"/>
                <w:color w:val="auto"/>
                <w:spacing w:val="-3"/>
                <w:sz w:val="24"/>
                <w:szCs w:val="24"/>
                <w:highlight w:val="none"/>
              </w:rPr>
              <w:t>子项）</w:t>
            </w:r>
            <w:r>
              <w:rPr>
                <w:rFonts w:hint="eastAsia" w:ascii="宋体" w:hAnsi="宋体" w:cs="宋体"/>
                <w:color w:val="auto"/>
                <w:spacing w:val="-3"/>
                <w:sz w:val="24"/>
                <w:szCs w:val="24"/>
                <w:highlight w:val="none"/>
              </w:rPr>
              <w:t>的</w:t>
            </w:r>
            <w:r>
              <w:rPr>
                <w:rFonts w:hint="eastAsia" w:ascii="宋体" w:hAnsi="宋体" w:cs="宋体"/>
                <w:color w:val="auto"/>
                <w:spacing w:val="-3"/>
                <w:sz w:val="24"/>
                <w:szCs w:val="24"/>
                <w:highlight w:val="none"/>
                <w:lang w:eastAsia="zh"/>
              </w:rPr>
              <w:t>离子交换设备再生排水、原水预处理装置的排水、膜装置排水介质过滤器冲洗排水</w:t>
            </w:r>
            <w:r>
              <w:rPr>
                <w:rFonts w:ascii="宋体" w:hAnsi="宋体" w:cs="宋体"/>
                <w:color w:val="auto"/>
                <w:spacing w:val="-3"/>
                <w:sz w:val="24"/>
                <w:szCs w:val="24"/>
                <w:highlight w:val="none"/>
              </w:rPr>
              <w:t>和含油生产废水</w:t>
            </w:r>
            <w:r>
              <w:rPr>
                <w:rFonts w:ascii="宋体" w:hAnsi="宋体" w:cs="宋体"/>
                <w:color w:val="auto"/>
                <w:spacing w:val="-4"/>
                <w:sz w:val="24"/>
                <w:szCs w:val="24"/>
                <w:highlight w:val="none"/>
              </w:rPr>
              <w:t>油水分离池（</w:t>
            </w:r>
            <w:r>
              <w:rPr>
                <w:rFonts w:eastAsia="Times New Roman"/>
                <w:color w:val="auto"/>
                <w:spacing w:val="-4"/>
                <w:sz w:val="24"/>
                <w:szCs w:val="24"/>
                <w:highlight w:val="none"/>
              </w:rPr>
              <w:t>FS</w:t>
            </w:r>
            <w:r>
              <w:rPr>
                <w:rFonts w:ascii="宋体" w:hAnsi="宋体" w:cs="宋体"/>
                <w:color w:val="auto"/>
                <w:spacing w:val="-4"/>
                <w:sz w:val="24"/>
                <w:szCs w:val="24"/>
                <w:highlight w:val="none"/>
              </w:rPr>
              <w:t>子项）</w:t>
            </w:r>
            <w:r>
              <w:rPr>
                <w:rFonts w:hint="eastAsia" w:ascii="宋体" w:hAnsi="宋体" w:cs="宋体"/>
                <w:color w:val="auto"/>
                <w:spacing w:val="-4"/>
                <w:sz w:val="24"/>
                <w:szCs w:val="24"/>
                <w:highlight w:val="none"/>
              </w:rPr>
              <w:t>中经</w:t>
            </w:r>
            <w:r>
              <w:rPr>
                <w:rFonts w:hint="eastAsia" w:ascii="宋体" w:hAnsi="宋体" w:cs="宋体"/>
                <w:color w:val="auto"/>
                <w:spacing w:val="-4"/>
                <w:sz w:val="24"/>
                <w:szCs w:val="24"/>
                <w:highlight w:val="none"/>
                <w:u w:val="single"/>
              </w:rPr>
              <w:t>油水分离</w:t>
            </w:r>
            <w:r>
              <w:rPr>
                <w:rFonts w:hint="eastAsia" w:ascii="宋体" w:hAnsi="宋体" w:cs="宋体"/>
                <w:color w:val="auto"/>
                <w:spacing w:val="-4"/>
                <w:sz w:val="24"/>
                <w:szCs w:val="24"/>
                <w:highlight w:val="none"/>
              </w:rPr>
              <w:t>后排水</w:t>
            </w:r>
            <w:r>
              <w:rPr>
                <w:color w:val="auto"/>
                <w:sz w:val="24"/>
                <w:szCs w:val="24"/>
                <w:highlight w:val="none"/>
              </w:rPr>
              <w:t>。</w:t>
            </w:r>
            <w:r>
              <w:rPr>
                <w:rFonts w:hint="eastAsia"/>
                <w:color w:val="auto"/>
                <w:sz w:val="24"/>
                <w:szCs w:val="24"/>
                <w:highlight w:val="none"/>
                <w:lang w:eastAsia="zh"/>
              </w:rPr>
              <w:t>第二类</w:t>
            </w:r>
            <w:r>
              <w:rPr>
                <w:color w:val="auto"/>
                <w:sz w:val="24"/>
                <w:szCs w:val="24"/>
                <w:highlight w:val="none"/>
              </w:rPr>
              <w:t>主要是在大修期间核岛、常规岛和BOP厂房产生的各类</w:t>
            </w:r>
            <w:r>
              <w:rPr>
                <w:rFonts w:hint="eastAsia"/>
                <w:color w:val="auto"/>
                <w:sz w:val="24"/>
                <w:szCs w:val="24"/>
                <w:highlight w:val="none"/>
                <w:lang w:val="en-US" w:eastAsia="zh-CN"/>
              </w:rPr>
              <w:t>非放射性生产</w:t>
            </w:r>
            <w:r>
              <w:rPr>
                <w:color w:val="auto"/>
                <w:sz w:val="24"/>
                <w:szCs w:val="24"/>
                <w:highlight w:val="none"/>
              </w:rPr>
              <w:t>废水</w:t>
            </w:r>
            <w:r>
              <w:rPr>
                <w:rFonts w:hint="eastAsia"/>
                <w:color w:val="auto"/>
                <w:sz w:val="24"/>
                <w:szCs w:val="24"/>
                <w:highlight w:val="none"/>
                <w:lang w:eastAsia="zh"/>
              </w:rPr>
              <w:t>，如</w:t>
            </w:r>
            <w:r>
              <w:rPr>
                <w:color w:val="auto"/>
                <w:sz w:val="24"/>
                <w:szCs w:val="24"/>
                <w:highlight w:val="none"/>
              </w:rPr>
              <w:t>各系统疏</w:t>
            </w:r>
            <w:r>
              <w:rPr>
                <w:rFonts w:hint="eastAsia"/>
                <w:color w:val="auto"/>
                <w:sz w:val="24"/>
                <w:szCs w:val="24"/>
                <w:highlight w:val="none"/>
              </w:rPr>
              <w:t>排水</w:t>
            </w:r>
            <w:r>
              <w:rPr>
                <w:color w:val="auto"/>
                <w:sz w:val="24"/>
                <w:szCs w:val="24"/>
                <w:highlight w:val="none"/>
              </w:rPr>
              <w:t>（比如SRI闭式冷却水系统等）、各类水箱检修排水（</w:t>
            </w:r>
            <w:r>
              <w:rPr>
                <w:rFonts w:hint="eastAsia"/>
                <w:color w:val="auto"/>
                <w:sz w:val="24"/>
                <w:szCs w:val="24"/>
                <w:highlight w:val="none"/>
              </w:rPr>
              <w:t>比如</w:t>
            </w:r>
            <w:r>
              <w:rPr>
                <w:color w:val="auto"/>
                <w:sz w:val="24"/>
                <w:szCs w:val="24"/>
                <w:highlight w:val="none"/>
              </w:rPr>
              <w:t>SER</w:t>
            </w:r>
            <w:r>
              <w:rPr>
                <w:rFonts w:hint="eastAsia"/>
                <w:color w:val="auto"/>
                <w:sz w:val="24"/>
                <w:szCs w:val="24"/>
                <w:highlight w:val="none"/>
              </w:rPr>
              <w:t>水箱、</w:t>
            </w:r>
            <w:r>
              <w:rPr>
                <w:color w:val="auto"/>
                <w:sz w:val="24"/>
                <w:szCs w:val="24"/>
                <w:highlight w:val="none"/>
              </w:rPr>
              <w:t>SED</w:t>
            </w:r>
            <w:r>
              <w:rPr>
                <w:rFonts w:hint="eastAsia"/>
                <w:color w:val="auto"/>
                <w:sz w:val="24"/>
                <w:szCs w:val="24"/>
                <w:highlight w:val="none"/>
              </w:rPr>
              <w:t>水箱等检修排水</w:t>
            </w:r>
            <w:r>
              <w:rPr>
                <w:color w:val="auto"/>
                <w:sz w:val="24"/>
                <w:szCs w:val="24"/>
                <w:highlight w:val="none"/>
              </w:rPr>
              <w:t>）、综合廊道排水、各厂房洗眼器排水、各厂房地面冲洗水、空压机厂房排水、厂区实验室排水等</w:t>
            </w:r>
            <w:r>
              <w:rPr>
                <w:rFonts w:hint="eastAsia"/>
                <w:color w:val="auto"/>
                <w:highlight w:val="none"/>
                <w:lang w:eastAsia="zh"/>
              </w:rPr>
              <w:t>。</w:t>
            </w:r>
          </w:p>
          <w:p>
            <w:pPr>
              <w:pStyle w:val="8"/>
              <w:rPr>
                <w:rFonts w:ascii="宋体" w:hAnsi="宋体" w:cs="宋体"/>
                <w:color w:val="auto"/>
                <w:spacing w:val="-8"/>
                <w:highlight w:val="none"/>
              </w:rPr>
            </w:pPr>
            <w:r>
              <w:rPr>
                <w:rFonts w:hint="eastAsia"/>
                <w:color w:val="auto"/>
                <w:highlight w:val="none"/>
              </w:rPr>
              <w:t>经水平衡图计算，设计非放射性</w:t>
            </w:r>
            <w:r>
              <w:rPr>
                <w:color w:val="auto"/>
                <w:kern w:val="2"/>
                <w:highlight w:val="none"/>
              </w:rPr>
              <w:t>废水处理能力为</w:t>
            </w:r>
            <w:r>
              <w:rPr>
                <w:rFonts w:hint="eastAsia"/>
                <w:color w:val="auto"/>
                <w:kern w:val="2"/>
                <w:highlight w:val="none"/>
              </w:rPr>
              <w:t>284m</w:t>
            </w:r>
            <w:r>
              <w:rPr>
                <w:rFonts w:hint="eastAsia"/>
                <w:color w:val="auto"/>
                <w:kern w:val="2"/>
                <w:highlight w:val="none"/>
                <w:vertAlign w:val="superscript"/>
              </w:rPr>
              <w:t>3</w:t>
            </w:r>
            <w:r>
              <w:rPr>
                <w:color w:val="auto"/>
                <w:kern w:val="2"/>
                <w:highlight w:val="none"/>
              </w:rPr>
              <w:t>/h</w:t>
            </w:r>
            <w:r>
              <w:rPr>
                <w:rFonts w:hint="eastAsia"/>
                <w:color w:val="auto"/>
                <w:kern w:val="2"/>
                <w:highlight w:val="none"/>
              </w:rPr>
              <w:t>，6800m</w:t>
            </w:r>
            <w:r>
              <w:rPr>
                <w:rFonts w:hint="eastAsia"/>
                <w:color w:val="auto"/>
                <w:kern w:val="2"/>
                <w:highlight w:val="none"/>
                <w:vertAlign w:val="superscript"/>
              </w:rPr>
              <w:t>3</w:t>
            </w:r>
            <w:r>
              <w:rPr>
                <w:color w:val="auto"/>
                <w:kern w:val="2"/>
                <w:highlight w:val="none"/>
              </w:rPr>
              <w:t>/</w:t>
            </w:r>
            <w:r>
              <w:rPr>
                <w:rFonts w:hint="eastAsia"/>
                <w:color w:val="auto"/>
                <w:kern w:val="2"/>
                <w:highlight w:val="none"/>
              </w:rPr>
              <w:t>d，</w:t>
            </w:r>
            <w:r>
              <w:rPr>
                <w:rFonts w:hint="eastAsia"/>
                <w:color w:val="auto"/>
                <w:highlight w:val="none"/>
                <w:lang w:eastAsia="zh"/>
              </w:rPr>
              <w:t>见附图</w:t>
            </w:r>
            <w:r>
              <w:rPr>
                <w:rFonts w:hint="eastAsia"/>
                <w:color w:val="auto"/>
                <w:highlight w:val="none"/>
              </w:rPr>
              <w:t>12</w:t>
            </w:r>
            <w:r>
              <w:rPr>
                <w:color w:val="auto"/>
                <w:kern w:val="2"/>
                <w:highlight w:val="none"/>
              </w:rPr>
              <w:t>。</w:t>
            </w:r>
          </w:p>
          <w:p>
            <w:pPr>
              <w:pStyle w:val="8"/>
              <w:ind w:firstLine="476"/>
              <w:rPr>
                <w:rFonts w:ascii="宋体" w:hAnsi="宋体" w:cs="宋体"/>
                <w:color w:val="auto"/>
                <w:spacing w:val="-1"/>
                <w:highlight w:val="none"/>
              </w:rPr>
            </w:pPr>
            <w:r>
              <w:rPr>
                <w:rFonts w:ascii="宋体" w:hAnsi="宋体" w:cs="宋体"/>
                <w:color w:val="auto"/>
                <w:spacing w:val="-1"/>
                <w:highlight w:val="none"/>
              </w:rPr>
              <w:t>核电厂主要废水种类特征</w:t>
            </w:r>
            <w:r>
              <w:rPr>
                <w:rFonts w:hint="eastAsia" w:ascii="宋体" w:hAnsi="宋体" w:cs="宋体"/>
                <w:color w:val="auto"/>
                <w:spacing w:val="-1"/>
                <w:highlight w:val="none"/>
              </w:rPr>
              <w:t>及改造去向</w:t>
            </w:r>
            <w:r>
              <w:rPr>
                <w:rFonts w:ascii="宋体" w:hAnsi="宋体" w:cs="宋体"/>
                <w:color w:val="auto"/>
                <w:spacing w:val="-1"/>
                <w:highlight w:val="none"/>
              </w:rPr>
              <w:t>详见</w:t>
            </w:r>
            <w:r>
              <w:rPr>
                <w:rFonts w:hint="eastAsia" w:ascii="宋体" w:hAnsi="宋体" w:cs="宋体"/>
                <w:color w:val="auto"/>
                <w:spacing w:val="-1"/>
                <w:highlight w:val="none"/>
              </w:rPr>
              <w:t>表2-3</w:t>
            </w:r>
            <w:r>
              <w:rPr>
                <w:rFonts w:ascii="宋体" w:hAnsi="宋体" w:cs="宋体"/>
                <w:color w:val="auto"/>
                <w:spacing w:val="-1"/>
                <w:highlight w:val="none"/>
              </w:rPr>
              <w:t>。</w:t>
            </w:r>
          </w:p>
          <w:p>
            <w:pPr>
              <w:pStyle w:val="37"/>
              <w:ind w:firstLine="482" w:firstLineChars="200"/>
              <w:rPr>
                <w:color w:val="auto"/>
                <w:kern w:val="2"/>
                <w:highlight w:val="none"/>
                <w:u w:val="single"/>
              </w:rPr>
            </w:pPr>
            <w:r>
              <w:rPr>
                <w:color w:val="auto"/>
                <w:sz w:val="24"/>
                <w:highlight w:val="none"/>
                <w:u w:val="single"/>
              </w:rPr>
              <w:t>表2-</w:t>
            </w:r>
            <w:r>
              <w:rPr>
                <w:color w:val="auto"/>
                <w:sz w:val="24"/>
                <w:highlight w:val="none"/>
                <w:u w:val="single"/>
              </w:rPr>
              <w:fldChar w:fldCharType="begin"/>
            </w:r>
            <w:r>
              <w:rPr>
                <w:color w:val="auto"/>
                <w:sz w:val="24"/>
                <w:highlight w:val="none"/>
                <w:u w:val="single"/>
              </w:rPr>
              <w:instrText xml:space="preserve">SEQ表2-\*ARABIC</w:instrText>
            </w:r>
            <w:r>
              <w:rPr>
                <w:color w:val="auto"/>
                <w:sz w:val="24"/>
                <w:highlight w:val="none"/>
                <w:u w:val="single"/>
              </w:rPr>
              <w:fldChar w:fldCharType="separate"/>
            </w:r>
            <w:r>
              <w:rPr>
                <w:color w:val="auto"/>
                <w:sz w:val="24"/>
                <w:highlight w:val="none"/>
                <w:u w:val="single"/>
              </w:rPr>
              <w:t>3</w:t>
            </w:r>
            <w:r>
              <w:rPr>
                <w:color w:val="auto"/>
                <w:sz w:val="24"/>
                <w:highlight w:val="none"/>
                <w:u w:val="single"/>
              </w:rPr>
              <w:fldChar w:fldCharType="end"/>
            </w:r>
            <w:r>
              <w:rPr>
                <w:rFonts w:hint="eastAsia"/>
                <w:color w:val="auto"/>
                <w:sz w:val="24"/>
                <w:highlight w:val="none"/>
                <w:u w:val="single"/>
              </w:rPr>
              <w:t>与</w:t>
            </w:r>
            <w:r>
              <w:rPr>
                <w:color w:val="auto"/>
                <w:sz w:val="24"/>
                <w:highlight w:val="none"/>
                <w:u w:val="single"/>
              </w:rPr>
              <w:t>项目</w:t>
            </w:r>
            <w:r>
              <w:rPr>
                <w:rFonts w:hint="eastAsia"/>
                <w:color w:val="auto"/>
                <w:sz w:val="24"/>
                <w:highlight w:val="none"/>
                <w:u w:val="single"/>
              </w:rPr>
              <w:t>有关废水改造前后对比情况</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7"/>
              <w:gridCol w:w="430"/>
              <w:gridCol w:w="816"/>
              <w:gridCol w:w="1271"/>
              <w:gridCol w:w="1189"/>
              <w:gridCol w:w="972"/>
              <w:gridCol w:w="2136"/>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203" w:type="pct"/>
                  <w:vAlign w:val="center"/>
                </w:tcPr>
                <w:p>
                  <w:pPr>
                    <w:pStyle w:val="36"/>
                    <w:rPr>
                      <w:color w:val="auto"/>
                      <w:highlight w:val="none"/>
                    </w:rPr>
                  </w:pPr>
                  <w:r>
                    <w:rPr>
                      <w:rFonts w:hint="eastAsia"/>
                      <w:color w:val="auto"/>
                      <w:highlight w:val="none"/>
                    </w:rPr>
                    <w:t>序号</w:t>
                  </w:r>
                </w:p>
              </w:tc>
              <w:tc>
                <w:tcPr>
                  <w:tcW w:w="252" w:type="pct"/>
                </w:tcPr>
                <w:p>
                  <w:pPr>
                    <w:pStyle w:val="36"/>
                    <w:rPr>
                      <w:color w:val="auto"/>
                      <w:highlight w:val="none"/>
                    </w:rPr>
                  </w:pPr>
                  <w:r>
                    <w:rPr>
                      <w:color w:val="auto"/>
                      <w:highlight w:val="none"/>
                    </w:rPr>
                    <w:t>废水类别</w:t>
                  </w:r>
                </w:p>
              </w:tc>
              <w:tc>
                <w:tcPr>
                  <w:tcW w:w="1236" w:type="pct"/>
                  <w:gridSpan w:val="2"/>
                </w:tcPr>
                <w:p>
                  <w:pPr>
                    <w:pStyle w:val="36"/>
                    <w:rPr>
                      <w:color w:val="auto"/>
                      <w:highlight w:val="none"/>
                    </w:rPr>
                  </w:pPr>
                  <w:r>
                    <w:rPr>
                      <w:color w:val="auto"/>
                      <w:highlight w:val="none"/>
                    </w:rPr>
                    <w:t>厂房</w:t>
                  </w:r>
                  <w:r>
                    <w:rPr>
                      <w:rFonts w:hint="eastAsia"/>
                      <w:color w:val="auto"/>
                      <w:highlight w:val="none"/>
                    </w:rPr>
                    <w:t>子项（</w:t>
                  </w:r>
                  <w:r>
                    <w:rPr>
                      <w:rFonts w:hint="eastAsia"/>
                      <w:color w:val="auto"/>
                      <w:highlight w:val="none"/>
                      <w:u w:val="single"/>
                    </w:rPr>
                    <w:t>字母为厂房名字编码代号</w:t>
                  </w:r>
                  <w:r>
                    <w:rPr>
                      <w:rFonts w:hint="eastAsia"/>
                      <w:color w:val="auto"/>
                      <w:highlight w:val="none"/>
                    </w:rPr>
                    <w:t>）</w:t>
                  </w:r>
                </w:p>
              </w:tc>
              <w:tc>
                <w:tcPr>
                  <w:tcW w:w="699" w:type="pct"/>
                </w:tcPr>
                <w:p>
                  <w:pPr>
                    <w:pStyle w:val="36"/>
                    <w:rPr>
                      <w:color w:val="auto"/>
                      <w:highlight w:val="none"/>
                      <w:lang w:eastAsia="en-US"/>
                    </w:rPr>
                  </w:pPr>
                  <w:r>
                    <w:rPr>
                      <w:color w:val="auto"/>
                      <w:highlight w:val="none"/>
                    </w:rPr>
                    <w:t>废水来源</w:t>
                  </w:r>
                </w:p>
              </w:tc>
              <w:tc>
                <w:tcPr>
                  <w:tcW w:w="583" w:type="pct"/>
                </w:tcPr>
                <w:p>
                  <w:pPr>
                    <w:pStyle w:val="36"/>
                    <w:rPr>
                      <w:color w:val="auto"/>
                      <w:highlight w:val="none"/>
                      <w:lang w:eastAsia="en-US"/>
                    </w:rPr>
                  </w:pPr>
                  <w:r>
                    <w:rPr>
                      <w:color w:val="auto"/>
                      <w:highlight w:val="none"/>
                    </w:rPr>
                    <w:t>废水排放现状</w:t>
                  </w:r>
                </w:p>
              </w:tc>
              <w:tc>
                <w:tcPr>
                  <w:tcW w:w="1272" w:type="pct"/>
                  <w:vAlign w:val="center"/>
                </w:tcPr>
                <w:p>
                  <w:pPr>
                    <w:pStyle w:val="36"/>
                    <w:jc w:val="both"/>
                    <w:rPr>
                      <w:color w:val="auto"/>
                      <w:highlight w:val="none"/>
                    </w:rPr>
                  </w:pPr>
                  <w:r>
                    <w:rPr>
                      <w:rFonts w:hint="eastAsia"/>
                      <w:color w:val="auto"/>
                      <w:highlight w:val="none"/>
                    </w:rPr>
                    <w:t>本次</w:t>
                  </w:r>
                  <w:r>
                    <w:rPr>
                      <w:color w:val="auto"/>
                      <w:highlight w:val="none"/>
                    </w:rPr>
                    <w:t>改造</w:t>
                  </w:r>
                  <w:r>
                    <w:rPr>
                      <w:rFonts w:hint="eastAsia"/>
                      <w:color w:val="auto"/>
                      <w:highlight w:val="none"/>
                    </w:rPr>
                    <w:t>去向</w:t>
                  </w:r>
                </w:p>
              </w:tc>
              <w:tc>
                <w:tcPr>
                  <w:tcW w:w="750" w:type="pct"/>
                </w:tcPr>
                <w:p>
                  <w:pPr>
                    <w:pStyle w:val="36"/>
                    <w:rPr>
                      <w:color w:val="auto"/>
                      <w:highlight w:val="none"/>
                    </w:rPr>
                  </w:pPr>
                  <w:r>
                    <w:rPr>
                      <w:rFonts w:hint="eastAsia"/>
                      <w:color w:val="auto"/>
                      <w:highlight w:val="none"/>
                    </w:rPr>
                    <w:t>排放量估算m</w:t>
                  </w:r>
                  <w:r>
                    <w:rPr>
                      <w:rFonts w:hint="eastAsia"/>
                      <w:color w:val="auto"/>
                      <w:highlight w:val="none"/>
                      <w:vertAlign w:val="superscript"/>
                    </w:rPr>
                    <w:t>3</w:t>
                  </w:r>
                  <w:r>
                    <w:rPr>
                      <w:rFonts w:hint="eastAsia"/>
                      <w:color w:val="auto"/>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restart"/>
                  <w:vAlign w:val="center"/>
                </w:tcPr>
                <w:p>
                  <w:pPr>
                    <w:pStyle w:val="36"/>
                    <w:rPr>
                      <w:color w:val="auto"/>
                      <w:highlight w:val="none"/>
                    </w:rPr>
                  </w:pPr>
                  <w:r>
                    <w:rPr>
                      <w:rFonts w:hint="eastAsia"/>
                      <w:color w:val="auto"/>
                      <w:highlight w:val="none"/>
                    </w:rPr>
                    <w:t>1</w:t>
                  </w:r>
                </w:p>
              </w:tc>
              <w:tc>
                <w:tcPr>
                  <w:tcW w:w="252" w:type="pct"/>
                  <w:vMerge w:val="restart"/>
                  <w:vAlign w:val="center"/>
                </w:tcPr>
                <w:p>
                  <w:pPr>
                    <w:pStyle w:val="36"/>
                    <w:rPr>
                      <w:color w:val="auto"/>
                      <w:highlight w:val="none"/>
                    </w:rPr>
                  </w:pPr>
                  <w:r>
                    <w:rPr>
                      <w:rFonts w:hint="eastAsia"/>
                      <w:color w:val="auto"/>
                      <w:highlight w:val="none"/>
                    </w:rPr>
                    <w:t>正常运行时</w:t>
                  </w:r>
                  <w:r>
                    <w:rPr>
                      <w:rFonts w:hint="eastAsia" w:cs="Times New Roman"/>
                      <w:color w:val="auto"/>
                      <w:highlight w:val="none"/>
                      <w:lang w:eastAsia="zh"/>
                    </w:rPr>
                    <w:t>连续或定期产生的非放射性生产废水</w:t>
                  </w:r>
                </w:p>
              </w:tc>
              <w:tc>
                <w:tcPr>
                  <w:tcW w:w="480" w:type="pct"/>
                  <w:vMerge w:val="restart"/>
                  <w:vAlign w:val="center"/>
                </w:tcPr>
                <w:p>
                  <w:pPr>
                    <w:pStyle w:val="36"/>
                    <w:rPr>
                      <w:color w:val="auto"/>
                      <w:highlight w:val="none"/>
                    </w:rPr>
                  </w:pPr>
                  <w:r>
                    <w:rPr>
                      <w:color w:val="auto"/>
                      <w:highlight w:val="none"/>
                    </w:rPr>
                    <w:t>除盐水生产厂房</w:t>
                  </w:r>
                </w:p>
              </w:tc>
              <w:tc>
                <w:tcPr>
                  <w:tcW w:w="756" w:type="pct"/>
                  <w:vAlign w:val="center"/>
                </w:tcPr>
                <w:p>
                  <w:pPr>
                    <w:pStyle w:val="36"/>
                    <w:rPr>
                      <w:color w:val="auto"/>
                      <w:highlight w:val="none"/>
                    </w:rPr>
                  </w:pPr>
                  <w:r>
                    <w:rPr>
                      <w:color w:val="auto"/>
                      <w:highlight w:val="none"/>
                    </w:rPr>
                    <w:t>7YA/YB</w:t>
                  </w:r>
                </w:p>
              </w:tc>
              <w:tc>
                <w:tcPr>
                  <w:tcW w:w="699" w:type="pct"/>
                  <w:vMerge w:val="restart"/>
                  <w:vAlign w:val="center"/>
                </w:tcPr>
                <w:p>
                  <w:pPr>
                    <w:pStyle w:val="36"/>
                    <w:rPr>
                      <w:color w:val="auto"/>
                      <w:highlight w:val="none"/>
                    </w:rPr>
                  </w:pPr>
                  <w:r>
                    <w:rPr>
                      <w:color w:val="auto"/>
                      <w:highlight w:val="none"/>
                    </w:rPr>
                    <w:t>反渗透浓盐水、地面疏水废水、双滤料过滤器反洗水、中和池废水（酸碱再生</w:t>
                  </w:r>
                  <w:r>
                    <w:rPr>
                      <w:rFonts w:hint="eastAsia"/>
                      <w:color w:val="auto"/>
                      <w:highlight w:val="none"/>
                    </w:rPr>
                    <w:t>/正洗</w:t>
                  </w:r>
                  <w:r>
                    <w:rPr>
                      <w:color w:val="auto"/>
                      <w:highlight w:val="none"/>
                    </w:rPr>
                    <w:t>等）。</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将出口检查井改接入新增废水管道上的检查井，排入新建</w:t>
                  </w:r>
                  <w:r>
                    <w:rPr>
                      <w:rFonts w:hint="eastAsia"/>
                      <w:color w:val="auto"/>
                      <w:highlight w:val="none"/>
                    </w:rPr>
                    <w:t>的</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restart"/>
                  <w:vAlign w:val="center"/>
                </w:tcPr>
                <w:p>
                  <w:pPr>
                    <w:pStyle w:val="36"/>
                    <w:rPr>
                      <w:color w:val="auto"/>
                      <w:highlight w:val="none"/>
                    </w:rPr>
                  </w:pPr>
                  <w:r>
                    <w:rPr>
                      <w:rFonts w:hint="eastAsia"/>
                      <w:color w:val="auto"/>
                      <w:highlight w:val="none"/>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8YA/YB</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9YA/YB</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tcPr>
                <w:p>
                  <w:pPr>
                    <w:pStyle w:val="36"/>
                    <w:rPr>
                      <w:color w:val="auto"/>
                      <w:highlight w:val="none"/>
                    </w:rPr>
                  </w:pPr>
                  <w:r>
                    <w:rPr>
                      <w:color w:val="auto"/>
                      <w:highlight w:val="none"/>
                    </w:rPr>
                    <w:t>8YC/YD</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tcPr>
                <w:p>
                  <w:pPr>
                    <w:pStyle w:val="36"/>
                    <w:rPr>
                      <w:color w:val="auto"/>
                      <w:highlight w:val="none"/>
                    </w:rPr>
                  </w:pPr>
                  <w:r>
                    <w:rPr>
                      <w:color w:val="auto"/>
                      <w:highlight w:val="none"/>
                    </w:rPr>
                    <w:t>8OF</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restart"/>
                  <w:vAlign w:val="center"/>
                </w:tcPr>
                <w:p>
                  <w:pPr>
                    <w:pStyle w:val="36"/>
                    <w:rPr>
                      <w:color w:val="auto"/>
                      <w:highlight w:val="none"/>
                      <w:lang w:eastAsia="en-US"/>
                    </w:rPr>
                  </w:pPr>
                  <w:r>
                    <w:rPr>
                      <w:color w:val="auto"/>
                      <w:highlight w:val="none"/>
                    </w:rPr>
                    <w:t>2</w:t>
                  </w:r>
                </w:p>
                <w:p>
                  <w:pPr>
                    <w:pStyle w:val="36"/>
                    <w:rPr>
                      <w:color w:val="auto"/>
                      <w:highlight w:val="none"/>
                      <w:lang w:eastAsia="en-US"/>
                    </w:rPr>
                  </w:pPr>
                </w:p>
              </w:tc>
              <w:tc>
                <w:tcPr>
                  <w:tcW w:w="252" w:type="pct"/>
                  <w:vMerge w:val="continue"/>
                  <w:vAlign w:val="center"/>
                </w:tcPr>
                <w:p>
                  <w:pPr>
                    <w:pStyle w:val="36"/>
                    <w:rPr>
                      <w:color w:val="auto"/>
                      <w:highlight w:val="none"/>
                      <w:lang w:eastAsia="en-US"/>
                    </w:rPr>
                  </w:pPr>
                </w:p>
              </w:tc>
              <w:tc>
                <w:tcPr>
                  <w:tcW w:w="480" w:type="pct"/>
                  <w:vMerge w:val="restart"/>
                  <w:vAlign w:val="center"/>
                </w:tcPr>
                <w:p>
                  <w:pPr>
                    <w:pStyle w:val="36"/>
                    <w:rPr>
                      <w:color w:val="auto"/>
                      <w:highlight w:val="none"/>
                    </w:rPr>
                  </w:pPr>
                  <w:r>
                    <w:rPr>
                      <w:color w:val="auto"/>
                      <w:highlight w:val="none"/>
                    </w:rPr>
                    <w:t>含油生产废水油水分离池</w:t>
                  </w:r>
                </w:p>
              </w:tc>
              <w:tc>
                <w:tcPr>
                  <w:tcW w:w="756" w:type="pct"/>
                  <w:vAlign w:val="center"/>
                </w:tcPr>
                <w:p>
                  <w:pPr>
                    <w:pStyle w:val="36"/>
                    <w:rPr>
                      <w:color w:val="auto"/>
                      <w:highlight w:val="none"/>
                    </w:rPr>
                  </w:pPr>
                  <w:r>
                    <w:rPr>
                      <w:color w:val="auto"/>
                      <w:highlight w:val="none"/>
                    </w:rPr>
                    <w:t>7FS</w:t>
                  </w:r>
                  <w:r>
                    <w:rPr>
                      <w:rFonts w:hint="eastAsia"/>
                      <w:color w:val="auto"/>
                      <w:highlight w:val="none"/>
                    </w:rPr>
                    <w:t>（含油生产废水厂房）</w:t>
                  </w:r>
                </w:p>
              </w:tc>
              <w:tc>
                <w:tcPr>
                  <w:tcW w:w="699" w:type="pct"/>
                  <w:vMerge w:val="restart"/>
                  <w:vAlign w:val="center"/>
                </w:tcPr>
                <w:p>
                  <w:pPr>
                    <w:pStyle w:val="36"/>
                    <w:jc w:val="both"/>
                    <w:rPr>
                      <w:color w:val="auto"/>
                      <w:highlight w:val="none"/>
                    </w:rPr>
                  </w:pPr>
                  <w:r>
                    <w:rPr>
                      <w:color w:val="auto"/>
                      <w:highlight w:val="none"/>
                    </w:rPr>
                    <w:t>油水分离合格的废水。</w:t>
                  </w:r>
                </w:p>
              </w:tc>
              <w:tc>
                <w:tcPr>
                  <w:tcW w:w="583" w:type="pct"/>
                  <w:vMerge w:val="restart"/>
                  <w:vAlign w:val="center"/>
                </w:tcPr>
                <w:p>
                  <w:pPr>
                    <w:pStyle w:val="36"/>
                    <w:rPr>
                      <w:color w:val="auto"/>
                      <w:highlight w:val="none"/>
                    </w:rPr>
                  </w:pPr>
                  <w:r>
                    <w:rPr>
                      <w:color w:val="auto"/>
                      <w:highlight w:val="none"/>
                    </w:rPr>
                    <w:t>FS</w:t>
                  </w:r>
                  <w:r>
                    <w:rPr>
                      <w:rFonts w:hint="eastAsia"/>
                      <w:color w:val="auto"/>
                      <w:highlight w:val="none"/>
                    </w:rPr>
                    <w:t>（含油生产废水厂房）</w:t>
                  </w:r>
                  <w:r>
                    <w:rPr>
                      <w:color w:val="auto"/>
                      <w:highlight w:val="none"/>
                    </w:rPr>
                    <w:t>子项的合格出水排入厂区雨水管网，最终排海。</w:t>
                  </w:r>
                </w:p>
              </w:tc>
              <w:tc>
                <w:tcPr>
                  <w:tcW w:w="1272" w:type="pct"/>
                  <w:vMerge w:val="restart"/>
                  <w:vAlign w:val="center"/>
                </w:tcPr>
                <w:p>
                  <w:pPr>
                    <w:pStyle w:val="36"/>
                    <w:jc w:val="both"/>
                    <w:rPr>
                      <w:color w:val="auto"/>
                      <w:highlight w:val="none"/>
                    </w:rPr>
                  </w:pPr>
                  <w:r>
                    <w:rPr>
                      <w:color w:val="auto"/>
                      <w:highlight w:val="none"/>
                    </w:rPr>
                    <w:t>1.将出口检查井改接入新增废水管道上的检查井，排入</w:t>
                  </w:r>
                  <w:r>
                    <w:rPr>
                      <w:rFonts w:hint="eastAsia"/>
                      <w:color w:val="auto"/>
                      <w:highlight w:val="none"/>
                    </w:rPr>
                    <w:t>新建的</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p>
                  <w:pPr>
                    <w:pStyle w:val="36"/>
                    <w:jc w:val="both"/>
                    <w:rPr>
                      <w:color w:val="auto"/>
                      <w:highlight w:val="none"/>
                    </w:rPr>
                  </w:pPr>
                  <w:r>
                    <w:rPr>
                      <w:color w:val="auto"/>
                      <w:highlight w:val="none"/>
                    </w:rPr>
                    <w:t>2.增加SEH</w:t>
                  </w:r>
                  <w:r>
                    <w:rPr>
                      <w:rFonts w:hint="eastAsia"/>
                      <w:color w:val="auto"/>
                      <w:highlight w:val="none"/>
                    </w:rPr>
                    <w:t>（废油和非放射性水排放系统）</w:t>
                  </w:r>
                  <w:r>
                    <w:rPr>
                      <w:color w:val="auto"/>
                      <w:highlight w:val="none"/>
                    </w:rPr>
                    <w:t>入口井盖加围堰和防雨水渗入措施，防止雨水进入污水系统。</w:t>
                  </w:r>
                </w:p>
              </w:tc>
              <w:tc>
                <w:tcPr>
                  <w:tcW w:w="750" w:type="pct"/>
                  <w:vAlign w:val="center"/>
                </w:tcPr>
                <w:p>
                  <w:pPr>
                    <w:pStyle w:val="36"/>
                    <w:rPr>
                      <w:color w:val="auto"/>
                      <w:highlight w:val="none"/>
                    </w:rPr>
                  </w:pPr>
                  <w:r>
                    <w:rPr>
                      <w:rFonts w:hint="eastAsia"/>
                      <w:color w:val="auto"/>
                      <w:highlight w:val="none"/>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8FS</w:t>
                  </w:r>
                  <w:r>
                    <w:rPr>
                      <w:rFonts w:hint="eastAsia"/>
                      <w:color w:val="auto"/>
                      <w:highlight w:val="none"/>
                    </w:rPr>
                    <w:t>（含油生产废水厂房）</w:t>
                  </w:r>
                </w:p>
              </w:tc>
              <w:tc>
                <w:tcPr>
                  <w:tcW w:w="699" w:type="pct"/>
                  <w:vMerge w:val="continue"/>
                  <w:vAlign w:val="center"/>
                </w:tcPr>
                <w:p>
                  <w:pPr>
                    <w:pStyle w:val="36"/>
                    <w:jc w:val="both"/>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Align w:val="center"/>
                </w:tcPr>
                <w:p>
                  <w:pPr>
                    <w:pStyle w:val="36"/>
                    <w:rPr>
                      <w:color w:val="auto"/>
                      <w:highlight w:val="none"/>
                    </w:rPr>
                  </w:pPr>
                  <w:r>
                    <w:rPr>
                      <w:rFonts w:hint="eastAsia"/>
                      <w:color w:val="auto"/>
                      <w:highlight w:val="none"/>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9FS</w:t>
                  </w:r>
                  <w:r>
                    <w:rPr>
                      <w:rFonts w:hint="eastAsia"/>
                      <w:color w:val="auto"/>
                      <w:highlight w:val="none"/>
                    </w:rPr>
                    <w:t>（含油生产废水厂房）</w:t>
                  </w:r>
                </w:p>
              </w:tc>
              <w:tc>
                <w:tcPr>
                  <w:tcW w:w="699" w:type="pct"/>
                  <w:vMerge w:val="continue"/>
                  <w:vAlign w:val="center"/>
                </w:tcPr>
                <w:p>
                  <w:pPr>
                    <w:pStyle w:val="36"/>
                    <w:jc w:val="both"/>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Align w:val="center"/>
                </w:tcPr>
                <w:p>
                  <w:pPr>
                    <w:pStyle w:val="36"/>
                    <w:rPr>
                      <w:color w:val="auto"/>
                      <w:highlight w:val="none"/>
                    </w:rPr>
                  </w:pPr>
                  <w:r>
                    <w:rPr>
                      <w:rFonts w:hint="eastAsia"/>
                      <w:color w:val="auto"/>
                      <w:highlight w:val="none"/>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w:t>
                  </w:r>
                </w:p>
              </w:tc>
              <w:tc>
                <w:tcPr>
                  <w:tcW w:w="252" w:type="pct"/>
                  <w:vMerge w:val="restart"/>
                  <w:vAlign w:val="center"/>
                </w:tcPr>
                <w:p>
                  <w:pPr>
                    <w:pStyle w:val="36"/>
                    <w:rPr>
                      <w:color w:val="auto"/>
                      <w:highlight w:val="none"/>
                      <w:lang w:eastAsia="zh"/>
                    </w:rPr>
                  </w:pPr>
                  <w:r>
                    <w:rPr>
                      <w:color w:val="auto"/>
                      <w:highlight w:val="none"/>
                    </w:rPr>
                    <w:t>大修或检修</w:t>
                  </w:r>
                  <w:r>
                    <w:rPr>
                      <w:rFonts w:hint="eastAsia"/>
                      <w:color w:val="auto"/>
                      <w:highlight w:val="none"/>
                    </w:rPr>
                    <w:t>产生的</w:t>
                  </w:r>
                  <w:r>
                    <w:rPr>
                      <w:rFonts w:hint="eastAsia"/>
                      <w:color w:val="auto"/>
                      <w:highlight w:val="none"/>
                      <w:lang w:eastAsia="zh"/>
                    </w:rPr>
                    <w:t>非放射性生产废水</w:t>
                  </w:r>
                </w:p>
              </w:tc>
              <w:tc>
                <w:tcPr>
                  <w:tcW w:w="480" w:type="pct"/>
                  <w:vMerge w:val="restart"/>
                  <w:vAlign w:val="center"/>
                </w:tcPr>
                <w:p>
                  <w:pPr>
                    <w:pStyle w:val="36"/>
                    <w:rPr>
                      <w:color w:val="auto"/>
                      <w:highlight w:val="none"/>
                    </w:rPr>
                  </w:pPr>
                  <w:r>
                    <w:rPr>
                      <w:color w:val="auto"/>
                      <w:highlight w:val="none"/>
                    </w:rPr>
                    <w:t>常规岛汽轮机厂房</w:t>
                  </w:r>
                </w:p>
              </w:tc>
              <w:tc>
                <w:tcPr>
                  <w:tcW w:w="756" w:type="pct"/>
                  <w:vAlign w:val="center"/>
                </w:tcPr>
                <w:p>
                  <w:pPr>
                    <w:pStyle w:val="36"/>
                    <w:rPr>
                      <w:color w:val="auto"/>
                      <w:highlight w:val="none"/>
                    </w:rPr>
                  </w:pPr>
                  <w:r>
                    <w:rPr>
                      <w:color w:val="auto"/>
                      <w:highlight w:val="none"/>
                    </w:rPr>
                    <w:t>1/2MX</w:t>
                  </w:r>
                  <w:r>
                    <w:rPr>
                      <w:rFonts w:hint="eastAsia"/>
                      <w:color w:val="auto"/>
                      <w:highlight w:val="none"/>
                    </w:rPr>
                    <w:t>（常规岛汽轮机厂房）</w:t>
                  </w:r>
                </w:p>
              </w:tc>
              <w:tc>
                <w:tcPr>
                  <w:tcW w:w="699" w:type="pct"/>
                  <w:vMerge w:val="restart"/>
                  <w:vAlign w:val="center"/>
                </w:tcPr>
                <w:p>
                  <w:pPr>
                    <w:pStyle w:val="36"/>
                    <w:jc w:val="both"/>
                    <w:rPr>
                      <w:color w:val="auto"/>
                      <w:highlight w:val="none"/>
                    </w:rPr>
                  </w:pPr>
                  <w:r>
                    <w:rPr>
                      <w:color w:val="auto"/>
                      <w:highlight w:val="none"/>
                    </w:rPr>
                    <w:t>1.常规岛排水，例如消防水检修排水等；2.常规岛循环水排污坑SEN</w:t>
                  </w:r>
                  <w:r>
                    <w:rPr>
                      <w:rFonts w:hint="eastAsia"/>
                      <w:color w:val="auto"/>
                      <w:highlight w:val="none"/>
                    </w:rPr>
                    <w:t>（海水冷却系统</w:t>
                  </w:r>
                  <w:r>
                    <w:rPr>
                      <w:color w:val="auto"/>
                      <w:highlight w:val="none"/>
                    </w:rPr>
                    <w:t>WUC</w:t>
                  </w:r>
                  <w:r>
                    <w:rPr>
                      <w:rFonts w:hint="eastAsia"/>
                      <w:color w:val="auto"/>
                      <w:highlight w:val="none"/>
                    </w:rPr>
                    <w:t>、辅助冷却水系统）</w:t>
                  </w:r>
                  <w:r>
                    <w:rPr>
                      <w:color w:val="auto"/>
                      <w:highlight w:val="none"/>
                    </w:rPr>
                    <w:t>/SRI（WCI</w:t>
                  </w:r>
                  <w:r>
                    <w:rPr>
                      <w:rFonts w:hint="eastAsia"/>
                      <w:color w:val="auto"/>
                      <w:highlight w:val="none"/>
                    </w:rPr>
                    <w:t>、闭式冷却水系统</w:t>
                  </w:r>
                  <w:r>
                    <w:rPr>
                      <w:color w:val="auto"/>
                      <w:highlight w:val="none"/>
                    </w:rPr>
                    <w:t>）的海水侧排水）；3.SRI（WCI</w:t>
                  </w:r>
                  <w:r>
                    <w:rPr>
                      <w:rFonts w:hint="eastAsia"/>
                      <w:color w:val="auto"/>
                      <w:highlight w:val="none"/>
                    </w:rPr>
                    <w:t>、闭式冷却水系统</w:t>
                  </w:r>
                  <w:r>
                    <w:rPr>
                      <w:color w:val="auto"/>
                      <w:highlight w:val="none"/>
                    </w:rPr>
                    <w:t>）等含磷废水。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1.针对第1部分的水，将出口检查井改接入新增废水管道上的检查井，排入</w:t>
                  </w:r>
                  <w:r>
                    <w:rPr>
                      <w:rFonts w:hint="eastAsia"/>
                      <w:color w:val="auto"/>
                      <w:highlight w:val="none"/>
                    </w:rPr>
                    <w:t>新建的</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p>
                  <w:pPr>
                    <w:pStyle w:val="36"/>
                    <w:jc w:val="both"/>
                    <w:rPr>
                      <w:color w:val="auto"/>
                      <w:highlight w:val="none"/>
                    </w:rPr>
                  </w:pPr>
                  <w:r>
                    <w:rPr>
                      <w:color w:val="auto"/>
                      <w:highlight w:val="none"/>
                    </w:rPr>
                    <w:t>2.针对第2部分的废水，</w:t>
                  </w:r>
                  <w:r>
                    <w:rPr>
                      <w:rFonts w:hint="eastAsia"/>
                      <w:color w:val="auto"/>
                      <w:highlight w:val="none"/>
                    </w:rPr>
                    <w:t>单独收集</w:t>
                  </w:r>
                  <w:r>
                    <w:rPr>
                      <w:color w:val="auto"/>
                      <w:highlight w:val="none"/>
                    </w:rPr>
                    <w:t>排向海水；</w:t>
                  </w:r>
                </w:p>
                <w:p>
                  <w:pPr>
                    <w:pStyle w:val="36"/>
                    <w:jc w:val="both"/>
                    <w:rPr>
                      <w:color w:val="auto"/>
                      <w:highlight w:val="none"/>
                    </w:rPr>
                  </w:pPr>
                  <w:r>
                    <w:rPr>
                      <w:color w:val="auto"/>
                      <w:highlight w:val="none"/>
                    </w:rPr>
                    <w:t>3.针对第3部分的废水，</w:t>
                  </w:r>
                  <w:r>
                    <w:rPr>
                      <w:rFonts w:hint="eastAsia"/>
                      <w:color w:val="auto"/>
                      <w:highlight w:val="none"/>
                    </w:rPr>
                    <w:t>排入新建的废水处理站，处理达标后排入8CC（</w:t>
                  </w:r>
                  <w:r>
                    <w:rPr>
                      <w:rFonts w:hint="eastAsia"/>
                      <w:color w:val="auto"/>
                      <w:highlight w:val="none"/>
                      <w:u w:val="single"/>
                    </w:rPr>
                    <w:t>虹吸井和排水暗渠）</w:t>
                  </w:r>
                  <w:r>
                    <w:rPr>
                      <w:rFonts w:hint="eastAsia"/>
                      <w:color w:val="auto"/>
                      <w:highlight w:val="none"/>
                    </w:rPr>
                    <w:t>井</w:t>
                  </w:r>
                  <w:r>
                    <w:rPr>
                      <w:color w:val="auto"/>
                      <w:highlight w:val="none"/>
                    </w:rPr>
                    <w:t>。</w:t>
                  </w:r>
                </w:p>
              </w:tc>
              <w:tc>
                <w:tcPr>
                  <w:tcW w:w="750" w:type="pct"/>
                  <w:vMerge w:val="restart"/>
                  <w:vAlign w:val="center"/>
                </w:tcPr>
                <w:p>
                  <w:pPr>
                    <w:pStyle w:val="36"/>
                    <w:rPr>
                      <w:color w:val="auto"/>
                      <w:highlight w:val="none"/>
                    </w:rPr>
                  </w:pPr>
                  <w:r>
                    <w:rPr>
                      <w:rFonts w:hint="eastAsia"/>
                      <w:color w:val="auto"/>
                      <w:highlight w:val="none"/>
                    </w:rPr>
                    <w:t>1927（序号3-39项检修废水合并共1927m</w:t>
                  </w:r>
                  <w:r>
                    <w:rPr>
                      <w:rFonts w:hint="eastAsia"/>
                      <w:color w:val="auto"/>
                      <w:highlight w:val="none"/>
                      <w:vertAlign w:val="superscript"/>
                    </w:rPr>
                    <w:t>3</w:t>
                  </w:r>
                  <w:r>
                    <w:rPr>
                      <w:rFonts w:hint="eastAsia"/>
                      <w:color w:val="auto"/>
                      <w:highlight w:val="none"/>
                    </w:rPr>
                    <w:t>/d）不包括海水冷却系统排水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4</w:t>
                  </w: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3/4MX</w:t>
                  </w:r>
                  <w:r>
                    <w:rPr>
                      <w:rFonts w:hint="eastAsia"/>
                      <w:color w:val="auto"/>
                      <w:highlight w:val="none"/>
                    </w:rPr>
                    <w:t>（常规岛汽轮机厂房）</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5</w:t>
                  </w: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5/6MX</w:t>
                  </w:r>
                  <w:r>
                    <w:rPr>
                      <w:rFonts w:hint="eastAsia"/>
                      <w:color w:val="auto"/>
                      <w:highlight w:val="none"/>
                    </w:rPr>
                    <w:t>（</w:t>
                  </w:r>
                  <w:r>
                    <w:rPr>
                      <w:rFonts w:hint="eastAsia"/>
                      <w:color w:val="auto"/>
                      <w:highlight w:val="none"/>
                      <w:u w:val="single"/>
                    </w:rPr>
                    <w:t>常规岛汽轮机厂房）</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rPr>
              <w:tc>
                <w:tcPr>
                  <w:tcW w:w="203" w:type="pct"/>
                  <w:vAlign w:val="center"/>
                </w:tcPr>
                <w:p>
                  <w:pPr>
                    <w:pStyle w:val="36"/>
                    <w:rPr>
                      <w:color w:val="auto"/>
                      <w:highlight w:val="none"/>
                      <w:lang w:eastAsia="en-US"/>
                    </w:rPr>
                  </w:pPr>
                  <w:r>
                    <w:rPr>
                      <w:color w:val="auto"/>
                      <w:highlight w:val="none"/>
                    </w:rPr>
                    <w:t>6</w:t>
                  </w:r>
                </w:p>
              </w:tc>
              <w:tc>
                <w:tcPr>
                  <w:tcW w:w="252" w:type="pct"/>
                  <w:vMerge w:val="continue"/>
                  <w:vAlign w:val="center"/>
                </w:tcPr>
                <w:p>
                  <w:pPr>
                    <w:pStyle w:val="36"/>
                    <w:rPr>
                      <w:color w:val="auto"/>
                      <w:highlight w:val="none"/>
                    </w:rPr>
                  </w:pPr>
                </w:p>
              </w:tc>
              <w:tc>
                <w:tcPr>
                  <w:tcW w:w="480" w:type="pct"/>
                  <w:vMerge w:val="restart"/>
                  <w:vAlign w:val="center"/>
                </w:tcPr>
                <w:p>
                  <w:pPr>
                    <w:pStyle w:val="36"/>
                    <w:rPr>
                      <w:color w:val="auto"/>
                      <w:highlight w:val="none"/>
                    </w:rPr>
                  </w:pPr>
                  <w:r>
                    <w:rPr>
                      <w:color w:val="auto"/>
                      <w:highlight w:val="none"/>
                    </w:rPr>
                    <w:t>ASG（TFA）辅助给水箱</w:t>
                  </w:r>
                </w:p>
              </w:tc>
              <w:tc>
                <w:tcPr>
                  <w:tcW w:w="756" w:type="pct"/>
                  <w:vAlign w:val="center"/>
                </w:tcPr>
                <w:p>
                  <w:pPr>
                    <w:pStyle w:val="36"/>
                    <w:rPr>
                      <w:color w:val="auto"/>
                      <w:highlight w:val="none"/>
                    </w:rPr>
                  </w:pPr>
                  <w:r>
                    <w:rPr>
                      <w:color w:val="auto"/>
                      <w:highlight w:val="none"/>
                    </w:rPr>
                    <w:t>1/2RE</w:t>
                  </w:r>
                </w:p>
                <w:p>
                  <w:pPr>
                    <w:pStyle w:val="36"/>
                    <w:rPr>
                      <w:color w:val="auto"/>
                      <w:highlight w:val="none"/>
                    </w:rPr>
                  </w:pPr>
                  <w:r>
                    <w:rPr>
                      <w:rFonts w:hint="eastAsia"/>
                      <w:color w:val="auto"/>
                      <w:highlight w:val="none"/>
                    </w:rPr>
                    <w:t>（辅助给水箱厂房）</w:t>
                  </w:r>
                </w:p>
              </w:tc>
              <w:tc>
                <w:tcPr>
                  <w:tcW w:w="699" w:type="pct"/>
                  <w:vMerge w:val="restart"/>
                  <w:vAlign w:val="center"/>
                </w:tcPr>
                <w:p>
                  <w:pPr>
                    <w:pStyle w:val="36"/>
                    <w:rPr>
                      <w:color w:val="auto"/>
                      <w:highlight w:val="none"/>
                    </w:rPr>
                  </w:pPr>
                  <w:r>
                    <w:rPr>
                      <w:color w:val="auto"/>
                      <w:highlight w:val="none"/>
                    </w:rPr>
                    <w:t>大修期间ASG（TFA）001BA</w:t>
                  </w:r>
                  <w:r>
                    <w:rPr>
                      <w:rFonts w:hint="eastAsia"/>
                      <w:color w:val="auto"/>
                      <w:highlight w:val="none"/>
                    </w:rPr>
                    <w:t>（</w:t>
                  </w:r>
                  <w:r>
                    <w:rPr>
                      <w:color w:val="auto"/>
                      <w:highlight w:val="none"/>
                    </w:rPr>
                    <w:t>辅助给水箱</w:t>
                  </w:r>
                  <w:r>
                    <w:rPr>
                      <w:rFonts w:hint="eastAsia"/>
                      <w:color w:val="auto"/>
                      <w:highlight w:val="none"/>
                    </w:rPr>
                    <w:t>）</w:t>
                  </w:r>
                  <w:r>
                    <w:rPr>
                      <w:color w:val="auto"/>
                      <w:highlight w:val="none"/>
                    </w:rPr>
                    <w:t>排水。</w:t>
                  </w:r>
                </w:p>
              </w:tc>
              <w:tc>
                <w:tcPr>
                  <w:tcW w:w="583" w:type="pct"/>
                  <w:vMerge w:val="restart"/>
                  <w:vAlign w:val="center"/>
                </w:tcPr>
                <w:p>
                  <w:pPr>
                    <w:pStyle w:val="36"/>
                    <w:rPr>
                      <w:color w:val="auto"/>
                      <w:highlight w:val="none"/>
                    </w:rPr>
                  </w:pPr>
                  <w:r>
                    <w:rPr>
                      <w:color w:val="auto"/>
                      <w:highlight w:val="none"/>
                    </w:rPr>
                    <w:t>经核岛厂房内的SEO</w:t>
                  </w:r>
                  <w:r>
                    <w:rPr>
                      <w:rFonts w:hint="eastAsia"/>
                      <w:color w:val="auto"/>
                      <w:highlight w:val="none"/>
                    </w:rPr>
                    <w:t>（电站污水系统）</w:t>
                  </w:r>
                  <w:r>
                    <w:rPr>
                      <w:color w:val="auto"/>
                      <w:highlight w:val="none"/>
                    </w:rPr>
                    <w:t>管网收集后排入厂区的雨水管网或污水管网，最终排海。</w:t>
                  </w:r>
                </w:p>
              </w:tc>
              <w:tc>
                <w:tcPr>
                  <w:tcW w:w="1272" w:type="pct"/>
                  <w:vMerge w:val="restart"/>
                  <w:vAlign w:val="center"/>
                </w:tcPr>
                <w:p>
                  <w:pPr>
                    <w:pStyle w:val="36"/>
                    <w:jc w:val="both"/>
                    <w:rPr>
                      <w:color w:val="auto"/>
                      <w:highlight w:val="none"/>
                    </w:rPr>
                  </w:pPr>
                  <w:r>
                    <w:rPr>
                      <w:color w:val="auto"/>
                      <w:highlight w:val="none"/>
                    </w:rPr>
                    <w:t>由于ASG（TFA</w:t>
                  </w:r>
                  <w:r>
                    <w:rPr>
                      <w:rFonts w:hint="eastAsia"/>
                      <w:color w:val="auto"/>
                      <w:highlight w:val="none"/>
                    </w:rPr>
                    <w:t>、</w:t>
                  </w:r>
                  <w:r>
                    <w:rPr>
                      <w:rFonts w:hint="eastAsia"/>
                      <w:color w:val="auto"/>
                      <w:highlight w:val="none"/>
                      <w:u w:val="single"/>
                    </w:rPr>
                    <w:t>辅助给水系统</w:t>
                  </w:r>
                  <w:r>
                    <w:rPr>
                      <w:color w:val="auto"/>
                      <w:highlight w:val="none"/>
                    </w:rPr>
                    <w:t>）001BA的补水为CEX</w:t>
                  </w:r>
                  <w:r>
                    <w:rPr>
                      <w:rFonts w:hint="eastAsia"/>
                      <w:color w:val="auto"/>
                      <w:highlight w:val="none"/>
                    </w:rPr>
                    <w:t>（</w:t>
                  </w:r>
                  <w:r>
                    <w:rPr>
                      <w:color w:val="auto"/>
                      <w:highlight w:val="none"/>
                    </w:rPr>
                    <w:t>TFE</w:t>
                  </w:r>
                  <w:r>
                    <w:rPr>
                      <w:rFonts w:hint="eastAsia"/>
                      <w:color w:val="auto"/>
                      <w:highlight w:val="none"/>
                    </w:rPr>
                    <w:t>、常规岛凝结水系统</w:t>
                  </w:r>
                  <w:r>
                    <w:rPr>
                      <w:color w:val="auto"/>
                      <w:highlight w:val="none"/>
                    </w:rPr>
                    <w:t>）凝汽器补水，单独改造至SEL（WQB</w:t>
                  </w:r>
                  <w:r>
                    <w:rPr>
                      <w:rFonts w:hint="eastAsia"/>
                      <w:color w:val="auto"/>
                      <w:highlight w:val="none"/>
                    </w:rPr>
                    <w:t>、常规岛液态流出物排放系统）</w:t>
                  </w:r>
                  <w:r>
                    <w:rPr>
                      <w:color w:val="auto"/>
                      <w:highlight w:val="none"/>
                    </w:rPr>
                    <w:t>。</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7</w:t>
                  </w: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3/4RE</w:t>
                  </w:r>
                </w:p>
                <w:p>
                  <w:pPr>
                    <w:pStyle w:val="36"/>
                    <w:rPr>
                      <w:color w:val="auto"/>
                      <w:highlight w:val="none"/>
                    </w:rPr>
                  </w:pPr>
                  <w:r>
                    <w:rPr>
                      <w:rFonts w:hint="eastAsia"/>
                      <w:color w:val="auto"/>
                      <w:highlight w:val="none"/>
                    </w:rPr>
                    <w:t>（辅助给水箱厂房）</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8</w:t>
                  </w:r>
                </w:p>
              </w:tc>
              <w:tc>
                <w:tcPr>
                  <w:tcW w:w="252" w:type="pct"/>
                  <w:vMerge w:val="continue"/>
                  <w:vAlign w:val="center"/>
                </w:tcPr>
                <w:p>
                  <w:pPr>
                    <w:pStyle w:val="36"/>
                    <w:rPr>
                      <w:color w:val="auto"/>
                      <w:highlight w:val="none"/>
                    </w:rPr>
                  </w:pPr>
                </w:p>
              </w:tc>
              <w:tc>
                <w:tcPr>
                  <w:tcW w:w="480" w:type="pct"/>
                  <w:vMerge w:val="continue"/>
                  <w:vAlign w:val="center"/>
                </w:tcPr>
                <w:p>
                  <w:pPr>
                    <w:pStyle w:val="36"/>
                    <w:rPr>
                      <w:color w:val="auto"/>
                      <w:highlight w:val="none"/>
                    </w:rPr>
                  </w:pPr>
                </w:p>
              </w:tc>
              <w:tc>
                <w:tcPr>
                  <w:tcW w:w="756" w:type="pct"/>
                  <w:vAlign w:val="center"/>
                </w:tcPr>
                <w:p>
                  <w:pPr>
                    <w:pStyle w:val="36"/>
                    <w:rPr>
                      <w:color w:val="auto"/>
                      <w:highlight w:val="none"/>
                    </w:rPr>
                  </w:pPr>
                  <w:r>
                    <w:rPr>
                      <w:color w:val="auto"/>
                      <w:highlight w:val="none"/>
                    </w:rPr>
                    <w:t>5/6RE</w:t>
                  </w:r>
                </w:p>
                <w:p>
                  <w:pPr>
                    <w:pStyle w:val="36"/>
                    <w:rPr>
                      <w:color w:val="auto"/>
                      <w:highlight w:val="none"/>
                    </w:rPr>
                  </w:pPr>
                  <w:r>
                    <w:rPr>
                      <w:rFonts w:hint="eastAsia"/>
                      <w:color w:val="auto"/>
                      <w:highlight w:val="none"/>
                    </w:rPr>
                    <w:t>（</w:t>
                  </w:r>
                  <w:r>
                    <w:rPr>
                      <w:rFonts w:hint="eastAsia"/>
                      <w:color w:val="auto"/>
                      <w:highlight w:val="none"/>
                      <w:u w:val="single"/>
                    </w:rPr>
                    <w:t>辅助给水箱厂房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Align w:val="center"/>
                </w:tcPr>
                <w:p>
                  <w:pPr>
                    <w:pStyle w:val="36"/>
                    <w:rPr>
                      <w:color w:val="auto"/>
                      <w:highlight w:val="none"/>
                    </w:rPr>
                  </w:pPr>
                  <w:r>
                    <w:rPr>
                      <w:color w:val="auto"/>
                      <w:highlight w:val="none"/>
                    </w:rPr>
                    <w:t>经核岛厂房内的WSS</w:t>
                  </w:r>
                  <w:r>
                    <w:rPr>
                      <w:rFonts w:hint="eastAsia"/>
                      <w:color w:val="auto"/>
                      <w:highlight w:val="none"/>
                    </w:rPr>
                    <w:t>（电站污水系统）</w:t>
                  </w:r>
                  <w:r>
                    <w:rPr>
                      <w:color w:val="auto"/>
                      <w:highlight w:val="none"/>
                    </w:rPr>
                    <w:t>管网收集后排入厂区的污水管网，最终排海。</w:t>
                  </w: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9</w:t>
                  </w:r>
                </w:p>
              </w:tc>
              <w:tc>
                <w:tcPr>
                  <w:tcW w:w="252" w:type="pct"/>
                  <w:vMerge w:val="continue"/>
                  <w:vAlign w:val="center"/>
                </w:tcPr>
                <w:p>
                  <w:pPr>
                    <w:pStyle w:val="36"/>
                    <w:rPr>
                      <w:color w:val="auto"/>
                      <w:highlight w:val="none"/>
                    </w:rPr>
                  </w:pPr>
                </w:p>
              </w:tc>
              <w:tc>
                <w:tcPr>
                  <w:tcW w:w="480" w:type="pct"/>
                  <w:vMerge w:val="restart"/>
                  <w:vAlign w:val="center"/>
                </w:tcPr>
                <w:p>
                  <w:pPr>
                    <w:pStyle w:val="36"/>
                    <w:rPr>
                      <w:color w:val="auto"/>
                      <w:highlight w:val="none"/>
                    </w:rPr>
                  </w:pPr>
                  <w:r>
                    <w:rPr>
                      <w:color w:val="auto"/>
                      <w:highlight w:val="none"/>
                    </w:rPr>
                    <w:t>制氯站</w:t>
                  </w:r>
                </w:p>
              </w:tc>
              <w:tc>
                <w:tcPr>
                  <w:tcW w:w="756" w:type="pct"/>
                  <w:vAlign w:val="center"/>
                </w:tcPr>
                <w:p>
                  <w:pPr>
                    <w:pStyle w:val="36"/>
                    <w:rPr>
                      <w:color w:val="auto"/>
                      <w:highlight w:val="none"/>
                    </w:rPr>
                  </w:pPr>
                  <w:r>
                    <w:rPr>
                      <w:color w:val="auto"/>
                      <w:highlight w:val="none"/>
                    </w:rPr>
                    <w:t>7HX</w:t>
                  </w:r>
                  <w:r>
                    <w:rPr>
                      <w:rFonts w:hint="eastAsia"/>
                      <w:color w:val="auto"/>
                      <w:highlight w:val="none"/>
                    </w:rPr>
                    <w:t>（制氯站）</w:t>
                  </w:r>
                </w:p>
              </w:tc>
              <w:tc>
                <w:tcPr>
                  <w:tcW w:w="699" w:type="pct"/>
                  <w:vMerge w:val="restart"/>
                  <w:vAlign w:val="center"/>
                </w:tcPr>
                <w:p>
                  <w:pPr>
                    <w:pStyle w:val="36"/>
                    <w:rPr>
                      <w:color w:val="auto"/>
                      <w:highlight w:val="none"/>
                    </w:rPr>
                  </w:pPr>
                  <w:r>
                    <w:rPr>
                      <w:color w:val="auto"/>
                      <w:highlight w:val="none"/>
                    </w:rPr>
                    <w:t>1.室内管沟排水/室内地面疏水</w:t>
                  </w:r>
                  <w:r>
                    <w:rPr>
                      <w:rFonts w:hint="eastAsia"/>
                      <w:color w:val="auto"/>
                      <w:highlight w:val="none"/>
                    </w:rPr>
                    <w:t>；</w:t>
                  </w:r>
                  <w:r>
                    <w:rPr>
                      <w:color w:val="auto"/>
                      <w:highlight w:val="none"/>
                    </w:rPr>
                    <w:t>2.室外酸/碱废液中和池排水；3.室外次氯酸钠储罐排污水、单列运行时旁路排水流量70m</w:t>
                  </w:r>
                  <w:r>
                    <w:rPr>
                      <w:color w:val="auto"/>
                      <w:highlight w:val="none"/>
                      <w:vertAlign w:val="superscript"/>
                    </w:rPr>
                    <w:t>3</w:t>
                  </w:r>
                  <w:r>
                    <w:rPr>
                      <w:color w:val="auto"/>
                      <w:highlight w:val="none"/>
                    </w:rPr>
                    <w:t>/h。</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1.第1部分水保持现状，排至取水明渠；</w:t>
                  </w:r>
                </w:p>
                <w:p>
                  <w:pPr>
                    <w:pStyle w:val="36"/>
                    <w:jc w:val="both"/>
                    <w:rPr>
                      <w:color w:val="auto"/>
                      <w:highlight w:val="none"/>
                    </w:rPr>
                  </w:pPr>
                  <w:r>
                    <w:rPr>
                      <w:color w:val="auto"/>
                      <w:highlight w:val="none"/>
                    </w:rPr>
                    <w:t>2.第2部分废水改造，雨废分离；</w:t>
                  </w:r>
                </w:p>
                <w:p>
                  <w:pPr>
                    <w:pStyle w:val="36"/>
                    <w:jc w:val="both"/>
                    <w:rPr>
                      <w:color w:val="auto"/>
                      <w:highlight w:val="none"/>
                    </w:rPr>
                  </w:pPr>
                  <w:r>
                    <w:rPr>
                      <w:color w:val="auto"/>
                      <w:highlight w:val="none"/>
                    </w:rPr>
                    <w:t>3.第3部分保持现状，排至取水明渠；</w:t>
                  </w:r>
                </w:p>
                <w:p>
                  <w:pPr>
                    <w:pStyle w:val="36"/>
                    <w:jc w:val="both"/>
                    <w:rPr>
                      <w:color w:val="auto"/>
                      <w:highlight w:val="none"/>
                    </w:rPr>
                  </w:pPr>
                  <w:r>
                    <w:rPr>
                      <w:color w:val="auto"/>
                      <w:highlight w:val="none"/>
                    </w:rPr>
                    <w:t>4.同时酸碱平台为防止雨水进入，设计增加防雨遮挡。</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10</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8HX</w:t>
                  </w:r>
                  <w:r>
                    <w:rPr>
                      <w:rFonts w:hint="eastAsia"/>
                      <w:color w:val="auto"/>
                      <w:highlight w:val="none"/>
                    </w:rPr>
                    <w:t>（制氯站）</w:t>
                  </w:r>
                </w:p>
              </w:tc>
              <w:tc>
                <w:tcPr>
                  <w:tcW w:w="699" w:type="pct"/>
                  <w:vMerge w:val="continue"/>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11</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vAlign w:val="center"/>
                </w:tcPr>
                <w:p>
                  <w:pPr>
                    <w:pStyle w:val="36"/>
                    <w:rPr>
                      <w:color w:val="auto"/>
                      <w:highlight w:val="none"/>
                    </w:rPr>
                  </w:pPr>
                  <w:r>
                    <w:rPr>
                      <w:color w:val="auto"/>
                      <w:highlight w:val="none"/>
                    </w:rPr>
                    <w:t>9HX</w:t>
                  </w:r>
                  <w:r>
                    <w:rPr>
                      <w:rFonts w:hint="eastAsia"/>
                      <w:color w:val="auto"/>
                      <w:highlight w:val="none"/>
                    </w:rPr>
                    <w:t>（制氯站）</w:t>
                  </w:r>
                </w:p>
              </w:tc>
              <w:tc>
                <w:tcPr>
                  <w:tcW w:w="699" w:type="pct"/>
                  <w:vMerge w:val="continue"/>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12</w:t>
                  </w:r>
                </w:p>
              </w:tc>
              <w:tc>
                <w:tcPr>
                  <w:tcW w:w="252" w:type="pct"/>
                  <w:vMerge w:val="restart"/>
                  <w:vAlign w:val="center"/>
                </w:tcPr>
                <w:p>
                  <w:pPr>
                    <w:pStyle w:val="36"/>
                    <w:rPr>
                      <w:color w:val="auto"/>
                      <w:highlight w:val="none"/>
                    </w:rPr>
                  </w:pPr>
                  <w:r>
                    <w:rPr>
                      <w:color w:val="auto"/>
                      <w:highlight w:val="none"/>
                    </w:rPr>
                    <w:t>非经常性排水（大修或检修）</w:t>
                  </w:r>
                </w:p>
              </w:tc>
              <w:tc>
                <w:tcPr>
                  <w:tcW w:w="480" w:type="pct"/>
                  <w:vMerge w:val="restart"/>
                </w:tcPr>
                <w:p>
                  <w:pPr>
                    <w:pStyle w:val="36"/>
                    <w:rPr>
                      <w:color w:val="auto"/>
                      <w:highlight w:val="none"/>
                    </w:rPr>
                  </w:pPr>
                  <w:r>
                    <w:rPr>
                      <w:color w:val="auto"/>
                      <w:highlight w:val="none"/>
                    </w:rPr>
                    <w:t>厂区附加电源柴油发电机厂房</w:t>
                  </w:r>
                </w:p>
              </w:tc>
              <w:tc>
                <w:tcPr>
                  <w:tcW w:w="756" w:type="pct"/>
                </w:tcPr>
                <w:p>
                  <w:pPr>
                    <w:pStyle w:val="36"/>
                    <w:rPr>
                      <w:color w:val="auto"/>
                      <w:highlight w:val="none"/>
                    </w:rPr>
                  </w:pPr>
                  <w:r>
                    <w:rPr>
                      <w:color w:val="auto"/>
                      <w:highlight w:val="none"/>
                    </w:rPr>
                    <w:t>7DY</w:t>
                  </w:r>
                </w:p>
                <w:p>
                  <w:pPr>
                    <w:pStyle w:val="36"/>
                    <w:rPr>
                      <w:color w:val="auto"/>
                      <w:highlight w:val="none"/>
                    </w:rPr>
                  </w:pPr>
                  <w:r>
                    <w:rPr>
                      <w:rFonts w:hint="eastAsia"/>
                      <w:color w:val="auto"/>
                      <w:highlight w:val="none"/>
                    </w:rPr>
                    <w:t>（</w:t>
                  </w:r>
                  <w:r>
                    <w:rPr>
                      <w:color w:val="auto"/>
                      <w:highlight w:val="none"/>
                    </w:rPr>
                    <w:t>厂区附加电源柴油发电机厂房</w:t>
                  </w:r>
                  <w:r>
                    <w:rPr>
                      <w:rFonts w:hint="eastAsia"/>
                      <w:color w:val="auto"/>
                      <w:highlight w:val="none"/>
                    </w:rPr>
                    <w:t>）</w:t>
                  </w:r>
                </w:p>
              </w:tc>
              <w:tc>
                <w:tcPr>
                  <w:tcW w:w="699" w:type="pct"/>
                  <w:vMerge w:val="restart"/>
                </w:tcPr>
                <w:p>
                  <w:pPr>
                    <w:pStyle w:val="36"/>
                    <w:rPr>
                      <w:color w:val="auto"/>
                      <w:highlight w:val="none"/>
                    </w:rPr>
                  </w:pPr>
                  <w:r>
                    <w:rPr>
                      <w:color w:val="auto"/>
                      <w:highlight w:val="none"/>
                    </w:rPr>
                    <w:t>电缆间、消防设备间排水、蓄电池洗眼器排水。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原洗眼器排水，改接室外已有污水管网。</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13</w:t>
                  </w:r>
                </w:p>
              </w:tc>
              <w:tc>
                <w:tcPr>
                  <w:tcW w:w="252" w:type="pct"/>
                  <w:vMerge w:val="continue"/>
                  <w:vAlign w:val="center"/>
                </w:tcPr>
                <w:p>
                  <w:pPr>
                    <w:pStyle w:val="36"/>
                    <w:rPr>
                      <w:color w:val="auto"/>
                      <w:highlight w:val="none"/>
                    </w:rPr>
                  </w:pPr>
                </w:p>
              </w:tc>
              <w:tc>
                <w:tcPr>
                  <w:tcW w:w="480" w:type="pct"/>
                  <w:vMerge w:val="continue"/>
                </w:tcPr>
                <w:p>
                  <w:pPr>
                    <w:pStyle w:val="36"/>
                    <w:rPr>
                      <w:color w:val="auto"/>
                      <w:highlight w:val="none"/>
                    </w:rPr>
                  </w:pPr>
                </w:p>
              </w:tc>
              <w:tc>
                <w:tcPr>
                  <w:tcW w:w="756" w:type="pct"/>
                  <w:vAlign w:val="center"/>
                </w:tcPr>
                <w:p>
                  <w:pPr>
                    <w:pStyle w:val="36"/>
                    <w:rPr>
                      <w:color w:val="auto"/>
                      <w:highlight w:val="none"/>
                    </w:rPr>
                  </w:pPr>
                  <w:r>
                    <w:rPr>
                      <w:color w:val="auto"/>
                      <w:highlight w:val="none"/>
                    </w:rPr>
                    <w:t>0DY</w:t>
                  </w:r>
                </w:p>
                <w:p>
                  <w:pPr>
                    <w:pStyle w:val="36"/>
                    <w:rPr>
                      <w:color w:val="auto"/>
                      <w:highlight w:val="none"/>
                    </w:rPr>
                  </w:pPr>
                  <w:r>
                    <w:rPr>
                      <w:rFonts w:hint="eastAsia"/>
                      <w:color w:val="auto"/>
                      <w:highlight w:val="none"/>
                    </w:rPr>
                    <w:t>（</w:t>
                  </w:r>
                  <w:r>
                    <w:rPr>
                      <w:color w:val="auto"/>
                      <w:highlight w:val="none"/>
                    </w:rPr>
                    <w:t>厂区附加电源柴油发电机厂房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14</w:t>
                  </w:r>
                </w:p>
              </w:tc>
              <w:tc>
                <w:tcPr>
                  <w:tcW w:w="252" w:type="pct"/>
                  <w:vMerge w:val="continue"/>
                </w:tcPr>
                <w:p>
                  <w:pPr>
                    <w:pStyle w:val="36"/>
                    <w:rPr>
                      <w:color w:val="auto"/>
                      <w:highlight w:val="none"/>
                    </w:rPr>
                  </w:pPr>
                </w:p>
              </w:tc>
              <w:tc>
                <w:tcPr>
                  <w:tcW w:w="480" w:type="pct"/>
                  <w:vMerge w:val="restart"/>
                </w:tcPr>
                <w:p>
                  <w:pPr>
                    <w:pStyle w:val="36"/>
                    <w:rPr>
                      <w:color w:val="auto"/>
                      <w:highlight w:val="none"/>
                    </w:rPr>
                  </w:pPr>
                  <w:r>
                    <w:rPr>
                      <w:color w:val="auto"/>
                      <w:highlight w:val="none"/>
                    </w:rPr>
                    <w:t>除盐水生产厂房/除盐水贮存罐</w:t>
                  </w:r>
                </w:p>
              </w:tc>
              <w:tc>
                <w:tcPr>
                  <w:tcW w:w="756" w:type="pct"/>
                </w:tcPr>
                <w:p>
                  <w:pPr>
                    <w:pStyle w:val="36"/>
                    <w:rPr>
                      <w:color w:val="auto"/>
                      <w:highlight w:val="none"/>
                    </w:rPr>
                  </w:pPr>
                  <w:r>
                    <w:rPr>
                      <w:color w:val="auto"/>
                      <w:highlight w:val="none"/>
                    </w:rPr>
                    <w:t>7YA/YB</w:t>
                  </w:r>
                </w:p>
                <w:p>
                  <w:pPr>
                    <w:pStyle w:val="36"/>
                    <w:rPr>
                      <w:color w:val="auto"/>
                      <w:highlight w:val="none"/>
                    </w:rPr>
                  </w:pPr>
                  <w:r>
                    <w:rPr>
                      <w:rFonts w:hint="eastAsia"/>
                      <w:color w:val="auto"/>
                      <w:highlight w:val="none"/>
                    </w:rPr>
                    <w:t>（</w:t>
                  </w:r>
                  <w:r>
                    <w:rPr>
                      <w:color w:val="auto"/>
                      <w:highlight w:val="none"/>
                    </w:rPr>
                    <w:t>除盐水生产厂房</w:t>
                  </w:r>
                  <w:r>
                    <w:rPr>
                      <w:rFonts w:hint="eastAsia"/>
                      <w:color w:val="auto"/>
                      <w:highlight w:val="none"/>
                    </w:rPr>
                    <w:t>）</w:t>
                  </w:r>
                </w:p>
              </w:tc>
              <w:tc>
                <w:tcPr>
                  <w:tcW w:w="699" w:type="pct"/>
                  <w:vMerge w:val="restart"/>
                  <w:vAlign w:val="center"/>
                </w:tcPr>
                <w:p>
                  <w:pPr>
                    <w:pStyle w:val="36"/>
                    <w:rPr>
                      <w:color w:val="auto"/>
                      <w:highlight w:val="none"/>
                    </w:rPr>
                  </w:pPr>
                  <w:r>
                    <w:rPr>
                      <w:color w:val="auto"/>
                      <w:highlight w:val="none"/>
                    </w:rPr>
                    <w:t>室外SER（WCD</w:t>
                  </w:r>
                  <w:r>
                    <w:rPr>
                      <w:rFonts w:hint="eastAsia"/>
                      <w:color w:val="auto"/>
                      <w:highlight w:val="none"/>
                    </w:rPr>
                    <w:t>、常规岛除盐水分配系统</w:t>
                  </w:r>
                  <w:r>
                    <w:rPr>
                      <w:color w:val="auto"/>
                      <w:highlight w:val="none"/>
                    </w:rPr>
                    <w:t>）、SED(WND</w:t>
                  </w:r>
                  <w:r>
                    <w:rPr>
                      <w:rFonts w:hint="eastAsia"/>
                      <w:color w:val="auto"/>
                      <w:highlight w:val="none"/>
                    </w:rPr>
                    <w:t>、核岛除盐水分配系统)</w:t>
                  </w:r>
                  <w:r>
                    <w:rPr>
                      <w:color w:val="auto"/>
                      <w:highlight w:val="none"/>
                    </w:rPr>
                    <w:t>）水箱检修排水。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将出口检查井改接入新增废水管道上的检查井，排入新建废水处理站，处理达标后排入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15</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8YA/YB</w:t>
                  </w:r>
                </w:p>
                <w:p>
                  <w:pPr>
                    <w:pStyle w:val="36"/>
                    <w:rPr>
                      <w:color w:val="auto"/>
                      <w:highlight w:val="none"/>
                    </w:rPr>
                  </w:pPr>
                  <w:r>
                    <w:rPr>
                      <w:rFonts w:hint="eastAsia"/>
                      <w:color w:val="auto"/>
                      <w:highlight w:val="none"/>
                    </w:rPr>
                    <w:t>（</w:t>
                  </w:r>
                  <w:r>
                    <w:rPr>
                      <w:color w:val="auto"/>
                      <w:highlight w:val="none"/>
                    </w:rPr>
                    <w:t>除盐水生产厂房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16</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9YA/YB</w:t>
                  </w:r>
                </w:p>
                <w:p>
                  <w:pPr>
                    <w:pStyle w:val="36"/>
                    <w:rPr>
                      <w:color w:val="auto"/>
                      <w:highlight w:val="none"/>
                    </w:rPr>
                  </w:pPr>
                  <w:r>
                    <w:rPr>
                      <w:rFonts w:hint="eastAsia"/>
                      <w:color w:val="auto"/>
                      <w:highlight w:val="none"/>
                    </w:rPr>
                    <w:t>（</w:t>
                  </w:r>
                  <w:r>
                    <w:rPr>
                      <w:color w:val="auto"/>
                      <w:highlight w:val="none"/>
                    </w:rPr>
                    <w:t>除盐水生产厂房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17</w:t>
                  </w:r>
                </w:p>
              </w:tc>
              <w:tc>
                <w:tcPr>
                  <w:tcW w:w="252" w:type="pct"/>
                  <w:vMerge w:val="continue"/>
                </w:tcPr>
                <w:p>
                  <w:pPr>
                    <w:pStyle w:val="36"/>
                    <w:rPr>
                      <w:color w:val="auto"/>
                      <w:highlight w:val="none"/>
                    </w:rPr>
                  </w:pPr>
                </w:p>
              </w:tc>
              <w:tc>
                <w:tcPr>
                  <w:tcW w:w="480" w:type="pct"/>
                </w:tcPr>
                <w:p>
                  <w:pPr>
                    <w:pStyle w:val="36"/>
                    <w:rPr>
                      <w:color w:val="auto"/>
                      <w:highlight w:val="none"/>
                    </w:rPr>
                  </w:pPr>
                  <w:r>
                    <w:rPr>
                      <w:color w:val="auto"/>
                      <w:highlight w:val="none"/>
                    </w:rPr>
                    <w:t>辅助锅炉房</w:t>
                  </w:r>
                </w:p>
              </w:tc>
              <w:tc>
                <w:tcPr>
                  <w:tcW w:w="756" w:type="pct"/>
                </w:tcPr>
                <w:p>
                  <w:pPr>
                    <w:pStyle w:val="36"/>
                    <w:rPr>
                      <w:color w:val="auto"/>
                      <w:highlight w:val="none"/>
                    </w:rPr>
                  </w:pPr>
                  <w:r>
                    <w:rPr>
                      <w:color w:val="auto"/>
                      <w:highlight w:val="none"/>
                    </w:rPr>
                    <w:t>0VA</w:t>
                  </w:r>
                </w:p>
                <w:p>
                  <w:pPr>
                    <w:pStyle w:val="36"/>
                    <w:rPr>
                      <w:color w:val="auto"/>
                      <w:highlight w:val="none"/>
                    </w:rPr>
                  </w:pPr>
                  <w:r>
                    <w:rPr>
                      <w:rFonts w:hint="eastAsia"/>
                      <w:color w:val="auto"/>
                      <w:highlight w:val="none"/>
                    </w:rPr>
                    <w:t>（</w:t>
                  </w:r>
                  <w:r>
                    <w:rPr>
                      <w:color w:val="auto"/>
                      <w:highlight w:val="none"/>
                    </w:rPr>
                    <w:t>辅助锅炉房</w:t>
                  </w:r>
                  <w:r>
                    <w:rPr>
                      <w:rFonts w:hint="eastAsia"/>
                      <w:color w:val="auto"/>
                      <w:highlight w:val="none"/>
                    </w:rPr>
                    <w:t>）</w:t>
                  </w:r>
                </w:p>
              </w:tc>
              <w:tc>
                <w:tcPr>
                  <w:tcW w:w="699" w:type="pct"/>
                  <w:vAlign w:val="center"/>
                </w:tcPr>
                <w:p>
                  <w:pPr>
                    <w:pStyle w:val="36"/>
                    <w:rPr>
                      <w:color w:val="auto"/>
                      <w:highlight w:val="none"/>
                    </w:rPr>
                  </w:pPr>
                  <w:r>
                    <w:rPr>
                      <w:color w:val="auto"/>
                      <w:highlight w:val="none"/>
                    </w:rPr>
                    <w:t>锅炉间、设备间、除氧间排水</w:t>
                  </w:r>
                  <w:r>
                    <w:rPr>
                      <w:rFonts w:hint="eastAsia"/>
                      <w:color w:val="auto"/>
                      <w:highlight w:val="none"/>
                    </w:rPr>
                    <w:t>，</w:t>
                  </w:r>
                  <w:r>
                    <w:rPr>
                      <w:color w:val="auto"/>
                      <w:highlight w:val="none"/>
                    </w:rPr>
                    <w:t>通过室外降温池降温后的外排水。</w:t>
                  </w:r>
                </w:p>
              </w:tc>
              <w:tc>
                <w:tcPr>
                  <w:tcW w:w="583" w:type="pct"/>
                  <w:vAlign w:val="center"/>
                </w:tcPr>
                <w:p>
                  <w:pPr>
                    <w:pStyle w:val="36"/>
                    <w:rPr>
                      <w:color w:val="auto"/>
                      <w:highlight w:val="none"/>
                    </w:rPr>
                  </w:pPr>
                  <w:r>
                    <w:rPr>
                      <w:color w:val="auto"/>
                      <w:highlight w:val="none"/>
                    </w:rPr>
                    <w:t>废水排入厂区雨水管网，最终排海。</w:t>
                  </w:r>
                </w:p>
              </w:tc>
              <w:tc>
                <w:tcPr>
                  <w:tcW w:w="1272" w:type="pct"/>
                  <w:vAlign w:val="center"/>
                </w:tcPr>
                <w:p>
                  <w:pPr>
                    <w:pStyle w:val="36"/>
                    <w:jc w:val="both"/>
                    <w:rPr>
                      <w:color w:val="auto"/>
                      <w:highlight w:val="none"/>
                    </w:rPr>
                  </w:pPr>
                  <w:r>
                    <w:rPr>
                      <w:color w:val="auto"/>
                      <w:highlight w:val="none"/>
                    </w:rPr>
                    <w:t>将出口检查井改接入新增废水管道上的检查井，排入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restart"/>
                  <w:vAlign w:val="center"/>
                </w:tcPr>
                <w:p>
                  <w:pPr>
                    <w:pStyle w:val="36"/>
                    <w:rPr>
                      <w:color w:val="auto"/>
                      <w:highlight w:val="none"/>
                    </w:rPr>
                  </w:pPr>
                  <w:r>
                    <w:rPr>
                      <w:color w:val="auto"/>
                      <w:highlight w:val="none"/>
                    </w:rPr>
                    <w:t>18</w:t>
                  </w:r>
                </w:p>
              </w:tc>
              <w:tc>
                <w:tcPr>
                  <w:tcW w:w="252" w:type="pct"/>
                  <w:vMerge w:val="continue"/>
                </w:tcPr>
                <w:p>
                  <w:pPr>
                    <w:pStyle w:val="36"/>
                    <w:rPr>
                      <w:color w:val="auto"/>
                      <w:highlight w:val="none"/>
                    </w:rPr>
                  </w:pPr>
                </w:p>
              </w:tc>
              <w:tc>
                <w:tcPr>
                  <w:tcW w:w="480" w:type="pct"/>
                  <w:vMerge w:val="restart"/>
                </w:tcPr>
                <w:p>
                  <w:pPr>
                    <w:pStyle w:val="36"/>
                    <w:rPr>
                      <w:color w:val="auto"/>
                      <w:highlight w:val="none"/>
                    </w:rPr>
                  </w:pPr>
                  <w:r>
                    <w:rPr>
                      <w:color w:val="auto"/>
                      <w:highlight w:val="none"/>
                    </w:rPr>
                    <w:t>空气压缩机房</w:t>
                  </w:r>
                </w:p>
              </w:tc>
              <w:tc>
                <w:tcPr>
                  <w:tcW w:w="756" w:type="pct"/>
                </w:tcPr>
                <w:p>
                  <w:pPr>
                    <w:pStyle w:val="36"/>
                    <w:rPr>
                      <w:color w:val="auto"/>
                      <w:highlight w:val="none"/>
                    </w:rPr>
                  </w:pPr>
                  <w:r>
                    <w:rPr>
                      <w:color w:val="auto"/>
                      <w:highlight w:val="none"/>
                    </w:rPr>
                    <w:t>7ZC</w:t>
                  </w:r>
                </w:p>
                <w:p>
                  <w:pPr>
                    <w:pStyle w:val="36"/>
                    <w:rPr>
                      <w:color w:val="auto"/>
                      <w:highlight w:val="none"/>
                    </w:rPr>
                  </w:pPr>
                  <w:r>
                    <w:rPr>
                      <w:rFonts w:hint="eastAsia"/>
                      <w:color w:val="auto"/>
                      <w:highlight w:val="none"/>
                    </w:rPr>
                    <w:t>（</w:t>
                  </w:r>
                  <w:r>
                    <w:rPr>
                      <w:color w:val="auto"/>
                      <w:highlight w:val="none"/>
                    </w:rPr>
                    <w:t>空气压缩机房</w:t>
                  </w:r>
                  <w:r>
                    <w:rPr>
                      <w:rFonts w:hint="eastAsia"/>
                      <w:color w:val="auto"/>
                      <w:highlight w:val="none"/>
                    </w:rPr>
                    <w:t>）</w:t>
                  </w:r>
                </w:p>
              </w:tc>
              <w:tc>
                <w:tcPr>
                  <w:tcW w:w="699" w:type="pct"/>
                  <w:vMerge w:val="restart"/>
                  <w:vAlign w:val="center"/>
                </w:tcPr>
                <w:p>
                  <w:pPr>
                    <w:pStyle w:val="36"/>
                    <w:rPr>
                      <w:color w:val="auto"/>
                      <w:highlight w:val="none"/>
                    </w:rPr>
                  </w:pPr>
                  <w:r>
                    <w:rPr>
                      <w:color w:val="auto"/>
                      <w:highlight w:val="none"/>
                    </w:rPr>
                    <w:t>冷却水管沟、室内排水沟、</w:t>
                  </w:r>
                  <w:r>
                    <w:rPr>
                      <w:rFonts w:hint="eastAsia"/>
                      <w:color w:val="auto"/>
                      <w:highlight w:val="none"/>
                    </w:rPr>
                    <w:t>空调机组</w:t>
                  </w:r>
                  <w:r>
                    <w:rPr>
                      <w:color w:val="auto"/>
                      <w:highlight w:val="none"/>
                    </w:rPr>
                    <w:t>、</w:t>
                  </w:r>
                  <w:r>
                    <w:rPr>
                      <w:rFonts w:hint="eastAsia"/>
                      <w:color w:val="auto"/>
                      <w:highlight w:val="none"/>
                    </w:rPr>
                    <w:t>水箱</w:t>
                  </w:r>
                  <w:r>
                    <w:rPr>
                      <w:color w:val="auto"/>
                      <w:highlight w:val="none"/>
                    </w:rPr>
                    <w:t>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将出口检查井改接入新增废水管道上的检查井，排入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restart"/>
                  <w:vAlign w:val="center"/>
                </w:tcPr>
                <w:p>
                  <w:pPr>
                    <w:pStyle w:val="36"/>
                    <w:rPr>
                      <w:color w:val="auto"/>
                      <w:highlight w:val="none"/>
                    </w:rPr>
                  </w:pPr>
                  <w:r>
                    <w:rPr>
                      <w:rFonts w:hint="eastAsia"/>
                      <w:color w:val="auto"/>
                      <w:highlight w:val="none"/>
                    </w:rPr>
                    <w:t>1927（序号3-39项检修废水合并共1927m</w:t>
                  </w:r>
                  <w:r>
                    <w:rPr>
                      <w:rFonts w:hint="eastAsia"/>
                      <w:color w:val="auto"/>
                      <w:highlight w:val="none"/>
                      <w:vertAlign w:val="superscript"/>
                    </w:rPr>
                    <w:t>3</w:t>
                  </w:r>
                  <w:r>
                    <w:rPr>
                      <w:rFonts w:hint="eastAsia"/>
                      <w:color w:val="auto"/>
                      <w:highlight w:val="none"/>
                    </w:rPr>
                    <w:t>/d）不包括海水冷却系统排水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Merge w:val="continue"/>
                  <w:vAlign w:val="center"/>
                </w:tcPr>
                <w:p>
                  <w:pPr>
                    <w:pStyle w:val="36"/>
                    <w:rPr>
                      <w:color w:val="auto"/>
                      <w:highlight w:val="none"/>
                    </w:rPr>
                  </w:pP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0ZC</w:t>
                  </w:r>
                </w:p>
                <w:p>
                  <w:pPr>
                    <w:pStyle w:val="36"/>
                    <w:rPr>
                      <w:color w:val="auto"/>
                      <w:highlight w:val="none"/>
                    </w:rPr>
                  </w:pPr>
                  <w:r>
                    <w:rPr>
                      <w:rFonts w:hint="eastAsia"/>
                      <w:color w:val="auto"/>
                      <w:highlight w:val="none"/>
                    </w:rPr>
                    <w:t>（</w:t>
                  </w:r>
                  <w:r>
                    <w:rPr>
                      <w:color w:val="auto"/>
                      <w:highlight w:val="none"/>
                    </w:rPr>
                    <w:t>空气压缩机房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19</w:t>
                  </w:r>
                </w:p>
              </w:tc>
              <w:tc>
                <w:tcPr>
                  <w:tcW w:w="252" w:type="pct"/>
                  <w:vMerge w:val="continue"/>
                </w:tcPr>
                <w:p>
                  <w:pPr>
                    <w:pStyle w:val="36"/>
                    <w:rPr>
                      <w:color w:val="auto"/>
                      <w:highlight w:val="none"/>
                    </w:rPr>
                  </w:pPr>
                </w:p>
              </w:tc>
              <w:tc>
                <w:tcPr>
                  <w:tcW w:w="480" w:type="pct"/>
                  <w:vMerge w:val="restart"/>
                  <w:vAlign w:val="center"/>
                </w:tcPr>
                <w:p>
                  <w:pPr>
                    <w:pStyle w:val="36"/>
                    <w:rPr>
                      <w:color w:val="auto"/>
                      <w:highlight w:val="none"/>
                    </w:rPr>
                  </w:pPr>
                  <w:r>
                    <w:rPr>
                      <w:color w:val="auto"/>
                      <w:highlight w:val="none"/>
                    </w:rPr>
                    <w:t>消防稳压间</w:t>
                  </w:r>
                </w:p>
              </w:tc>
              <w:tc>
                <w:tcPr>
                  <w:tcW w:w="756" w:type="pct"/>
                </w:tcPr>
                <w:p>
                  <w:pPr>
                    <w:pStyle w:val="36"/>
                    <w:rPr>
                      <w:color w:val="auto"/>
                      <w:highlight w:val="none"/>
                    </w:rPr>
                  </w:pPr>
                  <w:r>
                    <w:rPr>
                      <w:color w:val="auto"/>
                      <w:highlight w:val="none"/>
                    </w:rPr>
                    <w:t>8PA</w:t>
                  </w:r>
                </w:p>
                <w:p>
                  <w:pPr>
                    <w:pStyle w:val="36"/>
                    <w:rPr>
                      <w:color w:val="auto"/>
                      <w:highlight w:val="none"/>
                    </w:rPr>
                  </w:pPr>
                  <w:r>
                    <w:rPr>
                      <w:rFonts w:hint="eastAsia"/>
                      <w:color w:val="auto"/>
                      <w:highlight w:val="none"/>
                    </w:rPr>
                    <w:t>（</w:t>
                  </w:r>
                  <w:r>
                    <w:rPr>
                      <w:color w:val="auto"/>
                      <w:highlight w:val="none"/>
                    </w:rPr>
                    <w:t>消防稳压间</w:t>
                  </w:r>
                  <w:r>
                    <w:rPr>
                      <w:rFonts w:hint="eastAsia"/>
                      <w:color w:val="auto"/>
                      <w:highlight w:val="none"/>
                    </w:rPr>
                    <w:t>）</w:t>
                  </w:r>
                </w:p>
              </w:tc>
              <w:tc>
                <w:tcPr>
                  <w:tcW w:w="699" w:type="pct"/>
                  <w:vMerge w:val="restart"/>
                  <w:vAlign w:val="center"/>
                </w:tcPr>
                <w:p>
                  <w:pPr>
                    <w:pStyle w:val="36"/>
                    <w:rPr>
                      <w:color w:val="auto"/>
                      <w:highlight w:val="none"/>
                    </w:rPr>
                  </w:pPr>
                  <w:r>
                    <w:rPr>
                      <w:color w:val="auto"/>
                      <w:highlight w:val="none"/>
                    </w:rPr>
                    <w:t>系统检修排水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将出口检查井改接入新增废水管道上的检查井，排入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20</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7PF</w:t>
                  </w:r>
                </w:p>
                <w:p>
                  <w:pPr>
                    <w:pStyle w:val="36"/>
                    <w:rPr>
                      <w:color w:val="auto"/>
                      <w:highlight w:val="none"/>
                    </w:rPr>
                  </w:pPr>
                  <w:r>
                    <w:rPr>
                      <w:rFonts w:hint="eastAsia"/>
                      <w:color w:val="auto"/>
                      <w:highlight w:val="none"/>
                    </w:rPr>
                    <w:t>（</w:t>
                  </w:r>
                  <w:r>
                    <w:rPr>
                      <w:color w:val="auto"/>
                      <w:highlight w:val="none"/>
                    </w:rPr>
                    <w:t>消防稳压间</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21</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9PA</w:t>
                  </w:r>
                  <w:r>
                    <w:rPr>
                      <w:rFonts w:hint="eastAsia"/>
                      <w:color w:val="auto"/>
                      <w:highlight w:val="none"/>
                    </w:rPr>
                    <w:t>（</w:t>
                  </w:r>
                  <w:r>
                    <w:rPr>
                      <w:color w:val="auto"/>
                      <w:highlight w:val="none"/>
                    </w:rPr>
                    <w:t>消防稳压间</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22</w:t>
                  </w:r>
                </w:p>
              </w:tc>
              <w:tc>
                <w:tcPr>
                  <w:tcW w:w="252" w:type="pct"/>
                  <w:vMerge w:val="continue"/>
                </w:tcPr>
                <w:p>
                  <w:pPr>
                    <w:pStyle w:val="36"/>
                    <w:rPr>
                      <w:color w:val="auto"/>
                      <w:highlight w:val="none"/>
                    </w:rPr>
                  </w:pPr>
                </w:p>
              </w:tc>
              <w:tc>
                <w:tcPr>
                  <w:tcW w:w="480" w:type="pct"/>
                </w:tcPr>
                <w:p>
                  <w:pPr>
                    <w:pStyle w:val="36"/>
                    <w:rPr>
                      <w:color w:val="auto"/>
                      <w:highlight w:val="none"/>
                    </w:rPr>
                  </w:pPr>
                  <w:r>
                    <w:rPr>
                      <w:color w:val="auto"/>
                      <w:highlight w:val="none"/>
                    </w:rPr>
                    <w:t>沟道</w:t>
                  </w:r>
                </w:p>
              </w:tc>
              <w:tc>
                <w:tcPr>
                  <w:tcW w:w="756" w:type="pct"/>
                </w:tcPr>
                <w:p>
                  <w:pPr>
                    <w:pStyle w:val="36"/>
                    <w:rPr>
                      <w:color w:val="auto"/>
                      <w:highlight w:val="none"/>
                    </w:rPr>
                  </w:pPr>
                  <w:r>
                    <w:rPr>
                      <w:color w:val="auto"/>
                      <w:highlight w:val="none"/>
                    </w:rPr>
                    <w:t>9/8/7GB</w:t>
                  </w:r>
                  <w:r>
                    <w:rPr>
                      <w:rFonts w:hint="eastAsia"/>
                      <w:color w:val="auto"/>
                      <w:highlight w:val="none"/>
                    </w:rPr>
                    <w:t>（</w:t>
                  </w:r>
                  <w:r>
                    <w:rPr>
                      <w:color w:val="auto"/>
                      <w:highlight w:val="none"/>
                    </w:rPr>
                    <w:t>综合技术廊道</w:t>
                  </w:r>
                  <w:r>
                    <w:rPr>
                      <w:rFonts w:hint="eastAsia"/>
                      <w:color w:val="auto"/>
                      <w:highlight w:val="none"/>
                    </w:rPr>
                    <w:t>）</w:t>
                  </w:r>
                </w:p>
              </w:tc>
              <w:tc>
                <w:tcPr>
                  <w:tcW w:w="699" w:type="pct"/>
                  <w:vAlign w:val="center"/>
                </w:tcPr>
                <w:p>
                  <w:pPr>
                    <w:pStyle w:val="36"/>
                    <w:rPr>
                      <w:color w:val="auto"/>
                      <w:highlight w:val="none"/>
                    </w:rPr>
                  </w:pPr>
                  <w:r>
                    <w:rPr>
                      <w:color w:val="auto"/>
                      <w:highlight w:val="none"/>
                    </w:rPr>
                    <w:t>地面疏水、地坑排水（消防排水）；辅助蒸汽疏水（此疏水不用考虑7GB</w:t>
                  </w:r>
                  <w:r>
                    <w:rPr>
                      <w:rFonts w:hint="eastAsia"/>
                      <w:color w:val="auto"/>
                      <w:highlight w:val="none"/>
                    </w:rPr>
                    <w:t>（</w:t>
                  </w:r>
                  <w:r>
                    <w:rPr>
                      <w:color w:val="auto"/>
                      <w:highlight w:val="none"/>
                    </w:rPr>
                    <w:t>综合技术廊道</w:t>
                  </w:r>
                  <w:r>
                    <w:rPr>
                      <w:rFonts w:hint="eastAsia"/>
                      <w:color w:val="auto"/>
                      <w:highlight w:val="none"/>
                    </w:rPr>
                    <w:t>）</w:t>
                  </w:r>
                  <w:r>
                    <w:rPr>
                      <w:color w:val="auto"/>
                      <w:highlight w:val="none"/>
                    </w:rPr>
                    <w:t>部分）。</w:t>
                  </w:r>
                </w:p>
              </w:tc>
              <w:tc>
                <w:tcPr>
                  <w:tcW w:w="583" w:type="pct"/>
                  <w:vAlign w:val="center"/>
                </w:tcPr>
                <w:p>
                  <w:pPr>
                    <w:pStyle w:val="36"/>
                    <w:rPr>
                      <w:color w:val="auto"/>
                      <w:highlight w:val="none"/>
                    </w:rPr>
                  </w:pPr>
                  <w:r>
                    <w:rPr>
                      <w:color w:val="auto"/>
                      <w:highlight w:val="none"/>
                    </w:rPr>
                    <w:t>废水经泵提升排至室外雨水检查井后排入厂区雨水管网，最终排海。</w:t>
                  </w:r>
                </w:p>
              </w:tc>
              <w:tc>
                <w:tcPr>
                  <w:tcW w:w="1272" w:type="pct"/>
                  <w:vAlign w:val="center"/>
                </w:tcPr>
                <w:p>
                  <w:pPr>
                    <w:pStyle w:val="36"/>
                    <w:jc w:val="both"/>
                    <w:rPr>
                      <w:color w:val="auto"/>
                      <w:highlight w:val="none"/>
                    </w:rPr>
                  </w:pPr>
                  <w:r>
                    <w:rPr>
                      <w:color w:val="auto"/>
                      <w:highlight w:val="none"/>
                    </w:rPr>
                    <w:t>将出口检查井改接入新增废水管道上的检查井，排入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23</w:t>
                  </w:r>
                </w:p>
              </w:tc>
              <w:tc>
                <w:tcPr>
                  <w:tcW w:w="252" w:type="pct"/>
                  <w:vMerge w:val="restart"/>
                  <w:vAlign w:val="center"/>
                </w:tcPr>
                <w:p>
                  <w:pPr>
                    <w:pStyle w:val="36"/>
                    <w:rPr>
                      <w:color w:val="auto"/>
                      <w:highlight w:val="none"/>
                    </w:rPr>
                  </w:pPr>
                  <w:r>
                    <w:rPr>
                      <w:color w:val="auto"/>
                      <w:highlight w:val="none"/>
                    </w:rPr>
                    <w:t>大修或检修</w:t>
                  </w:r>
                  <w:r>
                    <w:rPr>
                      <w:rFonts w:hint="eastAsia"/>
                      <w:color w:val="auto"/>
                      <w:highlight w:val="none"/>
                    </w:rPr>
                    <w:t>排水</w:t>
                  </w:r>
                </w:p>
              </w:tc>
              <w:tc>
                <w:tcPr>
                  <w:tcW w:w="480" w:type="pct"/>
                  <w:vMerge w:val="restart"/>
                  <w:vAlign w:val="center"/>
                </w:tcPr>
                <w:p>
                  <w:pPr>
                    <w:pStyle w:val="36"/>
                    <w:rPr>
                      <w:color w:val="auto"/>
                      <w:highlight w:val="none"/>
                    </w:rPr>
                  </w:pPr>
                  <w:r>
                    <w:rPr>
                      <w:color w:val="auto"/>
                      <w:highlight w:val="none"/>
                    </w:rPr>
                    <w:t>沟道</w:t>
                  </w:r>
                </w:p>
              </w:tc>
              <w:tc>
                <w:tcPr>
                  <w:tcW w:w="756" w:type="pct"/>
                </w:tcPr>
                <w:p>
                  <w:pPr>
                    <w:pStyle w:val="36"/>
                    <w:rPr>
                      <w:color w:val="auto"/>
                      <w:highlight w:val="none"/>
                    </w:rPr>
                  </w:pPr>
                  <w:r>
                    <w:rPr>
                      <w:color w:val="auto"/>
                      <w:highlight w:val="none"/>
                    </w:rPr>
                    <w:t>5/6GF1TA-SL</w:t>
                  </w:r>
                  <w:r>
                    <w:rPr>
                      <w:rFonts w:hint="eastAsia"/>
                      <w:color w:val="auto"/>
                      <w:highlight w:val="none"/>
                    </w:rPr>
                    <w:t>（</w:t>
                  </w:r>
                  <w:r>
                    <w:rPr>
                      <w:color w:val="auto"/>
                      <w:highlight w:val="none"/>
                    </w:rPr>
                    <w:t>电缆沟</w:t>
                  </w:r>
                  <w:r>
                    <w:rPr>
                      <w:rFonts w:hint="eastAsia"/>
                      <w:color w:val="auto"/>
                      <w:highlight w:val="none"/>
                    </w:rPr>
                    <w:t>）</w:t>
                  </w:r>
                </w:p>
              </w:tc>
              <w:tc>
                <w:tcPr>
                  <w:tcW w:w="699" w:type="pct"/>
                  <w:vAlign w:val="center"/>
                </w:tcPr>
                <w:p>
                  <w:pPr>
                    <w:pStyle w:val="36"/>
                    <w:rPr>
                      <w:color w:val="auto"/>
                      <w:highlight w:val="none"/>
                    </w:rPr>
                  </w:pPr>
                  <w:r>
                    <w:rPr>
                      <w:color w:val="auto"/>
                      <w:highlight w:val="none"/>
                    </w:rPr>
                    <w:t>地面疏水、地坑排水（消防排水）等</w:t>
                  </w:r>
                </w:p>
              </w:tc>
              <w:tc>
                <w:tcPr>
                  <w:tcW w:w="583" w:type="pct"/>
                  <w:vAlign w:val="center"/>
                </w:tcPr>
                <w:p>
                  <w:pPr>
                    <w:pStyle w:val="36"/>
                    <w:rPr>
                      <w:color w:val="auto"/>
                      <w:highlight w:val="none"/>
                    </w:rPr>
                  </w:pPr>
                  <w:r>
                    <w:rPr>
                      <w:color w:val="auto"/>
                      <w:highlight w:val="none"/>
                    </w:rPr>
                    <w:t>废水经泵提升排至室外雨水检查井后排入厂区雨水管网，最终排海。</w:t>
                  </w:r>
                </w:p>
              </w:tc>
              <w:tc>
                <w:tcPr>
                  <w:tcW w:w="1272" w:type="pct"/>
                  <w:vAlign w:val="center"/>
                </w:tcPr>
                <w:p>
                  <w:pPr>
                    <w:pStyle w:val="36"/>
                    <w:jc w:val="both"/>
                    <w:rPr>
                      <w:color w:val="auto"/>
                      <w:highlight w:val="none"/>
                    </w:rPr>
                  </w:pPr>
                  <w:r>
                    <w:rPr>
                      <w:color w:val="auto"/>
                      <w:highlight w:val="none"/>
                    </w:rPr>
                    <w:t>将废水管道改接入新增废水管道上的检查井</w:t>
                  </w:r>
                  <w:r>
                    <w:rPr>
                      <w:rFonts w:hint="eastAsia"/>
                      <w:color w:val="auto"/>
                      <w:highlight w:val="none"/>
                    </w:rPr>
                    <w:t>，</w:t>
                  </w:r>
                  <w:r>
                    <w:rPr>
                      <w:color w:val="auto"/>
                      <w:highlight w:val="none"/>
                    </w:rPr>
                    <w:t>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24</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5/6GF2SL-NX</w:t>
                  </w:r>
                  <w:r>
                    <w:rPr>
                      <w:rFonts w:hint="eastAsia"/>
                      <w:color w:val="auto"/>
                      <w:highlight w:val="none"/>
                    </w:rPr>
                    <w:t>（</w:t>
                  </w:r>
                  <w:r>
                    <w:rPr>
                      <w:color w:val="auto"/>
                      <w:highlight w:val="none"/>
                    </w:rPr>
                    <w:t>电缆沟</w:t>
                  </w:r>
                  <w:r>
                    <w:rPr>
                      <w:rFonts w:hint="eastAsia"/>
                      <w:color w:val="auto"/>
                      <w:highlight w:val="none"/>
                    </w:rPr>
                    <w:t>）</w:t>
                  </w:r>
                </w:p>
              </w:tc>
              <w:tc>
                <w:tcPr>
                  <w:tcW w:w="699" w:type="pct"/>
                  <w:vAlign w:val="center"/>
                </w:tcPr>
                <w:p>
                  <w:pPr>
                    <w:pStyle w:val="36"/>
                    <w:rPr>
                      <w:color w:val="auto"/>
                      <w:highlight w:val="none"/>
                    </w:rPr>
                  </w:pPr>
                  <w:r>
                    <w:rPr>
                      <w:color w:val="auto"/>
                      <w:highlight w:val="none"/>
                    </w:rPr>
                    <w:t>地面疏水、地坑排水（消防排水）等</w:t>
                  </w:r>
                </w:p>
              </w:tc>
              <w:tc>
                <w:tcPr>
                  <w:tcW w:w="583" w:type="pct"/>
                  <w:vAlign w:val="center"/>
                </w:tcPr>
                <w:p>
                  <w:pPr>
                    <w:pStyle w:val="36"/>
                    <w:rPr>
                      <w:color w:val="auto"/>
                      <w:highlight w:val="none"/>
                    </w:rPr>
                  </w:pPr>
                  <w:r>
                    <w:rPr>
                      <w:color w:val="auto"/>
                      <w:highlight w:val="none"/>
                    </w:rPr>
                    <w:t>废水经泵提升排至室外雨水检查井后排入厂区雨水管网，最终排海。</w:t>
                  </w:r>
                </w:p>
              </w:tc>
              <w:tc>
                <w:tcPr>
                  <w:tcW w:w="1272" w:type="pct"/>
                  <w:vAlign w:val="center"/>
                </w:tcPr>
                <w:p>
                  <w:pPr>
                    <w:pStyle w:val="36"/>
                    <w:jc w:val="both"/>
                    <w:rPr>
                      <w:color w:val="auto"/>
                      <w:highlight w:val="none"/>
                    </w:rPr>
                  </w:pPr>
                  <w:r>
                    <w:rPr>
                      <w:color w:val="auto"/>
                      <w:highlight w:val="none"/>
                    </w:rPr>
                    <w:t>将废水管道改接入新增废水管道上的检查井</w:t>
                  </w:r>
                  <w:r>
                    <w:rPr>
                      <w:rFonts w:hint="eastAsia"/>
                      <w:color w:val="auto"/>
                      <w:highlight w:val="none"/>
                    </w:rPr>
                    <w:t>，</w:t>
                  </w:r>
                  <w:r>
                    <w:rPr>
                      <w:color w:val="auto"/>
                      <w:highlight w:val="none"/>
                    </w:rPr>
                    <w:t>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25</w:t>
                  </w:r>
                </w:p>
              </w:tc>
              <w:tc>
                <w:tcPr>
                  <w:tcW w:w="252" w:type="pct"/>
                  <w:vMerge w:val="continue"/>
                </w:tcPr>
                <w:p>
                  <w:pPr>
                    <w:pStyle w:val="36"/>
                    <w:rPr>
                      <w:color w:val="auto"/>
                      <w:highlight w:val="none"/>
                    </w:rPr>
                  </w:pPr>
                </w:p>
              </w:tc>
              <w:tc>
                <w:tcPr>
                  <w:tcW w:w="480" w:type="pct"/>
                  <w:vMerge w:val="restart"/>
                </w:tcPr>
                <w:p>
                  <w:pPr>
                    <w:pStyle w:val="36"/>
                    <w:rPr>
                      <w:color w:val="auto"/>
                      <w:highlight w:val="none"/>
                    </w:rPr>
                  </w:pPr>
                  <w:r>
                    <w:rPr>
                      <w:color w:val="auto"/>
                      <w:highlight w:val="none"/>
                    </w:rPr>
                    <w:t>柴油发电机厂房</w:t>
                  </w:r>
                </w:p>
              </w:tc>
              <w:tc>
                <w:tcPr>
                  <w:tcW w:w="756" w:type="pct"/>
                </w:tcPr>
                <w:p>
                  <w:pPr>
                    <w:pStyle w:val="36"/>
                    <w:rPr>
                      <w:color w:val="auto"/>
                      <w:highlight w:val="none"/>
                    </w:rPr>
                  </w:pPr>
                  <w:r>
                    <w:rPr>
                      <w:color w:val="auto"/>
                      <w:highlight w:val="none"/>
                    </w:rPr>
                    <w:t>1/2DU</w:t>
                  </w:r>
                  <w:r>
                    <w:rPr>
                      <w:rFonts w:hint="eastAsia"/>
                      <w:color w:val="auto"/>
                      <w:highlight w:val="none"/>
                    </w:rPr>
                    <w:t>（</w:t>
                  </w:r>
                  <w:r>
                    <w:rPr>
                      <w:color w:val="auto"/>
                      <w:highlight w:val="none"/>
                    </w:rPr>
                    <w:t>柴油发电机厂房</w:t>
                  </w:r>
                  <w:r>
                    <w:rPr>
                      <w:rFonts w:hint="eastAsia"/>
                      <w:color w:val="auto"/>
                      <w:highlight w:val="none"/>
                    </w:rPr>
                    <w:t>）</w:t>
                  </w:r>
                </w:p>
              </w:tc>
              <w:tc>
                <w:tcPr>
                  <w:tcW w:w="699" w:type="pct"/>
                  <w:vMerge w:val="restart"/>
                  <w:vAlign w:val="center"/>
                </w:tcPr>
                <w:p>
                  <w:pPr>
                    <w:pStyle w:val="36"/>
                    <w:rPr>
                      <w:color w:val="auto"/>
                      <w:highlight w:val="none"/>
                    </w:rPr>
                  </w:pPr>
                  <w:r>
                    <w:rPr>
                      <w:color w:val="auto"/>
                      <w:highlight w:val="none"/>
                    </w:rPr>
                    <w:t>雨淋阀组消防水、地坑排水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color w:val="auto"/>
                      <w:highlight w:val="none"/>
                    </w:rPr>
                    <w:t>1.排放到</w:t>
                  </w:r>
                  <w:r>
                    <w:rPr>
                      <w:rFonts w:hint="eastAsia"/>
                      <w:color w:val="auto"/>
                      <w:highlight w:val="none"/>
                    </w:rPr>
                    <w:t>污水管网</w:t>
                  </w:r>
                  <w:r>
                    <w:rPr>
                      <w:color w:val="auto"/>
                      <w:highlight w:val="none"/>
                    </w:rPr>
                    <w:t>的废水不进行改造；</w:t>
                  </w:r>
                </w:p>
                <w:p>
                  <w:pPr>
                    <w:pStyle w:val="36"/>
                    <w:jc w:val="both"/>
                    <w:rPr>
                      <w:color w:val="auto"/>
                      <w:highlight w:val="none"/>
                    </w:rPr>
                  </w:pPr>
                  <w:r>
                    <w:rPr>
                      <w:color w:val="auto"/>
                      <w:highlight w:val="none"/>
                    </w:rPr>
                    <w:t>2.排放到</w:t>
                  </w:r>
                  <w:r>
                    <w:rPr>
                      <w:rFonts w:hint="eastAsia"/>
                      <w:color w:val="auto"/>
                      <w:highlight w:val="none"/>
                    </w:rPr>
                    <w:t>雨水管网</w:t>
                  </w:r>
                  <w:r>
                    <w:rPr>
                      <w:color w:val="auto"/>
                      <w:highlight w:val="none"/>
                    </w:rPr>
                    <w:t>的废水进行雨废分离改造，排入</w:t>
                  </w:r>
                  <w:r>
                    <w:rPr>
                      <w:rFonts w:hint="eastAsia"/>
                      <w:color w:val="auto"/>
                      <w:highlight w:val="none"/>
                    </w:rPr>
                    <w:t>新建的</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26</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3/4DU</w:t>
                  </w:r>
                  <w:r>
                    <w:rPr>
                      <w:rFonts w:hint="eastAsia"/>
                      <w:color w:val="auto"/>
                      <w:highlight w:val="none"/>
                    </w:rPr>
                    <w:t>（</w:t>
                  </w:r>
                  <w:r>
                    <w:rPr>
                      <w:color w:val="auto"/>
                      <w:highlight w:val="none"/>
                    </w:rPr>
                    <w:t>柴油发电机厂房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27</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5/6DU</w:t>
                  </w:r>
                  <w:r>
                    <w:rPr>
                      <w:rFonts w:hint="eastAsia"/>
                      <w:color w:val="auto"/>
                      <w:highlight w:val="none"/>
                    </w:rPr>
                    <w:t>（</w:t>
                  </w:r>
                  <w:r>
                    <w:rPr>
                      <w:color w:val="auto"/>
                      <w:highlight w:val="none"/>
                    </w:rPr>
                    <w:t>柴油发电机厂房</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28</w:t>
                  </w:r>
                </w:p>
              </w:tc>
              <w:tc>
                <w:tcPr>
                  <w:tcW w:w="252" w:type="pct"/>
                  <w:vMerge w:val="continue"/>
                </w:tcPr>
                <w:p>
                  <w:pPr>
                    <w:pStyle w:val="36"/>
                    <w:rPr>
                      <w:color w:val="auto"/>
                      <w:highlight w:val="none"/>
                    </w:rPr>
                  </w:pPr>
                </w:p>
              </w:tc>
              <w:tc>
                <w:tcPr>
                  <w:tcW w:w="480" w:type="pct"/>
                  <w:vMerge w:val="restart"/>
                </w:tcPr>
                <w:p>
                  <w:pPr>
                    <w:pStyle w:val="36"/>
                    <w:rPr>
                      <w:color w:val="auto"/>
                      <w:highlight w:val="none"/>
                    </w:rPr>
                  </w:pPr>
                  <w:r>
                    <w:rPr>
                      <w:color w:val="auto"/>
                      <w:highlight w:val="none"/>
                    </w:rPr>
                    <w:t>电气厂房</w:t>
                  </w:r>
                </w:p>
              </w:tc>
              <w:tc>
                <w:tcPr>
                  <w:tcW w:w="756" w:type="pct"/>
                </w:tcPr>
                <w:p>
                  <w:pPr>
                    <w:pStyle w:val="36"/>
                    <w:rPr>
                      <w:color w:val="auto"/>
                      <w:highlight w:val="none"/>
                    </w:rPr>
                  </w:pPr>
                  <w:r>
                    <w:rPr>
                      <w:color w:val="auto"/>
                      <w:highlight w:val="none"/>
                    </w:rPr>
                    <w:t>1/2LX</w:t>
                  </w:r>
                </w:p>
                <w:p>
                  <w:pPr>
                    <w:pStyle w:val="36"/>
                    <w:rPr>
                      <w:color w:val="auto"/>
                      <w:highlight w:val="none"/>
                    </w:rPr>
                  </w:pPr>
                  <w:r>
                    <w:rPr>
                      <w:rFonts w:hint="eastAsia"/>
                      <w:color w:val="auto"/>
                      <w:highlight w:val="none"/>
                    </w:rPr>
                    <w:t>（电气厂房）</w:t>
                  </w:r>
                </w:p>
              </w:tc>
              <w:tc>
                <w:tcPr>
                  <w:tcW w:w="699" w:type="pct"/>
                  <w:vMerge w:val="restart"/>
                  <w:vAlign w:val="center"/>
                </w:tcPr>
                <w:p>
                  <w:pPr>
                    <w:pStyle w:val="36"/>
                    <w:rPr>
                      <w:color w:val="auto"/>
                      <w:highlight w:val="none"/>
                    </w:rPr>
                  </w:pPr>
                  <w:r>
                    <w:rPr>
                      <w:color w:val="auto"/>
                      <w:highlight w:val="none"/>
                    </w:rPr>
                    <w:t>设备冷凝水、房间地漏排水、消防排水</w:t>
                  </w:r>
                </w:p>
              </w:tc>
              <w:tc>
                <w:tcPr>
                  <w:tcW w:w="583" w:type="pct"/>
                  <w:vMerge w:val="restart"/>
                  <w:vAlign w:val="center"/>
                </w:tcPr>
                <w:p>
                  <w:pPr>
                    <w:pStyle w:val="36"/>
                    <w:rPr>
                      <w:color w:val="auto"/>
                      <w:highlight w:val="none"/>
                    </w:rPr>
                  </w:pPr>
                  <w:r>
                    <w:rPr>
                      <w:color w:val="auto"/>
                      <w:highlight w:val="none"/>
                    </w:rPr>
                    <w:t>经核岛厂房内的SEO（WSS</w:t>
                  </w:r>
                  <w:r>
                    <w:rPr>
                      <w:rFonts w:hint="eastAsia"/>
                      <w:color w:val="auto"/>
                      <w:highlight w:val="none"/>
                    </w:rPr>
                    <w:t>、电厂污水系统</w:t>
                  </w:r>
                  <w:r>
                    <w:rPr>
                      <w:color w:val="auto"/>
                      <w:highlight w:val="none"/>
                    </w:rPr>
                    <w:t>）管网收集后排入厂区的雨水管网或污水管网，最终排海</w:t>
                  </w:r>
                </w:p>
              </w:tc>
              <w:tc>
                <w:tcPr>
                  <w:tcW w:w="1272" w:type="pct"/>
                  <w:vMerge w:val="restart"/>
                  <w:vAlign w:val="center"/>
                </w:tcPr>
                <w:p>
                  <w:pPr>
                    <w:pStyle w:val="36"/>
                    <w:jc w:val="both"/>
                    <w:rPr>
                      <w:color w:val="auto"/>
                      <w:highlight w:val="none"/>
                    </w:rPr>
                  </w:pPr>
                  <w:r>
                    <w:rPr>
                      <w:color w:val="auto"/>
                      <w:highlight w:val="none"/>
                    </w:rPr>
                    <w:t>1.排放到</w:t>
                  </w:r>
                  <w:r>
                    <w:rPr>
                      <w:rFonts w:hint="eastAsia"/>
                      <w:color w:val="auto"/>
                      <w:highlight w:val="none"/>
                    </w:rPr>
                    <w:t>污水管网的</w:t>
                  </w:r>
                  <w:r>
                    <w:rPr>
                      <w:color w:val="auto"/>
                      <w:highlight w:val="none"/>
                    </w:rPr>
                    <w:t>废水不进行改造；</w:t>
                  </w:r>
                </w:p>
                <w:p>
                  <w:pPr>
                    <w:pStyle w:val="36"/>
                    <w:jc w:val="both"/>
                    <w:rPr>
                      <w:color w:val="auto"/>
                      <w:highlight w:val="none"/>
                    </w:rPr>
                  </w:pPr>
                  <w:r>
                    <w:rPr>
                      <w:color w:val="auto"/>
                      <w:highlight w:val="none"/>
                    </w:rPr>
                    <w:t>2.排放到</w:t>
                  </w:r>
                  <w:r>
                    <w:rPr>
                      <w:rFonts w:hint="eastAsia"/>
                      <w:color w:val="auto"/>
                      <w:highlight w:val="none"/>
                    </w:rPr>
                    <w:t>雨水管网</w:t>
                  </w:r>
                  <w:r>
                    <w:rPr>
                      <w:color w:val="auto"/>
                      <w:highlight w:val="none"/>
                    </w:rPr>
                    <w:t>的废水进行雨废分离改造，排入</w:t>
                  </w:r>
                  <w:r>
                    <w:rPr>
                      <w:rFonts w:hint="eastAsia"/>
                      <w:color w:val="auto"/>
                      <w:highlight w:val="none"/>
                    </w:rPr>
                    <w:t>新建的</w:t>
                  </w:r>
                  <w:r>
                    <w:rPr>
                      <w:color w:val="auto"/>
                      <w:highlight w:val="none"/>
                    </w:rPr>
                    <w:t>废水处理站，处理达标后排入</w:t>
                  </w:r>
                  <w:r>
                    <w:rPr>
                      <w:rFonts w:hint="eastAsia"/>
                      <w:color w:val="auto"/>
                      <w:highlight w:val="none"/>
                    </w:rPr>
                    <w:t>8</w:t>
                  </w:r>
                  <w:r>
                    <w:rPr>
                      <w:color w:val="auto"/>
                      <w:highlight w:val="none"/>
                    </w:rPr>
                    <w:t>CC</w:t>
                  </w:r>
                  <w:r>
                    <w:rPr>
                      <w:rFonts w:hint="eastAsia"/>
                      <w:color w:val="auto"/>
                      <w:highlight w:val="none"/>
                    </w:rPr>
                    <w:t>（虹吸井和排水暗渠）</w:t>
                  </w:r>
                  <w:r>
                    <w:rPr>
                      <w:color w:val="auto"/>
                      <w:highlight w:val="none"/>
                    </w:rPr>
                    <w:t>井。</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29</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3/4LX</w:t>
                  </w:r>
                </w:p>
                <w:p>
                  <w:pPr>
                    <w:pStyle w:val="36"/>
                    <w:rPr>
                      <w:color w:val="auto"/>
                      <w:highlight w:val="none"/>
                    </w:rPr>
                  </w:pPr>
                  <w:r>
                    <w:rPr>
                      <w:rFonts w:hint="eastAsia"/>
                      <w:color w:val="auto"/>
                      <w:highlight w:val="none"/>
                    </w:rPr>
                    <w:t>（电气厂房）</w:t>
                  </w:r>
                </w:p>
              </w:tc>
              <w:tc>
                <w:tcPr>
                  <w:tcW w:w="699" w:type="pct"/>
                  <w:vMerge w:val="continue"/>
                </w:tcPr>
                <w:p>
                  <w:pPr>
                    <w:pStyle w:val="36"/>
                    <w:rPr>
                      <w:color w:val="auto"/>
                      <w:highlight w:val="none"/>
                    </w:rPr>
                  </w:pPr>
                </w:p>
              </w:tc>
              <w:tc>
                <w:tcPr>
                  <w:tcW w:w="583" w:type="pct"/>
                  <w:vMerge w:val="continue"/>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30</w:t>
                  </w:r>
                </w:p>
              </w:tc>
              <w:tc>
                <w:tcPr>
                  <w:tcW w:w="252" w:type="pct"/>
                  <w:vMerge w:val="continue"/>
                </w:tcPr>
                <w:p>
                  <w:pPr>
                    <w:pStyle w:val="36"/>
                    <w:rPr>
                      <w:color w:val="auto"/>
                      <w:highlight w:val="none"/>
                    </w:rPr>
                  </w:pPr>
                </w:p>
              </w:tc>
              <w:tc>
                <w:tcPr>
                  <w:tcW w:w="480" w:type="pct"/>
                  <w:vMerge w:val="continue"/>
                </w:tcPr>
                <w:p>
                  <w:pPr>
                    <w:pStyle w:val="36"/>
                    <w:rPr>
                      <w:color w:val="auto"/>
                      <w:highlight w:val="none"/>
                    </w:rPr>
                  </w:pPr>
                </w:p>
              </w:tc>
              <w:tc>
                <w:tcPr>
                  <w:tcW w:w="756" w:type="pct"/>
                </w:tcPr>
                <w:p>
                  <w:pPr>
                    <w:pStyle w:val="36"/>
                    <w:rPr>
                      <w:color w:val="auto"/>
                      <w:highlight w:val="none"/>
                    </w:rPr>
                  </w:pPr>
                  <w:r>
                    <w:rPr>
                      <w:color w:val="auto"/>
                      <w:highlight w:val="none"/>
                    </w:rPr>
                    <w:t>5/6LX</w:t>
                  </w:r>
                </w:p>
                <w:p>
                  <w:pPr>
                    <w:pStyle w:val="36"/>
                    <w:rPr>
                      <w:color w:val="auto"/>
                      <w:highlight w:val="none"/>
                    </w:rPr>
                  </w:pPr>
                  <w:r>
                    <w:rPr>
                      <w:rFonts w:hint="eastAsia"/>
                      <w:color w:val="auto"/>
                      <w:highlight w:val="none"/>
                    </w:rPr>
                    <w:t>（电气厂房）</w:t>
                  </w:r>
                </w:p>
              </w:tc>
              <w:tc>
                <w:tcPr>
                  <w:tcW w:w="699" w:type="pct"/>
                  <w:vMerge w:val="continue"/>
                </w:tcPr>
                <w:p>
                  <w:pPr>
                    <w:pStyle w:val="36"/>
                    <w:rPr>
                      <w:color w:val="auto"/>
                      <w:highlight w:val="none"/>
                    </w:rPr>
                  </w:pPr>
                </w:p>
              </w:tc>
              <w:tc>
                <w:tcPr>
                  <w:tcW w:w="583" w:type="pct"/>
                  <w:vMerge w:val="continue"/>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restart"/>
                </w:tcPr>
                <w:p>
                  <w:pPr>
                    <w:pStyle w:val="36"/>
                    <w:rPr>
                      <w:color w:val="auto"/>
                      <w:highlight w:val="none"/>
                    </w:rPr>
                  </w:pPr>
                  <w:r>
                    <w:rPr>
                      <w:rFonts w:hint="eastAsia"/>
                      <w:color w:val="auto"/>
                      <w:highlight w:val="none"/>
                    </w:rPr>
                    <w:t>1927（序号3-39项检修废水合并共1927m</w:t>
                  </w:r>
                  <w:r>
                    <w:rPr>
                      <w:rFonts w:hint="eastAsia"/>
                      <w:color w:val="auto"/>
                      <w:highlight w:val="none"/>
                      <w:vertAlign w:val="superscript"/>
                    </w:rPr>
                    <w:t>3</w:t>
                  </w:r>
                  <w:r>
                    <w:rPr>
                      <w:rFonts w:hint="eastAsia"/>
                      <w:color w:val="auto"/>
                      <w:highlight w:val="none"/>
                    </w:rPr>
                    <w:t>/d）不包括海水冷却系统排水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31</w:t>
                  </w:r>
                </w:p>
              </w:tc>
              <w:tc>
                <w:tcPr>
                  <w:tcW w:w="252" w:type="pct"/>
                  <w:vMerge w:val="restart"/>
                  <w:vAlign w:val="center"/>
                </w:tcPr>
                <w:p>
                  <w:pPr>
                    <w:pStyle w:val="36"/>
                    <w:rPr>
                      <w:color w:val="auto"/>
                      <w:highlight w:val="none"/>
                    </w:rPr>
                  </w:pPr>
                  <w:r>
                    <w:rPr>
                      <w:color w:val="auto"/>
                      <w:highlight w:val="none"/>
                    </w:rPr>
                    <w:t>大修或检修</w:t>
                  </w:r>
                </w:p>
                <w:p>
                  <w:pPr>
                    <w:pStyle w:val="36"/>
                    <w:rPr>
                      <w:color w:val="auto"/>
                      <w:highlight w:val="none"/>
                    </w:rPr>
                  </w:pPr>
                </w:p>
              </w:tc>
              <w:tc>
                <w:tcPr>
                  <w:tcW w:w="480" w:type="pct"/>
                  <w:vAlign w:val="center"/>
                </w:tcPr>
                <w:p>
                  <w:pPr>
                    <w:pStyle w:val="36"/>
                    <w:rPr>
                      <w:color w:val="auto"/>
                      <w:highlight w:val="none"/>
                    </w:rPr>
                  </w:pPr>
                  <w:r>
                    <w:rPr>
                      <w:color w:val="auto"/>
                      <w:highlight w:val="none"/>
                    </w:rPr>
                    <w:t>备品备件仓库</w:t>
                  </w:r>
                </w:p>
              </w:tc>
              <w:tc>
                <w:tcPr>
                  <w:tcW w:w="756" w:type="pct"/>
                  <w:vAlign w:val="center"/>
                </w:tcPr>
                <w:p>
                  <w:pPr>
                    <w:pStyle w:val="36"/>
                    <w:rPr>
                      <w:color w:val="auto"/>
                      <w:highlight w:val="none"/>
                    </w:rPr>
                  </w:pPr>
                  <w:r>
                    <w:rPr>
                      <w:color w:val="auto"/>
                      <w:highlight w:val="none"/>
                    </w:rPr>
                    <w:t>9AB1</w:t>
                  </w:r>
                </w:p>
                <w:p>
                  <w:pPr>
                    <w:pStyle w:val="36"/>
                    <w:rPr>
                      <w:color w:val="auto"/>
                      <w:highlight w:val="none"/>
                    </w:rPr>
                  </w:pPr>
                  <w:r>
                    <w:rPr>
                      <w:rFonts w:hint="eastAsia"/>
                      <w:color w:val="auto"/>
                      <w:highlight w:val="none"/>
                    </w:rPr>
                    <w:t>（</w:t>
                  </w:r>
                  <w:r>
                    <w:rPr>
                      <w:color w:val="auto"/>
                      <w:highlight w:val="none"/>
                    </w:rPr>
                    <w:t>备品备件仓库</w:t>
                  </w:r>
                  <w:r>
                    <w:rPr>
                      <w:rFonts w:hint="eastAsia"/>
                      <w:color w:val="auto"/>
                      <w:highlight w:val="none"/>
                    </w:rPr>
                    <w:t>）</w:t>
                  </w:r>
                </w:p>
              </w:tc>
              <w:tc>
                <w:tcPr>
                  <w:tcW w:w="699" w:type="pct"/>
                  <w:vAlign w:val="center"/>
                </w:tcPr>
                <w:p>
                  <w:pPr>
                    <w:pStyle w:val="36"/>
                    <w:rPr>
                      <w:color w:val="auto"/>
                      <w:highlight w:val="none"/>
                    </w:rPr>
                  </w:pPr>
                  <w:r>
                    <w:rPr>
                      <w:color w:val="auto"/>
                      <w:highlight w:val="none"/>
                    </w:rPr>
                    <w:t>地面疏水</w:t>
                  </w:r>
                </w:p>
              </w:tc>
              <w:tc>
                <w:tcPr>
                  <w:tcW w:w="583" w:type="pct"/>
                  <w:vAlign w:val="center"/>
                </w:tcPr>
                <w:p>
                  <w:pPr>
                    <w:pStyle w:val="36"/>
                    <w:rPr>
                      <w:color w:val="auto"/>
                      <w:highlight w:val="none"/>
                    </w:rPr>
                  </w:pPr>
                  <w:r>
                    <w:rPr>
                      <w:color w:val="auto"/>
                      <w:highlight w:val="none"/>
                    </w:rPr>
                    <w:t>废水排入厂区雨水管网，最终排海。</w:t>
                  </w:r>
                </w:p>
              </w:tc>
              <w:tc>
                <w:tcPr>
                  <w:tcW w:w="1272" w:type="pct"/>
                  <w:vAlign w:val="center"/>
                </w:tcPr>
                <w:p>
                  <w:pPr>
                    <w:pStyle w:val="36"/>
                    <w:jc w:val="both"/>
                    <w:rPr>
                      <w:color w:val="auto"/>
                      <w:highlight w:val="none"/>
                    </w:rPr>
                  </w:pPr>
                  <w:r>
                    <w:rPr>
                      <w:rFonts w:hint="eastAsia"/>
                      <w:color w:val="auto"/>
                      <w:highlight w:val="none"/>
                    </w:rPr>
                    <w:t>新建</w:t>
                  </w:r>
                  <w:r>
                    <w:rPr>
                      <w:color w:val="auto"/>
                      <w:highlight w:val="none"/>
                    </w:rPr>
                    <w:t>集水池，收集1、2号机组</w:t>
                  </w:r>
                  <w:r>
                    <w:rPr>
                      <w:rFonts w:hint="eastAsia"/>
                      <w:color w:val="auto"/>
                      <w:highlight w:val="none"/>
                    </w:rPr>
                    <w:t>各类仓库</w:t>
                  </w:r>
                  <w:r>
                    <w:rPr>
                      <w:color w:val="auto"/>
                      <w:highlight w:val="none"/>
                    </w:rPr>
                    <w:t>地面疏水汇入集水池后采用临时措施排入生产废水检查井后汇入废水处理站处理达标后排放。</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32</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化学试剂库</w:t>
                  </w:r>
                </w:p>
              </w:tc>
              <w:tc>
                <w:tcPr>
                  <w:tcW w:w="756" w:type="pct"/>
                  <w:vAlign w:val="center"/>
                </w:tcPr>
                <w:p>
                  <w:pPr>
                    <w:pStyle w:val="36"/>
                    <w:rPr>
                      <w:color w:val="auto"/>
                      <w:highlight w:val="none"/>
                    </w:rPr>
                  </w:pPr>
                  <w:r>
                    <w:rPr>
                      <w:color w:val="auto"/>
                      <w:highlight w:val="none"/>
                    </w:rPr>
                    <w:t>AX1</w:t>
                  </w:r>
                  <w:r>
                    <w:rPr>
                      <w:rFonts w:hint="eastAsia"/>
                      <w:color w:val="auto"/>
                      <w:highlight w:val="none"/>
                    </w:rPr>
                    <w:t>（</w:t>
                  </w:r>
                  <w:r>
                    <w:rPr>
                      <w:color w:val="auto"/>
                      <w:highlight w:val="none"/>
                    </w:rPr>
                    <w:t>化学试剂库</w:t>
                  </w:r>
                  <w:r>
                    <w:rPr>
                      <w:rFonts w:hint="eastAsia"/>
                      <w:color w:val="auto"/>
                      <w:highlight w:val="none"/>
                    </w:rPr>
                    <w:t>）</w:t>
                  </w:r>
                </w:p>
              </w:tc>
              <w:tc>
                <w:tcPr>
                  <w:tcW w:w="699" w:type="pct"/>
                  <w:vMerge w:val="restart"/>
                  <w:vAlign w:val="center"/>
                </w:tcPr>
                <w:p>
                  <w:pPr>
                    <w:pStyle w:val="36"/>
                    <w:rPr>
                      <w:color w:val="auto"/>
                      <w:highlight w:val="none"/>
                    </w:rPr>
                  </w:pPr>
                  <w:r>
                    <w:rPr>
                      <w:color w:val="auto"/>
                      <w:highlight w:val="none"/>
                    </w:rPr>
                    <w:t>洗眼器排水</w:t>
                  </w:r>
                </w:p>
              </w:tc>
              <w:tc>
                <w:tcPr>
                  <w:tcW w:w="583" w:type="pct"/>
                  <w:vMerge w:val="restart"/>
                  <w:vAlign w:val="center"/>
                </w:tcPr>
                <w:p>
                  <w:pPr>
                    <w:pStyle w:val="36"/>
                    <w:rPr>
                      <w:color w:val="auto"/>
                      <w:highlight w:val="none"/>
                    </w:rPr>
                  </w:pPr>
                  <w:r>
                    <w:rPr>
                      <w:color w:val="auto"/>
                      <w:highlight w:val="none"/>
                    </w:rPr>
                    <w:t>废水排入厂区雨水管网，最终排海</w:t>
                  </w:r>
                </w:p>
              </w:tc>
              <w:tc>
                <w:tcPr>
                  <w:tcW w:w="1272" w:type="pct"/>
                  <w:vMerge w:val="restart"/>
                  <w:vAlign w:val="center"/>
                </w:tcPr>
                <w:p>
                  <w:pPr>
                    <w:pStyle w:val="36"/>
                    <w:jc w:val="both"/>
                    <w:rPr>
                      <w:color w:val="auto"/>
                      <w:highlight w:val="none"/>
                    </w:rPr>
                  </w:pPr>
                  <w:r>
                    <w:rPr>
                      <w:rFonts w:hint="eastAsia"/>
                      <w:color w:val="auto"/>
                      <w:highlight w:val="none"/>
                    </w:rPr>
                    <w:t>新建</w:t>
                  </w:r>
                  <w:r>
                    <w:rPr>
                      <w:color w:val="auto"/>
                      <w:highlight w:val="none"/>
                    </w:rPr>
                    <w:t>集水池，收集AX3-AX6</w:t>
                  </w:r>
                  <w:r>
                    <w:rPr>
                      <w:rFonts w:hint="eastAsia"/>
                      <w:color w:val="auto"/>
                      <w:highlight w:val="none"/>
                    </w:rPr>
                    <w:t>（各类仓库代号）</w:t>
                  </w:r>
                  <w:r>
                    <w:rPr>
                      <w:color w:val="auto"/>
                      <w:highlight w:val="none"/>
                    </w:rPr>
                    <w:t>子项的洗眼器排水，采用临时措施排入生产废水检查井后汇入废水处理站处理达标后排放</w:t>
                  </w:r>
                  <w:r>
                    <w:rPr>
                      <w:rFonts w:hint="eastAsia"/>
                      <w:color w:val="auto"/>
                      <w:highlight w:val="none"/>
                    </w:rPr>
                    <w:t>。</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33</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化学危险品库</w:t>
                  </w:r>
                </w:p>
              </w:tc>
              <w:tc>
                <w:tcPr>
                  <w:tcW w:w="756" w:type="pct"/>
                  <w:vAlign w:val="center"/>
                </w:tcPr>
                <w:p>
                  <w:pPr>
                    <w:pStyle w:val="36"/>
                    <w:rPr>
                      <w:color w:val="auto"/>
                      <w:highlight w:val="none"/>
                    </w:rPr>
                  </w:pPr>
                  <w:r>
                    <w:rPr>
                      <w:color w:val="auto"/>
                      <w:highlight w:val="none"/>
                    </w:rPr>
                    <w:t>AX2</w:t>
                  </w:r>
                  <w:r>
                    <w:rPr>
                      <w:rFonts w:hint="eastAsia"/>
                      <w:color w:val="auto"/>
                      <w:highlight w:val="none"/>
                    </w:rPr>
                    <w:t>（</w:t>
                  </w:r>
                  <w:r>
                    <w:rPr>
                      <w:color w:val="auto"/>
                      <w:highlight w:val="none"/>
                    </w:rPr>
                    <w:t>化学危险品库</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34</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润滑油和油脂库</w:t>
                  </w:r>
                </w:p>
              </w:tc>
              <w:tc>
                <w:tcPr>
                  <w:tcW w:w="756" w:type="pct"/>
                  <w:vAlign w:val="center"/>
                </w:tcPr>
                <w:p>
                  <w:pPr>
                    <w:pStyle w:val="36"/>
                    <w:rPr>
                      <w:color w:val="auto"/>
                      <w:highlight w:val="none"/>
                    </w:rPr>
                  </w:pPr>
                  <w:r>
                    <w:rPr>
                      <w:color w:val="auto"/>
                      <w:highlight w:val="none"/>
                    </w:rPr>
                    <w:t>FC</w:t>
                  </w:r>
                  <w:r>
                    <w:rPr>
                      <w:rFonts w:hint="eastAsia"/>
                      <w:color w:val="auto"/>
                      <w:highlight w:val="none"/>
                    </w:rPr>
                    <w:t>（</w:t>
                  </w:r>
                  <w:r>
                    <w:rPr>
                      <w:color w:val="auto"/>
                      <w:highlight w:val="none"/>
                    </w:rPr>
                    <w:t>润滑油和油脂库</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35</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化学品库1</w:t>
                  </w:r>
                </w:p>
              </w:tc>
              <w:tc>
                <w:tcPr>
                  <w:tcW w:w="756" w:type="pct"/>
                  <w:vAlign w:val="center"/>
                </w:tcPr>
                <w:p>
                  <w:pPr>
                    <w:pStyle w:val="36"/>
                    <w:rPr>
                      <w:color w:val="auto"/>
                      <w:highlight w:val="none"/>
                    </w:rPr>
                  </w:pPr>
                  <w:r>
                    <w:rPr>
                      <w:color w:val="auto"/>
                      <w:highlight w:val="none"/>
                    </w:rPr>
                    <w:t>AX3</w:t>
                  </w:r>
                  <w:r>
                    <w:rPr>
                      <w:rFonts w:hint="eastAsia"/>
                      <w:color w:val="auto"/>
                      <w:highlight w:val="none"/>
                    </w:rPr>
                    <w:t>（</w:t>
                  </w:r>
                  <w:r>
                    <w:rPr>
                      <w:color w:val="auto"/>
                      <w:highlight w:val="none"/>
                    </w:rPr>
                    <w:t>化学品库1</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36</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气体库1</w:t>
                  </w:r>
                </w:p>
              </w:tc>
              <w:tc>
                <w:tcPr>
                  <w:tcW w:w="756" w:type="pct"/>
                </w:tcPr>
                <w:p>
                  <w:pPr>
                    <w:pStyle w:val="36"/>
                    <w:rPr>
                      <w:color w:val="auto"/>
                      <w:highlight w:val="none"/>
                    </w:rPr>
                  </w:pPr>
                  <w:r>
                    <w:rPr>
                      <w:color w:val="auto"/>
                      <w:highlight w:val="none"/>
                    </w:rPr>
                    <w:t>AX4</w:t>
                  </w:r>
                  <w:r>
                    <w:rPr>
                      <w:rFonts w:hint="eastAsia"/>
                      <w:color w:val="auto"/>
                      <w:highlight w:val="none"/>
                    </w:rPr>
                    <w:t>（</w:t>
                  </w:r>
                  <w:r>
                    <w:rPr>
                      <w:color w:val="auto"/>
                      <w:highlight w:val="none"/>
                    </w:rPr>
                    <w:t>气体库1</w:t>
                  </w:r>
                  <w:r>
                    <w:rPr>
                      <w:rFonts w:hint="eastAsia"/>
                      <w:color w:val="auto"/>
                      <w:highlight w:val="none"/>
                    </w:rPr>
                    <w:t>）</w:t>
                  </w:r>
                </w:p>
              </w:tc>
              <w:tc>
                <w:tcPr>
                  <w:tcW w:w="699" w:type="pct"/>
                  <w:vMerge w:val="restart"/>
                  <w:vAlign w:val="center"/>
                </w:tcPr>
                <w:p>
                  <w:pPr>
                    <w:pStyle w:val="36"/>
                    <w:rPr>
                      <w:color w:val="auto"/>
                      <w:highlight w:val="none"/>
                    </w:rPr>
                  </w:pPr>
                  <w:r>
                    <w:rPr>
                      <w:rFonts w:hint="eastAsia"/>
                      <w:color w:val="auto"/>
                      <w:highlight w:val="none"/>
                    </w:rPr>
                    <w:t>检修</w:t>
                  </w:r>
                  <w:r>
                    <w:rPr>
                      <w:color w:val="auto"/>
                      <w:highlight w:val="none"/>
                    </w:rPr>
                    <w:t>排水和溢流水</w:t>
                  </w:r>
                </w:p>
              </w:tc>
              <w:tc>
                <w:tcPr>
                  <w:tcW w:w="583" w:type="pct"/>
                  <w:vMerge w:val="restart"/>
                  <w:vAlign w:val="center"/>
                </w:tcPr>
                <w:p>
                  <w:pPr>
                    <w:pStyle w:val="36"/>
                    <w:rPr>
                      <w:color w:val="auto"/>
                      <w:highlight w:val="none"/>
                    </w:rPr>
                  </w:pPr>
                </w:p>
              </w:tc>
              <w:tc>
                <w:tcPr>
                  <w:tcW w:w="1272" w:type="pct"/>
                  <w:vMerge w:val="restart"/>
                  <w:vAlign w:val="center"/>
                </w:tcPr>
                <w:p>
                  <w:pPr>
                    <w:pStyle w:val="36"/>
                    <w:jc w:val="both"/>
                    <w:rPr>
                      <w:color w:val="auto"/>
                      <w:highlight w:val="none"/>
                    </w:rPr>
                  </w:pPr>
                  <w:r>
                    <w:rPr>
                      <w:rFonts w:hint="eastAsia"/>
                      <w:color w:val="auto"/>
                      <w:highlight w:val="none"/>
                    </w:rPr>
                    <w:t>将</w:t>
                  </w:r>
                  <w:r>
                    <w:rPr>
                      <w:color w:val="auto"/>
                      <w:highlight w:val="none"/>
                    </w:rPr>
                    <w:t>出口检查井</w:t>
                  </w:r>
                  <w:r>
                    <w:rPr>
                      <w:rFonts w:hint="eastAsia"/>
                      <w:color w:val="auto"/>
                      <w:highlight w:val="none"/>
                    </w:rPr>
                    <w:t>改</w:t>
                  </w:r>
                  <w:r>
                    <w:rPr>
                      <w:color w:val="auto"/>
                      <w:highlight w:val="none"/>
                    </w:rPr>
                    <w:t>接入新增废水管道上的检查井，排</w:t>
                  </w:r>
                  <w:r>
                    <w:rPr>
                      <w:rFonts w:hint="eastAsia"/>
                      <w:color w:val="auto"/>
                      <w:highlight w:val="none"/>
                    </w:rPr>
                    <w:t>入新建的</w:t>
                  </w:r>
                  <w:r>
                    <w:rPr>
                      <w:color w:val="auto"/>
                      <w:highlight w:val="none"/>
                    </w:rPr>
                    <w:t>非放射性废水处理站，处理达标后排</w:t>
                  </w:r>
                  <w:r>
                    <w:rPr>
                      <w:rFonts w:hint="eastAsia"/>
                      <w:color w:val="auto"/>
                      <w:highlight w:val="none"/>
                    </w:rPr>
                    <w:t>放。</w:t>
                  </w: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lang w:eastAsia="en-US"/>
                    </w:rPr>
                  </w:pPr>
                  <w:r>
                    <w:rPr>
                      <w:color w:val="auto"/>
                      <w:highlight w:val="none"/>
                    </w:rPr>
                    <w:t>37</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化学品库2</w:t>
                  </w:r>
                </w:p>
              </w:tc>
              <w:tc>
                <w:tcPr>
                  <w:tcW w:w="756" w:type="pct"/>
                </w:tcPr>
                <w:p>
                  <w:pPr>
                    <w:pStyle w:val="36"/>
                    <w:rPr>
                      <w:color w:val="auto"/>
                      <w:highlight w:val="none"/>
                    </w:rPr>
                  </w:pPr>
                  <w:r>
                    <w:rPr>
                      <w:color w:val="auto"/>
                      <w:highlight w:val="none"/>
                    </w:rPr>
                    <w:t>AX5</w:t>
                  </w:r>
                  <w:r>
                    <w:rPr>
                      <w:rFonts w:hint="eastAsia"/>
                      <w:color w:val="auto"/>
                      <w:highlight w:val="none"/>
                    </w:rPr>
                    <w:t>（</w:t>
                  </w:r>
                  <w:r>
                    <w:rPr>
                      <w:color w:val="auto"/>
                      <w:highlight w:val="none"/>
                    </w:rPr>
                    <w:t>化学品库2</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rPr>
                  </w:pPr>
                  <w:r>
                    <w:rPr>
                      <w:rFonts w:hint="eastAsia"/>
                      <w:color w:val="auto"/>
                      <w:highlight w:val="none"/>
                    </w:rPr>
                    <w:t>38</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气体库2</w:t>
                  </w:r>
                </w:p>
              </w:tc>
              <w:tc>
                <w:tcPr>
                  <w:tcW w:w="756" w:type="pct"/>
                </w:tcPr>
                <w:p>
                  <w:pPr>
                    <w:pStyle w:val="36"/>
                    <w:rPr>
                      <w:color w:val="auto"/>
                      <w:highlight w:val="none"/>
                    </w:rPr>
                  </w:pPr>
                  <w:r>
                    <w:rPr>
                      <w:color w:val="auto"/>
                      <w:highlight w:val="none"/>
                    </w:rPr>
                    <w:t>AX6</w:t>
                  </w:r>
                  <w:r>
                    <w:rPr>
                      <w:rFonts w:hint="eastAsia"/>
                      <w:color w:val="auto"/>
                      <w:highlight w:val="none"/>
                    </w:rPr>
                    <w:t>（</w:t>
                  </w:r>
                  <w:r>
                    <w:rPr>
                      <w:color w:val="auto"/>
                      <w:highlight w:val="none"/>
                    </w:rPr>
                    <w:t>气体库2</w:t>
                  </w:r>
                  <w:r>
                    <w:rPr>
                      <w:rFonts w:hint="eastAsia"/>
                      <w:color w:val="auto"/>
                      <w:highlight w:val="none"/>
                    </w:rPr>
                    <w:t>）</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rPr>
                  </w:pPr>
                  <w:r>
                    <w:rPr>
                      <w:rFonts w:hint="eastAsia"/>
                      <w:color w:val="auto"/>
                      <w:highlight w:val="none"/>
                    </w:rPr>
                    <w:t>39</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rFonts w:hint="eastAsia"/>
                      <w:color w:val="auto"/>
                      <w:highlight w:val="none"/>
                    </w:rPr>
                    <w:t>ATE/（TFC）精处理除盐水箱</w:t>
                  </w:r>
                </w:p>
              </w:tc>
              <w:tc>
                <w:tcPr>
                  <w:tcW w:w="756" w:type="pct"/>
                  <w:vAlign w:val="center"/>
                </w:tcPr>
                <w:p>
                  <w:pPr>
                    <w:pStyle w:val="36"/>
                    <w:rPr>
                      <w:color w:val="auto"/>
                      <w:highlight w:val="none"/>
                    </w:rPr>
                  </w:pPr>
                  <w:r>
                    <w:rPr>
                      <w:rFonts w:hint="eastAsia"/>
                      <w:color w:val="auto"/>
                      <w:highlight w:val="none"/>
                    </w:rPr>
                    <w:t>PB（凝结水精处理水箱）</w:t>
                  </w:r>
                </w:p>
              </w:tc>
              <w:tc>
                <w:tcPr>
                  <w:tcW w:w="699" w:type="pct"/>
                  <w:vMerge w:val="continue"/>
                  <w:vAlign w:val="center"/>
                </w:tcPr>
                <w:p>
                  <w:pPr>
                    <w:pStyle w:val="36"/>
                    <w:rPr>
                      <w:color w:val="auto"/>
                      <w:highlight w:val="none"/>
                    </w:rPr>
                  </w:pPr>
                </w:p>
              </w:tc>
              <w:tc>
                <w:tcPr>
                  <w:tcW w:w="583" w:type="pct"/>
                  <w:vMerge w:val="continue"/>
                  <w:vAlign w:val="center"/>
                </w:tcPr>
                <w:p>
                  <w:pPr>
                    <w:pStyle w:val="36"/>
                    <w:rPr>
                      <w:color w:val="auto"/>
                      <w:highlight w:val="none"/>
                    </w:rPr>
                  </w:pPr>
                </w:p>
              </w:tc>
              <w:tc>
                <w:tcPr>
                  <w:tcW w:w="1272" w:type="pct"/>
                  <w:vMerge w:val="continue"/>
                  <w:vAlign w:val="center"/>
                </w:tcPr>
                <w:p>
                  <w:pPr>
                    <w:pStyle w:val="36"/>
                    <w:jc w:val="both"/>
                    <w:rPr>
                      <w:color w:val="auto"/>
                      <w:highlight w:val="none"/>
                    </w:rPr>
                  </w:pPr>
                </w:p>
              </w:tc>
              <w:tc>
                <w:tcPr>
                  <w:tcW w:w="750"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03" w:type="pct"/>
                  <w:vAlign w:val="center"/>
                </w:tcPr>
                <w:p>
                  <w:pPr>
                    <w:pStyle w:val="36"/>
                    <w:rPr>
                      <w:color w:val="auto"/>
                      <w:highlight w:val="none"/>
                    </w:rPr>
                  </w:pPr>
                  <w:r>
                    <w:rPr>
                      <w:rFonts w:hint="eastAsia"/>
                      <w:color w:val="auto"/>
                      <w:highlight w:val="none"/>
                    </w:rPr>
                    <w:t>40</w:t>
                  </w:r>
                </w:p>
              </w:tc>
              <w:tc>
                <w:tcPr>
                  <w:tcW w:w="252" w:type="pct"/>
                  <w:vMerge w:val="continue"/>
                  <w:vAlign w:val="center"/>
                </w:tcPr>
                <w:p>
                  <w:pPr>
                    <w:pStyle w:val="36"/>
                    <w:rPr>
                      <w:color w:val="auto"/>
                      <w:highlight w:val="none"/>
                    </w:rPr>
                  </w:pPr>
                </w:p>
              </w:tc>
              <w:tc>
                <w:tcPr>
                  <w:tcW w:w="480" w:type="pct"/>
                  <w:vAlign w:val="center"/>
                </w:tcPr>
                <w:p>
                  <w:pPr>
                    <w:pStyle w:val="36"/>
                    <w:rPr>
                      <w:color w:val="auto"/>
                      <w:highlight w:val="none"/>
                    </w:rPr>
                  </w:pPr>
                  <w:r>
                    <w:rPr>
                      <w:color w:val="auto"/>
                      <w:highlight w:val="none"/>
                    </w:rPr>
                    <w:t>淡水厂</w:t>
                  </w:r>
                </w:p>
              </w:tc>
              <w:tc>
                <w:tcPr>
                  <w:tcW w:w="756" w:type="pct"/>
                  <w:vAlign w:val="center"/>
                </w:tcPr>
                <w:p>
                  <w:pPr>
                    <w:pStyle w:val="36"/>
                    <w:rPr>
                      <w:color w:val="auto"/>
                      <w:highlight w:val="none"/>
                    </w:rPr>
                  </w:pPr>
                  <w:r>
                    <w:rPr>
                      <w:color w:val="auto"/>
                      <w:highlight w:val="none"/>
                    </w:rPr>
                    <w:t>0OF</w:t>
                  </w:r>
                  <w:r>
                    <w:rPr>
                      <w:rFonts w:hint="eastAsia"/>
                      <w:color w:val="auto"/>
                      <w:highlight w:val="none"/>
                    </w:rPr>
                    <w:t>（</w:t>
                  </w:r>
                  <w:r>
                    <w:rPr>
                      <w:rFonts w:hint="eastAsia"/>
                      <w:color w:val="auto"/>
                      <w:highlight w:val="none"/>
                      <w:u w:val="single"/>
                    </w:rPr>
                    <w:t>淡水厂</w:t>
                  </w:r>
                  <w:r>
                    <w:rPr>
                      <w:rFonts w:hint="eastAsia"/>
                      <w:color w:val="auto"/>
                      <w:highlight w:val="none"/>
                    </w:rPr>
                    <w:t>）</w:t>
                  </w:r>
                </w:p>
              </w:tc>
              <w:tc>
                <w:tcPr>
                  <w:tcW w:w="699" w:type="pct"/>
                  <w:vAlign w:val="center"/>
                </w:tcPr>
                <w:p>
                  <w:pPr>
                    <w:pStyle w:val="36"/>
                    <w:rPr>
                      <w:color w:val="auto"/>
                      <w:highlight w:val="none"/>
                    </w:rPr>
                  </w:pPr>
                  <w:r>
                    <w:rPr>
                      <w:color w:val="auto"/>
                      <w:highlight w:val="none"/>
                    </w:rPr>
                    <w:t>原水管配水井溢流排水</w:t>
                  </w:r>
                </w:p>
              </w:tc>
              <w:tc>
                <w:tcPr>
                  <w:tcW w:w="583" w:type="pct"/>
                  <w:vAlign w:val="center"/>
                </w:tcPr>
                <w:p>
                  <w:pPr>
                    <w:pStyle w:val="36"/>
                    <w:rPr>
                      <w:color w:val="auto"/>
                      <w:highlight w:val="none"/>
                    </w:rPr>
                  </w:pPr>
                  <w:r>
                    <w:rPr>
                      <w:color w:val="auto"/>
                      <w:highlight w:val="none"/>
                    </w:rPr>
                    <w:t>配水井溢流、清水池溢流、滤池出水溢流、排水池溢流排水排入雨水管网，最终排海。</w:t>
                  </w:r>
                </w:p>
              </w:tc>
              <w:tc>
                <w:tcPr>
                  <w:tcW w:w="1272" w:type="pct"/>
                  <w:vAlign w:val="center"/>
                </w:tcPr>
                <w:p>
                  <w:pPr>
                    <w:pStyle w:val="36"/>
                    <w:jc w:val="both"/>
                    <w:rPr>
                      <w:color w:val="auto"/>
                      <w:highlight w:val="none"/>
                    </w:rPr>
                  </w:pPr>
                  <w:r>
                    <w:rPr>
                      <w:color w:val="auto"/>
                      <w:highlight w:val="none"/>
                    </w:rPr>
                    <w:t>1对出水管进行改造，通过独立管线排入7CC</w:t>
                  </w:r>
                  <w:r>
                    <w:rPr>
                      <w:rFonts w:hint="eastAsia"/>
                      <w:color w:val="auto"/>
                      <w:highlight w:val="none"/>
                      <w:u w:val="single"/>
                    </w:rPr>
                    <w:t>（虹吸井和排水暗渠）</w:t>
                  </w:r>
                  <w:r>
                    <w:rPr>
                      <w:color w:val="auto"/>
                      <w:highlight w:val="none"/>
                    </w:rPr>
                    <w:t>；2.清水池溢流水排至排水池；排水池保持现有回用功能，由原来3台40m</w:t>
                  </w:r>
                  <w:r>
                    <w:rPr>
                      <w:color w:val="auto"/>
                      <w:highlight w:val="none"/>
                      <w:vertAlign w:val="superscript"/>
                    </w:rPr>
                    <w:t>3</w:t>
                  </w:r>
                  <w:r>
                    <w:rPr>
                      <w:color w:val="auto"/>
                      <w:highlight w:val="none"/>
                    </w:rPr>
                    <w:t>/h的潜水泵改造为2台200m</w:t>
                  </w:r>
                  <w:r>
                    <w:rPr>
                      <w:color w:val="auto"/>
                      <w:highlight w:val="none"/>
                      <w:vertAlign w:val="superscript"/>
                    </w:rPr>
                    <w:t>3</w:t>
                  </w:r>
                  <w:r>
                    <w:rPr>
                      <w:color w:val="auto"/>
                      <w:highlight w:val="none"/>
                    </w:rPr>
                    <w:t>/h的潜水泵以提升回收能力，可同时满足重复利用和溢流的需求。取消排水池溢流至雨水井的功能；3.OF02</w:t>
                  </w:r>
                  <w:r>
                    <w:rPr>
                      <w:rFonts w:hint="eastAsia"/>
                      <w:color w:val="auto"/>
                      <w:highlight w:val="none"/>
                    </w:rPr>
                    <w:t>（</w:t>
                  </w:r>
                  <w:r>
                    <w:rPr>
                      <w:color w:val="auto"/>
                      <w:highlight w:val="none"/>
                    </w:rPr>
                    <w:t>集水坑排水及清洁室</w:t>
                  </w:r>
                  <w:r>
                    <w:rPr>
                      <w:rFonts w:hint="eastAsia"/>
                      <w:color w:val="auto"/>
                      <w:highlight w:val="none"/>
                    </w:rPr>
                    <w:t>）生活</w:t>
                  </w:r>
                  <w:r>
                    <w:rPr>
                      <w:color w:val="auto"/>
                      <w:highlight w:val="none"/>
                    </w:rPr>
                    <w:t>用水、OF04</w:t>
                  </w:r>
                  <w:r>
                    <w:rPr>
                      <w:rFonts w:hint="eastAsia"/>
                      <w:color w:val="auto"/>
                      <w:highlight w:val="none"/>
                    </w:rPr>
                    <w:t>（</w:t>
                  </w:r>
                  <w:r>
                    <w:rPr>
                      <w:color w:val="auto"/>
                      <w:highlight w:val="none"/>
                    </w:rPr>
                    <w:t>集水坑排水及清洁室</w:t>
                  </w:r>
                  <w:r>
                    <w:rPr>
                      <w:rFonts w:hint="eastAsia"/>
                      <w:color w:val="auto"/>
                      <w:highlight w:val="none"/>
                    </w:rPr>
                    <w:t>）生活</w:t>
                  </w:r>
                  <w:r>
                    <w:rPr>
                      <w:color w:val="auto"/>
                      <w:highlight w:val="none"/>
                    </w:rPr>
                    <w:t>用水、OF08</w:t>
                  </w:r>
                  <w:r>
                    <w:rPr>
                      <w:rFonts w:hint="eastAsia"/>
                      <w:color w:val="auto"/>
                      <w:highlight w:val="none"/>
                    </w:rPr>
                    <w:t>（</w:t>
                  </w:r>
                  <w:r>
                    <w:rPr>
                      <w:color w:val="auto"/>
                      <w:highlight w:val="none"/>
                    </w:rPr>
                    <w:t>污泥</w:t>
                  </w:r>
                  <w:r>
                    <w:rPr>
                      <w:rFonts w:hint="eastAsia"/>
                      <w:color w:val="auto"/>
                      <w:highlight w:val="none"/>
                    </w:rPr>
                    <w:t>厂房）</w:t>
                  </w:r>
                  <w:r>
                    <w:rPr>
                      <w:color w:val="auto"/>
                      <w:highlight w:val="none"/>
                    </w:rPr>
                    <w:t>脱水后出水、OF09</w:t>
                  </w:r>
                  <w:r>
                    <w:rPr>
                      <w:rFonts w:hint="eastAsia"/>
                      <w:color w:val="auto"/>
                      <w:highlight w:val="none"/>
                    </w:rPr>
                    <w:t>（</w:t>
                  </w:r>
                  <w:r>
                    <w:rPr>
                      <w:color w:val="auto"/>
                      <w:highlight w:val="none"/>
                    </w:rPr>
                    <w:t>清洁室</w:t>
                  </w:r>
                  <w:r>
                    <w:rPr>
                      <w:rFonts w:hint="eastAsia"/>
                      <w:color w:val="auto"/>
                      <w:highlight w:val="none"/>
                    </w:rPr>
                    <w:t>）生活</w:t>
                  </w:r>
                  <w:r>
                    <w:rPr>
                      <w:color w:val="auto"/>
                      <w:highlight w:val="none"/>
                    </w:rPr>
                    <w:t>用水改排放至生活污水管线，送至生活污水处理站进行处理。</w:t>
                  </w:r>
                </w:p>
              </w:tc>
              <w:tc>
                <w:tcPr>
                  <w:tcW w:w="750" w:type="pct"/>
                  <w:vAlign w:val="center"/>
                </w:tcPr>
                <w:p>
                  <w:pPr>
                    <w:pStyle w:val="36"/>
                    <w:rPr>
                      <w:color w:val="auto"/>
                      <w:highlight w:val="none"/>
                    </w:rPr>
                  </w:pPr>
                  <w:r>
                    <w:rPr>
                      <w:rFonts w:hint="eastAsia"/>
                      <w:color w:val="auto"/>
                      <w:highlight w:val="none"/>
                    </w:rPr>
                    <w:t>585</w:t>
                  </w:r>
                </w:p>
              </w:tc>
            </w:tr>
          </w:tbl>
          <w:p>
            <w:pPr>
              <w:pStyle w:val="37"/>
              <w:ind w:firstLine="482" w:firstLineChars="200"/>
              <w:rPr>
                <w:rFonts w:ascii="宋体" w:hAnsi="宋体" w:cs="宋体"/>
                <w:color w:val="auto"/>
                <w:sz w:val="24"/>
                <w:highlight w:val="none"/>
              </w:rPr>
            </w:pPr>
          </w:p>
          <w:p>
            <w:pPr>
              <w:pStyle w:val="8"/>
              <w:numPr>
                <w:ilvl w:val="0"/>
                <w:numId w:val="3"/>
              </w:numPr>
              <w:ind w:firstLine="450"/>
              <w:rPr>
                <w:rFonts w:ascii="宋体" w:hAnsi="宋体" w:cs="宋体"/>
                <w:b/>
                <w:bCs/>
                <w:color w:val="auto"/>
                <w:spacing w:val="-8"/>
                <w:highlight w:val="none"/>
              </w:rPr>
            </w:pPr>
            <w:r>
              <w:rPr>
                <w:rFonts w:hint="eastAsia" w:ascii="宋体" w:hAnsi="宋体" w:cs="宋体"/>
                <w:b/>
                <w:bCs/>
                <w:color w:val="auto"/>
                <w:spacing w:val="-8"/>
                <w:highlight w:val="none"/>
              </w:rPr>
              <w:t>建设工期及投资</w:t>
            </w:r>
          </w:p>
          <w:p>
            <w:pPr>
              <w:pStyle w:val="8"/>
              <w:rPr>
                <w:color w:val="auto"/>
                <w:highlight w:val="none"/>
              </w:rPr>
            </w:pPr>
            <w:r>
              <w:rPr>
                <w:rFonts w:hint="eastAsia"/>
                <w:color w:val="auto"/>
                <w:highlight w:val="none"/>
              </w:rPr>
              <w:t>项目总投资17000</w:t>
            </w:r>
            <w:r>
              <w:rPr>
                <w:rFonts w:hint="eastAsia"/>
                <w:color w:val="auto"/>
                <w:spacing w:val="-1"/>
                <w:highlight w:val="none"/>
              </w:rPr>
              <w:t>万元。</w:t>
            </w:r>
            <w:r>
              <w:rPr>
                <w:color w:val="auto"/>
                <w:highlight w:val="none"/>
              </w:rPr>
              <w:t>总工期为3</w:t>
            </w:r>
            <w:r>
              <w:rPr>
                <w:rFonts w:hint="eastAsia"/>
                <w:color w:val="auto"/>
                <w:highlight w:val="none"/>
              </w:rPr>
              <w:t>4</w:t>
            </w:r>
            <w:r>
              <w:rPr>
                <w:color w:val="auto"/>
                <w:highlight w:val="none"/>
              </w:rPr>
              <w:t>个月，</w:t>
            </w:r>
            <w:r>
              <w:rPr>
                <w:rFonts w:hint="eastAsia"/>
                <w:color w:val="auto"/>
                <w:highlight w:val="none"/>
              </w:rPr>
              <w:t>总体计划</w:t>
            </w:r>
            <w:r>
              <w:rPr>
                <w:color w:val="auto"/>
                <w:highlight w:val="none"/>
              </w:rPr>
              <w:t>如下：</w:t>
            </w:r>
          </w:p>
          <w:p>
            <w:pPr>
              <w:pStyle w:val="8"/>
              <w:numPr>
                <w:ilvl w:val="0"/>
                <w:numId w:val="4"/>
              </w:numPr>
              <w:ind w:firstLine="480"/>
              <w:rPr>
                <w:color w:val="auto"/>
                <w:highlight w:val="none"/>
              </w:rPr>
            </w:pPr>
            <w:r>
              <w:rPr>
                <w:color w:val="auto"/>
                <w:highlight w:val="none"/>
              </w:rPr>
              <w:t>废水处理站内雨废分离项目废水处理设施的土建施工、设备购置、安装及调试</w:t>
            </w:r>
            <w:r>
              <w:rPr>
                <w:rFonts w:hint="eastAsia"/>
                <w:color w:val="auto"/>
                <w:highlight w:val="none"/>
              </w:rPr>
              <w:t>，计划时间</w:t>
            </w:r>
            <w:r>
              <w:rPr>
                <w:color w:val="auto"/>
                <w:highlight w:val="none"/>
              </w:rPr>
              <w:t>：202</w:t>
            </w:r>
            <w:r>
              <w:rPr>
                <w:rFonts w:hint="eastAsia"/>
                <w:color w:val="auto"/>
                <w:highlight w:val="none"/>
              </w:rPr>
              <w:t>6</w:t>
            </w:r>
            <w:r>
              <w:rPr>
                <w:color w:val="auto"/>
                <w:highlight w:val="none"/>
              </w:rPr>
              <w:t>年1月</w:t>
            </w:r>
            <w:r>
              <w:rPr>
                <w:rFonts w:hint="eastAsia"/>
                <w:color w:val="auto"/>
                <w:highlight w:val="none"/>
              </w:rPr>
              <w:t>—</w:t>
            </w:r>
            <w:r>
              <w:rPr>
                <w:color w:val="auto"/>
                <w:highlight w:val="none"/>
              </w:rPr>
              <w:t>2027年</w:t>
            </w:r>
            <w:r>
              <w:rPr>
                <w:rFonts w:hint="eastAsia"/>
                <w:color w:val="auto"/>
                <w:highlight w:val="none"/>
              </w:rPr>
              <w:t>12</w:t>
            </w:r>
            <w:r>
              <w:rPr>
                <w:color w:val="auto"/>
                <w:highlight w:val="none"/>
              </w:rPr>
              <w:t>月。</w:t>
            </w:r>
          </w:p>
          <w:p>
            <w:pPr>
              <w:pStyle w:val="8"/>
              <w:numPr>
                <w:ilvl w:val="0"/>
                <w:numId w:val="3"/>
              </w:numPr>
              <w:ind w:firstLine="448"/>
              <w:rPr>
                <w:rFonts w:ascii="宋体" w:hAnsi="宋体" w:cs="宋体"/>
                <w:color w:val="auto"/>
                <w:spacing w:val="-8"/>
                <w:highlight w:val="none"/>
                <w:lang w:eastAsia="zh"/>
              </w:rPr>
            </w:pPr>
            <w:r>
              <w:rPr>
                <w:color w:val="auto"/>
                <w:highlight w:val="none"/>
              </w:rPr>
              <w:t>福清核电厂1~6号机组厂区雨废管网及子项改造的土建施工、设备购置、安装及调试</w:t>
            </w:r>
            <w:r>
              <w:rPr>
                <w:rFonts w:hint="eastAsia"/>
                <w:color w:val="auto"/>
                <w:highlight w:val="none"/>
              </w:rPr>
              <w:t>，计划时间</w:t>
            </w:r>
            <w:r>
              <w:rPr>
                <w:color w:val="auto"/>
                <w:highlight w:val="none"/>
              </w:rPr>
              <w:t>：202</w:t>
            </w:r>
            <w:r>
              <w:rPr>
                <w:rFonts w:hint="eastAsia"/>
                <w:color w:val="auto"/>
                <w:highlight w:val="none"/>
              </w:rPr>
              <w:t>6</w:t>
            </w:r>
            <w:r>
              <w:rPr>
                <w:color w:val="auto"/>
                <w:highlight w:val="none"/>
              </w:rPr>
              <w:t>年</w:t>
            </w:r>
            <w:r>
              <w:rPr>
                <w:rFonts w:hint="eastAsia"/>
                <w:color w:val="auto"/>
                <w:highlight w:val="none"/>
              </w:rPr>
              <w:t>2</w:t>
            </w:r>
            <w:r>
              <w:rPr>
                <w:color w:val="auto"/>
                <w:highlight w:val="none"/>
              </w:rPr>
              <w:t>月</w:t>
            </w:r>
            <w:r>
              <w:rPr>
                <w:rFonts w:hint="eastAsia"/>
                <w:color w:val="auto"/>
                <w:highlight w:val="none"/>
              </w:rPr>
              <w:t>—</w:t>
            </w:r>
            <w:r>
              <w:rPr>
                <w:color w:val="auto"/>
                <w:highlight w:val="none"/>
              </w:rPr>
              <w:t>2028年</w:t>
            </w:r>
            <w:r>
              <w:rPr>
                <w:rFonts w:hint="eastAsia"/>
                <w:color w:val="auto"/>
                <w:highlight w:val="none"/>
              </w:rPr>
              <w:t>12</w:t>
            </w:r>
            <w:r>
              <w:rPr>
                <w:color w:val="auto"/>
                <w:highlight w:val="none"/>
              </w:rPr>
              <w:t>月。</w:t>
            </w:r>
          </w:p>
          <w:p>
            <w:pPr>
              <w:pStyle w:val="8"/>
              <w:numPr>
                <w:ilvl w:val="0"/>
                <w:numId w:val="3"/>
              </w:numPr>
              <w:ind w:firstLine="448"/>
              <w:rPr>
                <w:rFonts w:ascii="宋体" w:hAnsi="宋体" w:cs="宋体"/>
                <w:color w:val="auto"/>
                <w:spacing w:val="-8"/>
                <w:highlight w:val="none"/>
                <w:lang w:eastAsia="zh"/>
              </w:rPr>
            </w:pPr>
            <w:r>
              <w:rPr>
                <w:rFonts w:hint="eastAsia" w:ascii="宋体" w:hAnsi="宋体" w:cs="宋体"/>
                <w:color w:val="auto"/>
                <w:spacing w:val="-8"/>
                <w:highlight w:val="none"/>
                <w:lang w:eastAsia="zh"/>
              </w:rPr>
              <w:t>主要技术指标</w:t>
            </w:r>
          </w:p>
          <w:p>
            <w:pPr>
              <w:pStyle w:val="8"/>
              <w:rPr>
                <w:color w:val="auto"/>
                <w:highlight w:val="none"/>
                <w:lang w:eastAsia="zh"/>
              </w:rPr>
            </w:pPr>
            <w:r>
              <w:rPr>
                <w:rFonts w:hint="eastAsia"/>
                <w:color w:val="auto"/>
                <w:highlight w:val="none"/>
              </w:rPr>
              <w:t>非放射性生产废水处理站建筑为地上一层，局部两层的工业建筑。主要建筑物面积2036.43m</w:t>
            </w:r>
            <w:r>
              <w:rPr>
                <w:rFonts w:hint="eastAsia"/>
                <w:color w:val="auto"/>
                <w:highlight w:val="none"/>
                <w:vertAlign w:val="superscript"/>
              </w:rPr>
              <w:t>2</w:t>
            </w:r>
            <w:r>
              <w:rPr>
                <w:rFonts w:hint="eastAsia"/>
                <w:color w:val="auto"/>
                <w:highlight w:val="none"/>
              </w:rPr>
              <w:t>。建筑耐火等级为二级，火灾危险性为丁类。结构形式为钢筋混凝土框架结构，结构设计工作年限50年</w:t>
            </w:r>
            <w:r>
              <w:rPr>
                <w:rFonts w:hint="eastAsia"/>
                <w:color w:val="auto"/>
                <w:highlight w:val="none"/>
                <w:lang w:eastAsia="zh"/>
              </w:rPr>
              <w:t>。</w:t>
            </w:r>
          </w:p>
          <w:p>
            <w:pPr>
              <w:pStyle w:val="8"/>
              <w:ind w:firstLine="482"/>
              <w:rPr>
                <w:b/>
                <w:bCs/>
                <w:color w:val="auto"/>
                <w:highlight w:val="none"/>
              </w:rPr>
            </w:pPr>
            <w:r>
              <w:rPr>
                <w:rFonts w:hint="eastAsia"/>
                <w:b/>
                <w:bCs/>
                <w:color w:val="auto"/>
                <w:highlight w:val="none"/>
              </w:rPr>
              <w:t>2.1.4非放射性废水的排放量测算及排放标准</w:t>
            </w:r>
          </w:p>
          <w:p>
            <w:pPr>
              <w:pStyle w:val="8"/>
              <w:rPr>
                <w:color w:val="auto"/>
                <w:highlight w:val="none"/>
              </w:rPr>
            </w:pPr>
            <w:r>
              <w:rPr>
                <w:rFonts w:hint="eastAsia"/>
                <w:color w:val="auto"/>
                <w:highlight w:val="none"/>
              </w:rPr>
              <w:t>（1）排放水量</w:t>
            </w:r>
          </w:p>
          <w:p>
            <w:pPr>
              <w:pStyle w:val="8"/>
              <w:tabs>
                <w:tab w:val="left" w:pos="7560"/>
              </w:tabs>
              <w:rPr>
                <w:color w:val="auto"/>
                <w:highlight w:val="none"/>
              </w:rPr>
            </w:pPr>
            <w:r>
              <w:rPr>
                <w:rFonts w:hint="eastAsia"/>
                <w:color w:val="auto"/>
                <w:highlight w:val="none"/>
              </w:rPr>
              <w:t>核电厂内产生的非放射性排水包括循环冷却水、生活污水和非放射性生产废水。6台机组的循环冷却水排水量348m</w:t>
            </w:r>
            <w:r>
              <w:rPr>
                <w:rFonts w:hint="eastAsia"/>
                <w:color w:val="auto"/>
                <w:highlight w:val="none"/>
                <w:vertAlign w:val="superscript"/>
              </w:rPr>
              <w:t>3</w:t>
            </w:r>
            <w:r>
              <w:rPr>
                <w:rFonts w:hint="eastAsia"/>
                <w:color w:val="auto"/>
                <w:highlight w:val="none"/>
              </w:rPr>
              <w:t>/s，生活污水经处理后汇入全厂的虹吸井，最终排入兴化湾，非放射性生产废水主要包括除盐处理过程产生的废水、非放射性含油废水（由汽机厂房、主变压器和降压变压器平台等子项产生）、非经常性排水（大修期间核岛、常规岛和BOP厂房产生的各类废水和日常运行期间产生的工业废水）。相对温排水量而言，生产废水占温排水的量很小（占比约0.02%），实际运行过程中随雨水混合排放，现状未监测生产废水的准确排放量，本报告中废水排放量测算主要依据已批复的环评资料和原设计工况，废水处理站处理规模不突破原环评的生产废水排放量。</w:t>
            </w:r>
          </w:p>
          <w:p>
            <w:pPr>
              <w:pStyle w:val="8"/>
              <w:tabs>
                <w:tab w:val="left" w:pos="7560"/>
              </w:tabs>
              <w:rPr>
                <w:color w:val="auto"/>
                <w:highlight w:val="none"/>
              </w:rPr>
            </w:pPr>
            <w:r>
              <w:rPr>
                <w:rFonts w:hint="eastAsia"/>
                <w:color w:val="auto"/>
                <w:highlight w:val="none"/>
              </w:rPr>
              <w:t>现结合《福建福清核电厂一、二号机组环境影响报告书（运行阶段）》《福建福清核电厂3、4号机组环境影响报告书（运行阶段）》《福建福清核电厂5、6号机组环境影响报告书（运行阶段）》，确定现有工程6台机组非放射性生产废水的日排放量为73</w:t>
            </w:r>
            <w:r>
              <w:rPr>
                <w:rFonts w:hint="eastAsia"/>
                <w:color w:val="auto"/>
                <w:highlight w:val="none"/>
                <w:lang w:eastAsia="zh"/>
              </w:rPr>
              <w:t>24</w:t>
            </w:r>
            <w:r>
              <w:rPr>
                <w:rFonts w:hint="eastAsia"/>
                <w:color w:val="auto"/>
                <w:highlight w:val="none"/>
              </w:rPr>
              <w:t>m</w:t>
            </w:r>
            <w:r>
              <w:rPr>
                <w:rFonts w:hint="eastAsia"/>
                <w:color w:val="auto"/>
                <w:highlight w:val="none"/>
                <w:vertAlign w:val="superscript"/>
              </w:rPr>
              <w:t>3</w:t>
            </w:r>
            <w:r>
              <w:rPr>
                <w:rFonts w:hint="eastAsia"/>
                <w:color w:val="auto"/>
                <w:highlight w:val="none"/>
              </w:rPr>
              <w:t>/d（见表2-4），</w:t>
            </w:r>
            <w:r>
              <w:rPr>
                <w:rFonts w:hint="eastAsia"/>
                <w:color w:val="auto"/>
                <w:highlight w:val="none"/>
                <w:u w:val="single"/>
              </w:rPr>
              <w:t>总水平衡图见附图12</w:t>
            </w:r>
            <w:r>
              <w:rPr>
                <w:rFonts w:hint="eastAsia"/>
                <w:color w:val="auto"/>
                <w:highlight w:val="none"/>
              </w:rPr>
              <w:t>（详见图2-1～图2-3和表2-4），其中585m</w:t>
            </w:r>
            <w:r>
              <w:rPr>
                <w:rFonts w:hint="eastAsia"/>
                <w:color w:val="auto"/>
                <w:highlight w:val="none"/>
                <w:vertAlign w:val="superscript"/>
              </w:rPr>
              <w:t>3</w:t>
            </w:r>
            <w:r>
              <w:rPr>
                <w:rFonts w:hint="eastAsia"/>
                <w:color w:val="auto"/>
                <w:highlight w:val="none"/>
              </w:rPr>
              <w:t>/d的淡水厂溢流排水水质类似原淡水，无需处理，不进入废水处理站，通过7CC排水口排出，剩余的67</w:t>
            </w:r>
            <w:r>
              <w:rPr>
                <w:rFonts w:hint="eastAsia"/>
                <w:color w:val="auto"/>
                <w:highlight w:val="none"/>
                <w:lang w:eastAsia="zh"/>
              </w:rPr>
              <w:t>39</w:t>
            </w:r>
            <w:r>
              <w:rPr>
                <w:rFonts w:hint="eastAsia"/>
                <w:color w:val="auto"/>
                <w:highlight w:val="none"/>
              </w:rPr>
              <w:t>m</w:t>
            </w:r>
            <w:r>
              <w:rPr>
                <w:rFonts w:hint="eastAsia"/>
                <w:color w:val="auto"/>
                <w:highlight w:val="none"/>
                <w:vertAlign w:val="superscript"/>
              </w:rPr>
              <w:t>3</w:t>
            </w:r>
            <w:r>
              <w:rPr>
                <w:rFonts w:hint="eastAsia"/>
                <w:color w:val="auto"/>
                <w:highlight w:val="none"/>
              </w:rPr>
              <w:t>/d进入废水处理站，设计废水处理站的规模确定为</w:t>
            </w:r>
            <w:r>
              <w:rPr>
                <w:rFonts w:hint="eastAsia"/>
                <w:color w:val="auto"/>
                <w:kern w:val="2"/>
                <w:highlight w:val="none"/>
              </w:rPr>
              <w:t>284m</w:t>
            </w:r>
            <w:r>
              <w:rPr>
                <w:rFonts w:hint="eastAsia"/>
                <w:color w:val="auto"/>
                <w:kern w:val="2"/>
                <w:highlight w:val="none"/>
                <w:vertAlign w:val="superscript"/>
              </w:rPr>
              <w:t>3</w:t>
            </w:r>
            <w:r>
              <w:rPr>
                <w:color w:val="auto"/>
                <w:kern w:val="2"/>
                <w:highlight w:val="none"/>
              </w:rPr>
              <w:t>/h</w:t>
            </w:r>
            <w:r>
              <w:rPr>
                <w:rFonts w:hint="eastAsia"/>
                <w:color w:val="auto"/>
                <w:kern w:val="2"/>
                <w:highlight w:val="none"/>
              </w:rPr>
              <w:t>，6800m</w:t>
            </w:r>
            <w:r>
              <w:rPr>
                <w:rFonts w:hint="eastAsia"/>
                <w:color w:val="auto"/>
                <w:kern w:val="2"/>
                <w:highlight w:val="none"/>
                <w:vertAlign w:val="superscript"/>
              </w:rPr>
              <w:t>3</w:t>
            </w:r>
            <w:r>
              <w:rPr>
                <w:color w:val="auto"/>
                <w:kern w:val="2"/>
                <w:highlight w:val="none"/>
              </w:rPr>
              <w:t>/</w:t>
            </w:r>
            <w:r>
              <w:rPr>
                <w:rFonts w:hint="eastAsia"/>
                <w:color w:val="auto"/>
                <w:kern w:val="2"/>
                <w:highlight w:val="none"/>
              </w:rPr>
              <w:t>d</w:t>
            </w:r>
            <w:r>
              <w:rPr>
                <w:rFonts w:hint="eastAsia"/>
                <w:color w:val="auto"/>
                <w:highlight w:val="none"/>
              </w:rPr>
              <w:t>。</w:t>
            </w:r>
          </w:p>
          <w:p>
            <w:pPr>
              <w:pStyle w:val="37"/>
              <w:ind w:firstLine="402" w:firstLineChars="200"/>
              <w:rPr>
                <w:color w:val="auto"/>
                <w:highlight w:val="none"/>
                <w:lang w:eastAsia="zh"/>
              </w:rPr>
            </w:pPr>
            <w:r>
              <w:rPr>
                <w:color w:val="auto"/>
                <w:highlight w:val="none"/>
              </w:rPr>
              <w:t>表</w:t>
            </w:r>
            <w:r>
              <w:rPr>
                <w:rFonts w:hint="eastAsia"/>
                <w:color w:val="auto"/>
                <w:highlight w:val="none"/>
              </w:rPr>
              <w:t>2-4福清核电1-6号机组排水量测算</w:t>
            </w:r>
            <w:r>
              <w:rPr>
                <w:rFonts w:hint="eastAsia"/>
                <w:color w:val="auto"/>
                <w:highlight w:val="none"/>
                <w:lang w:eastAsia="zh"/>
              </w:rPr>
              <w:t>（单位：m</w:t>
            </w:r>
            <w:r>
              <w:rPr>
                <w:rFonts w:hint="eastAsia"/>
                <w:color w:val="auto"/>
                <w:highlight w:val="none"/>
                <w:vertAlign w:val="superscript"/>
              </w:rPr>
              <w:t>3</w:t>
            </w:r>
            <w:r>
              <w:rPr>
                <w:rFonts w:hint="eastAsia"/>
                <w:color w:val="auto"/>
                <w:highlight w:val="none"/>
                <w:lang w:eastAsia="zh"/>
              </w:rPr>
              <w:t>/d</w:t>
            </w:r>
            <w:r>
              <w:rPr>
                <w:rFonts w:hint="eastAsia"/>
                <w:color w:val="auto"/>
                <w:highlight w:val="none"/>
              </w:rPr>
              <w:t>）</w:t>
            </w:r>
          </w:p>
          <w:tbl>
            <w:tblPr>
              <w:tblStyle w:val="17"/>
              <w:tblW w:w="4998" w:type="pct"/>
              <w:jc w:val="center"/>
              <w:tblLayout w:type="autofit"/>
              <w:tblCellMar>
                <w:top w:w="0" w:type="dxa"/>
                <w:left w:w="108" w:type="dxa"/>
                <w:bottom w:w="0" w:type="dxa"/>
                <w:right w:w="108" w:type="dxa"/>
              </w:tblCellMar>
            </w:tblPr>
            <w:tblGrid>
              <w:gridCol w:w="1189"/>
              <w:gridCol w:w="1241"/>
              <w:gridCol w:w="1482"/>
              <w:gridCol w:w="1406"/>
              <w:gridCol w:w="955"/>
              <w:gridCol w:w="2147"/>
            </w:tblGrid>
            <w:tr>
              <w:tblPrEx>
                <w:tblCellMar>
                  <w:top w:w="0" w:type="dxa"/>
                  <w:left w:w="108" w:type="dxa"/>
                  <w:bottom w:w="0" w:type="dxa"/>
                  <w:right w:w="108" w:type="dxa"/>
                </w:tblCellMar>
              </w:tblPrEx>
              <w:trPr>
                <w:trHeight w:val="441" w:hRule="atLeast"/>
                <w:jc w:val="center"/>
              </w:trPr>
              <w:tc>
                <w:tcPr>
                  <w:tcW w:w="705"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排水子项</w:t>
                  </w:r>
                </w:p>
              </w:tc>
              <w:tc>
                <w:tcPr>
                  <w:tcW w:w="737"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1.</w:t>
                  </w:r>
                  <w:r>
                    <w:rPr>
                      <w:color w:val="auto"/>
                      <w:highlight w:val="none"/>
                    </w:rPr>
                    <w:t>2号机组</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3.</w:t>
                  </w:r>
                  <w:r>
                    <w:rPr>
                      <w:color w:val="auto"/>
                      <w:highlight w:val="none"/>
                    </w:rPr>
                    <w:t>4号机组</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5.</w:t>
                  </w:r>
                  <w:r>
                    <w:rPr>
                      <w:color w:val="auto"/>
                      <w:highlight w:val="none"/>
                    </w:rPr>
                    <w:t>6号机组</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合计</w:t>
                  </w:r>
                </w:p>
              </w:tc>
              <w:tc>
                <w:tcPr>
                  <w:tcW w:w="1276" w:type="pct"/>
                  <w:tcBorders>
                    <w:top w:val="single" w:color="000000" w:sz="4" w:space="0"/>
                    <w:left w:val="single" w:color="000000" w:sz="4" w:space="0"/>
                    <w:bottom w:val="single" w:color="000000" w:sz="4" w:space="0"/>
                    <w:right w:val="single" w:color="000000" w:sz="4" w:space="0"/>
                  </w:tcBorders>
                  <w:vAlign w:val="center"/>
                </w:tcPr>
                <w:p>
                  <w:pPr>
                    <w:pStyle w:val="36"/>
                    <w:widowControl/>
                    <w:rPr>
                      <w:color w:val="auto"/>
                      <w:highlight w:val="none"/>
                    </w:rPr>
                  </w:pPr>
                  <w:r>
                    <w:rPr>
                      <w:rFonts w:hint="eastAsia"/>
                      <w:color w:val="auto"/>
                      <w:highlight w:val="none"/>
                    </w:rPr>
                    <w:t>备注</w:t>
                  </w:r>
                </w:p>
              </w:tc>
            </w:tr>
            <w:tr>
              <w:tblPrEx>
                <w:tblCellMar>
                  <w:top w:w="0" w:type="dxa"/>
                  <w:left w:w="108" w:type="dxa"/>
                  <w:bottom w:w="0" w:type="dxa"/>
                  <w:right w:w="108" w:type="dxa"/>
                </w:tblCellMar>
              </w:tblPrEx>
              <w:trPr>
                <w:trHeight w:val="1426" w:hRule="atLeast"/>
                <w:jc w:val="center"/>
              </w:trPr>
              <w:tc>
                <w:tcPr>
                  <w:tcW w:w="70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淡水厂排水</w:t>
                  </w:r>
                </w:p>
              </w:tc>
              <w:tc>
                <w:tcPr>
                  <w:tcW w:w="73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296</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289</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585</w:t>
                  </w:r>
                </w:p>
              </w:tc>
              <w:tc>
                <w:tcPr>
                  <w:tcW w:w="127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0OF厂房排水为淡水厂溢流水，水质清洁，进入7CC排放口，无需进入废水处理站</w:t>
                  </w:r>
                </w:p>
              </w:tc>
            </w:tr>
            <w:tr>
              <w:tblPrEx>
                <w:tblCellMar>
                  <w:top w:w="0" w:type="dxa"/>
                  <w:left w:w="108" w:type="dxa"/>
                  <w:bottom w:w="0" w:type="dxa"/>
                  <w:right w:w="108" w:type="dxa"/>
                </w:tblCellMar>
              </w:tblPrEx>
              <w:trPr>
                <w:trHeight w:val="788" w:hRule="atLeast"/>
                <w:jc w:val="center"/>
              </w:trPr>
              <w:tc>
                <w:tcPr>
                  <w:tcW w:w="70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除盐水厂房排水</w:t>
                  </w:r>
                </w:p>
              </w:tc>
              <w:tc>
                <w:tcPr>
                  <w:tcW w:w="73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720</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960</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1040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2720</w:t>
                  </w:r>
                </w:p>
              </w:tc>
              <w:tc>
                <w:tcPr>
                  <w:tcW w:w="127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进入本次拟建废水处理站的除盐水浓水处理工艺流程</w:t>
                  </w:r>
                </w:p>
              </w:tc>
            </w:tr>
            <w:tr>
              <w:tblPrEx>
                <w:tblCellMar>
                  <w:top w:w="0" w:type="dxa"/>
                  <w:left w:w="108" w:type="dxa"/>
                  <w:bottom w:w="0" w:type="dxa"/>
                  <w:right w:w="108" w:type="dxa"/>
                </w:tblCellMar>
              </w:tblPrEx>
              <w:trPr>
                <w:trHeight w:val="270" w:hRule="atLeast"/>
                <w:jc w:val="center"/>
              </w:trPr>
              <w:tc>
                <w:tcPr>
                  <w:tcW w:w="706" w:type="pct"/>
                  <w:vMerge w:val="restar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BOP子项/核岛/常规岛等排水</w:t>
                  </w:r>
                </w:p>
              </w:tc>
              <w:tc>
                <w:tcPr>
                  <w:tcW w:w="736" w:type="pct"/>
                  <w:vMerge w:val="restar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615</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19.2</w:t>
                  </w:r>
                </w:p>
              </w:tc>
              <w:tc>
                <w:tcPr>
                  <w:tcW w:w="835" w:type="pct"/>
                  <w:vMerge w:val="restar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697</w:t>
                  </w:r>
                </w:p>
              </w:tc>
              <w:tc>
                <w:tcPr>
                  <w:tcW w:w="567" w:type="pct"/>
                  <w:vMerge w:val="restar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1927</w:t>
                  </w:r>
                </w:p>
              </w:tc>
              <w:tc>
                <w:tcPr>
                  <w:tcW w:w="1276" w:type="pct"/>
                  <w:vMerge w:val="restar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进入本次拟建废水处理站</w:t>
                  </w:r>
                </w:p>
              </w:tc>
            </w:tr>
            <w:tr>
              <w:trPr>
                <w:trHeight w:val="270" w:hRule="atLeast"/>
                <w:jc w:val="center"/>
              </w:trPr>
              <w:tc>
                <w:tcPr>
                  <w:tcW w:w="70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24</w:t>
                  </w:r>
                </w:p>
              </w:tc>
              <w:tc>
                <w:tcPr>
                  <w:tcW w:w="83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127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r>
            <w:tr>
              <w:tblPrEx>
                <w:tblCellMar>
                  <w:top w:w="0" w:type="dxa"/>
                  <w:left w:w="108" w:type="dxa"/>
                  <w:bottom w:w="0" w:type="dxa"/>
                  <w:right w:w="108" w:type="dxa"/>
                </w:tblCellMar>
              </w:tblPrEx>
              <w:trPr>
                <w:trHeight w:val="270" w:hRule="atLeast"/>
                <w:jc w:val="center"/>
              </w:trPr>
              <w:tc>
                <w:tcPr>
                  <w:tcW w:w="70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98.2</w:t>
                  </w:r>
                </w:p>
              </w:tc>
              <w:tc>
                <w:tcPr>
                  <w:tcW w:w="83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127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r>
            <w:tr>
              <w:tblPrEx>
                <w:tblCellMar>
                  <w:top w:w="0" w:type="dxa"/>
                  <w:left w:w="108" w:type="dxa"/>
                  <w:bottom w:w="0" w:type="dxa"/>
                  <w:right w:w="108" w:type="dxa"/>
                </w:tblCellMar>
              </w:tblPrEx>
              <w:trPr>
                <w:trHeight w:val="270" w:hRule="atLeast"/>
                <w:jc w:val="center"/>
              </w:trPr>
              <w:tc>
                <w:tcPr>
                  <w:tcW w:w="70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200</w:t>
                  </w:r>
                </w:p>
              </w:tc>
              <w:tc>
                <w:tcPr>
                  <w:tcW w:w="83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127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r>
            <w:tr>
              <w:tblPrEx>
                <w:tblCellMar>
                  <w:top w:w="0" w:type="dxa"/>
                  <w:left w:w="108" w:type="dxa"/>
                  <w:bottom w:w="0" w:type="dxa"/>
                  <w:right w:w="108" w:type="dxa"/>
                </w:tblCellMar>
              </w:tblPrEx>
              <w:trPr>
                <w:trHeight w:val="270" w:hRule="atLeast"/>
                <w:jc w:val="center"/>
              </w:trPr>
              <w:tc>
                <w:tcPr>
                  <w:tcW w:w="70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273.6</w:t>
                  </w:r>
                </w:p>
              </w:tc>
              <w:tc>
                <w:tcPr>
                  <w:tcW w:w="83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c>
                <w:tcPr>
                  <w:tcW w:w="127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r>
            <w:tr>
              <w:tblPrEx>
                <w:tblCellMar>
                  <w:top w:w="0" w:type="dxa"/>
                  <w:left w:w="108" w:type="dxa"/>
                  <w:bottom w:w="0" w:type="dxa"/>
                  <w:right w:w="108" w:type="dxa"/>
                </w:tblCellMar>
              </w:tblPrEx>
              <w:trPr>
                <w:trHeight w:val="525" w:hRule="atLeast"/>
                <w:jc w:val="center"/>
              </w:trPr>
              <w:tc>
                <w:tcPr>
                  <w:tcW w:w="70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未预见水量</w:t>
                  </w:r>
                </w:p>
              </w:tc>
              <w:tc>
                <w:tcPr>
                  <w:tcW w:w="73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480</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295</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606</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1381</w:t>
                  </w:r>
                </w:p>
              </w:tc>
              <w:tc>
                <w:tcPr>
                  <w:tcW w:w="1276"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left"/>
                    <w:rPr>
                      <w:color w:val="auto"/>
                      <w:highlight w:val="none"/>
                    </w:rPr>
                  </w:pPr>
                </w:p>
              </w:tc>
            </w:tr>
            <w:tr>
              <w:trPr>
                <w:trHeight w:val="1575" w:hRule="atLeast"/>
                <w:jc w:val="center"/>
              </w:trPr>
              <w:tc>
                <w:tcPr>
                  <w:tcW w:w="70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含油废水*</w:t>
                  </w:r>
                </w:p>
              </w:tc>
              <w:tc>
                <w:tcPr>
                  <w:tcW w:w="73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w:t>
                  </w:r>
                  <w:r>
                    <w:rPr>
                      <w:rFonts w:hint="eastAsia"/>
                      <w:color w:val="auto"/>
                      <w:highlight w:val="none"/>
                      <w:lang w:eastAsia="zh"/>
                    </w:rPr>
                    <w:t>37</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w:t>
                  </w:r>
                  <w:r>
                    <w:rPr>
                      <w:rFonts w:hint="eastAsia"/>
                      <w:color w:val="auto"/>
                      <w:highlight w:val="none"/>
                      <w:lang w:eastAsia="zh"/>
                    </w:rPr>
                    <w:t>37</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w:t>
                  </w:r>
                  <w:r>
                    <w:rPr>
                      <w:rFonts w:hint="eastAsia"/>
                      <w:color w:val="auto"/>
                      <w:highlight w:val="none"/>
                      <w:lang w:eastAsia="zh"/>
                    </w:rPr>
                    <w:t>37</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7</w:t>
                  </w:r>
                  <w:r>
                    <w:rPr>
                      <w:rFonts w:hint="eastAsia"/>
                      <w:color w:val="auto"/>
                      <w:highlight w:val="none"/>
                      <w:lang w:eastAsia="zh"/>
                    </w:rPr>
                    <w:t>11</w:t>
                  </w:r>
                </w:p>
              </w:tc>
              <w:tc>
                <w:tcPr>
                  <w:tcW w:w="1276" w:type="pct"/>
                  <w:tcBorders>
                    <w:top w:val="single" w:color="000000" w:sz="4" w:space="0"/>
                    <w:left w:val="single" w:color="000000" w:sz="4" w:space="0"/>
                    <w:bottom w:val="single" w:color="000000" w:sz="4" w:space="0"/>
                    <w:right w:val="single" w:color="000000" w:sz="4" w:space="0"/>
                  </w:tcBorders>
                  <w:vAlign w:val="center"/>
                </w:tcPr>
                <w:p>
                  <w:pPr>
                    <w:rPr>
                      <w:color w:val="auto"/>
                      <w:highlight w:val="none"/>
                      <w:lang w:eastAsia="zh"/>
                    </w:rPr>
                  </w:pPr>
                  <w:r>
                    <w:rPr>
                      <w:rFonts w:hint="eastAsia" w:ascii="宋体" w:hAnsi="宋体" w:cs="宋体"/>
                      <w:color w:val="auto"/>
                      <w:szCs w:val="21"/>
                      <w:highlight w:val="none"/>
                      <w:lang w:bidi="ar"/>
                    </w:rPr>
                    <w:t>含油废水主要来源于各生产车间设备检修产生，厂房外围管沟油污水会混合雨水</w:t>
                  </w:r>
                  <w:r>
                    <w:rPr>
                      <w:rFonts w:hint="eastAsia"/>
                      <w:color w:val="auto"/>
                      <w:highlight w:val="none"/>
                    </w:rPr>
                    <w:t>，</w:t>
                  </w:r>
                  <w:r>
                    <w:rPr>
                      <w:rFonts w:hint="eastAsia"/>
                      <w:color w:val="auto"/>
                      <w:highlight w:val="none"/>
                      <w:lang w:eastAsia="zh"/>
                    </w:rPr>
                    <w:t>含油废水产生量数据来源于《福建福清核电厂水资源论证报告书（报批稿）》见附件21</w:t>
                  </w:r>
                </w:p>
                <w:p>
                  <w:pPr>
                    <w:pStyle w:val="36"/>
                    <w:widowControl/>
                    <w:jc w:val="left"/>
                    <w:rPr>
                      <w:color w:val="auto"/>
                      <w:highlight w:val="none"/>
                    </w:rPr>
                  </w:pPr>
                  <w:r>
                    <w:rPr>
                      <w:rFonts w:hint="eastAsia"/>
                      <w:color w:val="auto"/>
                      <w:highlight w:val="none"/>
                    </w:rPr>
                    <w:t>。经油水分离处理后进入本次拟建废水处理站进一步处理。</w:t>
                  </w:r>
                </w:p>
              </w:tc>
            </w:tr>
            <w:tr>
              <w:tblPrEx>
                <w:tblCellMar>
                  <w:top w:w="0" w:type="dxa"/>
                  <w:left w:w="108" w:type="dxa"/>
                  <w:bottom w:w="0" w:type="dxa"/>
                  <w:right w:w="108" w:type="dxa"/>
                </w:tblCellMar>
              </w:tblPrEx>
              <w:trPr>
                <w:trHeight w:val="533" w:hRule="atLeast"/>
                <w:jc w:val="center"/>
              </w:trPr>
              <w:tc>
                <w:tcPr>
                  <w:tcW w:w="70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rFonts w:hint="eastAsia"/>
                      <w:color w:val="auto"/>
                      <w:highlight w:val="none"/>
                    </w:rPr>
                    <w:t>合计</w:t>
                  </w:r>
                </w:p>
              </w:tc>
              <w:tc>
                <w:tcPr>
                  <w:tcW w:w="736"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2351</w:t>
                  </w:r>
                </w:p>
              </w:tc>
              <w:tc>
                <w:tcPr>
                  <w:tcW w:w="880"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2399</w:t>
                  </w:r>
                </w:p>
              </w:tc>
              <w:tc>
                <w:tcPr>
                  <w:tcW w:w="835"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2583</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36"/>
                    <w:widowControl/>
                    <w:jc w:val="left"/>
                    <w:rPr>
                      <w:color w:val="auto"/>
                      <w:highlight w:val="none"/>
                    </w:rPr>
                  </w:pPr>
                  <w:r>
                    <w:rPr>
                      <w:color w:val="auto"/>
                      <w:highlight w:val="none"/>
                    </w:rPr>
                    <w:t>73</w:t>
                  </w:r>
                  <w:r>
                    <w:rPr>
                      <w:rFonts w:hint="eastAsia"/>
                      <w:color w:val="auto"/>
                      <w:highlight w:val="none"/>
                      <w:lang w:eastAsia="zh"/>
                    </w:rPr>
                    <w:t>24</w:t>
                  </w:r>
                </w:p>
              </w:tc>
              <w:tc>
                <w:tcPr>
                  <w:tcW w:w="1276" w:type="pct"/>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进入废水处理站的废水量为</w:t>
                  </w:r>
                  <w:r>
                    <w:rPr>
                      <w:color w:val="auto"/>
                      <w:szCs w:val="21"/>
                      <w:highlight w:val="none"/>
                      <w:lang w:bidi="ar"/>
                    </w:rPr>
                    <w:t>7324-585=6739</w:t>
                  </w:r>
                </w:p>
                <w:p>
                  <w:pPr>
                    <w:pStyle w:val="36"/>
                    <w:widowControl/>
                    <w:jc w:val="left"/>
                    <w:rPr>
                      <w:color w:val="auto"/>
                      <w:highlight w:val="none"/>
                    </w:rPr>
                  </w:pPr>
                </w:p>
              </w:tc>
            </w:tr>
          </w:tbl>
          <w:p>
            <w:pPr>
              <w:pStyle w:val="8"/>
              <w:tabs>
                <w:tab w:val="left" w:pos="7560"/>
              </w:tabs>
              <w:rPr>
                <w:color w:val="auto"/>
                <w:highlight w:val="none"/>
              </w:rPr>
            </w:pPr>
          </w:p>
          <w:p>
            <w:pPr>
              <w:pStyle w:val="34"/>
              <w:rPr>
                <w:color w:val="auto"/>
                <w:highlight w:val="none"/>
              </w:rPr>
            </w:pPr>
            <w:r>
              <w:rPr>
                <w:rFonts w:hint="eastAsia"/>
                <w:color w:val="auto"/>
                <w:highlight w:val="none"/>
                <w:lang w:val="en-US" w:eastAsia="zh-CN"/>
              </w:rPr>
              <w:t>*</w:t>
            </w:r>
          </w:p>
          <w:p>
            <w:pPr>
              <w:pStyle w:val="5"/>
              <w:ind w:firstLine="402" w:firstLineChars="200"/>
              <w:jc w:val="center"/>
              <w:rPr>
                <w:color w:val="auto"/>
                <w:highlight w:val="none"/>
              </w:rPr>
            </w:pPr>
            <w:r>
              <w:rPr>
                <w:color w:val="auto"/>
                <w:highlight w:val="none"/>
              </w:rPr>
              <w:t>图</w:t>
            </w:r>
            <w:r>
              <w:rPr>
                <w:rFonts w:hint="eastAsia"/>
                <w:color w:val="auto"/>
                <w:highlight w:val="none"/>
              </w:rPr>
              <w:t>2-</w:t>
            </w:r>
            <w:r>
              <w:rPr>
                <w:color w:val="auto"/>
                <w:highlight w:val="none"/>
              </w:rPr>
              <w:fldChar w:fldCharType="begin"/>
            </w:r>
            <w:r>
              <w:rPr>
                <w:color w:val="auto"/>
                <w:highlight w:val="none"/>
              </w:rPr>
              <w:instrText xml:space="preserve">SEQ图\*ARABIC</w:instrText>
            </w:r>
            <w:r>
              <w:rPr>
                <w:color w:val="auto"/>
                <w:highlight w:val="none"/>
              </w:rPr>
              <w:fldChar w:fldCharType="separate"/>
            </w:r>
            <w:r>
              <w:rPr>
                <w:color w:val="auto"/>
                <w:highlight w:val="none"/>
              </w:rPr>
              <w:t>1</w:t>
            </w:r>
            <w:r>
              <w:rPr>
                <w:color w:val="auto"/>
                <w:highlight w:val="none"/>
              </w:rPr>
              <w:fldChar w:fldCharType="end"/>
            </w:r>
            <w:r>
              <w:rPr>
                <w:rFonts w:hint="eastAsia" w:eastAsia="宋体" w:cs="宋体"/>
                <w:color w:val="auto"/>
                <w:highlight w:val="none"/>
              </w:rPr>
              <w:t>福清核电1、2号机组用水过程及水量平衡图（备注：生活水质生产用水包括水泵轴密封水和空调冷冻机组冷却水的补充水以及核岛、常规岛和其他的日用水量，这部分用水由生活给水系统供给）。</w:t>
            </w:r>
          </w:p>
          <w:p>
            <w:pPr>
              <w:pStyle w:val="34"/>
              <w:rPr>
                <w:rFonts w:hint="default" w:eastAsia="宋体"/>
                <w:color w:val="auto"/>
                <w:highlight w:val="none"/>
                <w:lang w:val="en-US" w:eastAsia="zh-CN"/>
              </w:rPr>
            </w:pPr>
            <w:r>
              <w:rPr>
                <w:rFonts w:hint="eastAsia"/>
                <w:color w:val="auto"/>
                <w:highlight w:val="none"/>
                <w:lang w:val="en-US" w:eastAsia="zh-CN"/>
              </w:rPr>
              <w:t>**</w:t>
            </w:r>
          </w:p>
          <w:p>
            <w:pPr>
              <w:pStyle w:val="5"/>
              <w:ind w:firstLine="402" w:firstLineChars="200"/>
              <w:jc w:val="center"/>
              <w:rPr>
                <w:color w:val="auto"/>
                <w:highlight w:val="none"/>
              </w:rPr>
            </w:pPr>
            <w:r>
              <w:rPr>
                <w:color w:val="auto"/>
                <w:highlight w:val="none"/>
              </w:rPr>
              <w:t>图</w:t>
            </w:r>
            <w:r>
              <w:rPr>
                <w:rFonts w:hint="eastAsia"/>
                <w:color w:val="auto"/>
                <w:highlight w:val="none"/>
              </w:rPr>
              <w:t>2-</w:t>
            </w:r>
            <w:r>
              <w:rPr>
                <w:color w:val="auto"/>
                <w:highlight w:val="none"/>
              </w:rPr>
              <w:fldChar w:fldCharType="begin"/>
            </w:r>
            <w:r>
              <w:rPr>
                <w:color w:val="auto"/>
                <w:highlight w:val="none"/>
              </w:rPr>
              <w:instrText xml:space="preserve">SEQ图\*ARABIC</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福清核电3-4号机组正常运行工况下水平衡图（摘自原3-4号机组环评）</w:t>
            </w:r>
          </w:p>
          <w:p>
            <w:pPr>
              <w:pStyle w:val="34"/>
              <w:rPr>
                <w:color w:val="auto"/>
                <w:highlight w:val="none"/>
              </w:rPr>
            </w:pPr>
            <w:r>
              <w:rPr>
                <w:rFonts w:hint="eastAsia"/>
                <w:color w:val="auto"/>
                <w:highlight w:val="none"/>
                <w:lang w:val="en-US" w:eastAsia="zh-CN"/>
              </w:rPr>
              <w:t>*</w:t>
            </w:r>
          </w:p>
          <w:p>
            <w:pPr>
              <w:pStyle w:val="5"/>
              <w:ind w:firstLine="402" w:firstLineChars="200"/>
              <w:jc w:val="center"/>
              <w:rPr>
                <w:color w:val="auto"/>
                <w:highlight w:val="none"/>
              </w:rPr>
            </w:pPr>
            <w:r>
              <w:rPr>
                <w:color w:val="auto"/>
                <w:highlight w:val="none"/>
              </w:rPr>
              <w:t>图</w:t>
            </w:r>
            <w:r>
              <w:rPr>
                <w:rFonts w:hint="eastAsia"/>
                <w:color w:val="auto"/>
                <w:highlight w:val="none"/>
              </w:rPr>
              <w:t>2-</w:t>
            </w:r>
            <w:r>
              <w:rPr>
                <w:color w:val="auto"/>
                <w:highlight w:val="none"/>
              </w:rPr>
              <w:fldChar w:fldCharType="begin"/>
            </w:r>
            <w:r>
              <w:rPr>
                <w:color w:val="auto"/>
                <w:highlight w:val="none"/>
              </w:rPr>
              <w:instrText xml:space="preserve">SEQ图\*ARABIC</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福清核电5-6号机组正常运行工况下水平衡图（摘自原5-6号机组环评）</w:t>
            </w:r>
          </w:p>
          <w:p>
            <w:pPr>
              <w:pStyle w:val="8"/>
              <w:rPr>
                <w:color w:val="auto"/>
                <w:highlight w:val="none"/>
              </w:rPr>
            </w:pPr>
            <w:r>
              <w:rPr>
                <w:rFonts w:hint="eastAsia"/>
                <w:color w:val="auto"/>
                <w:highlight w:val="none"/>
              </w:rPr>
              <w:t>含油废水产生情况：通过室外管网收集每台机组汽机厂房、主变压器和降压变压器平台等子项的非放射性含油废水，主要是各子项消防喷淋水和雨水沾染油污后的水量，未体现在水平衡图中，含油废水汇集至厂区内非放射性含油废水处理站，经过油水分离设施处理后排入室外雨水管网，最终排至兴化湾。分离出来的污油在污油池内贮存，定期通过污油泵输送至污油车运走。非放射性含油废水处理工艺设备每套处理能力为5m</w:t>
            </w:r>
            <w:r>
              <w:rPr>
                <w:rFonts w:hint="eastAsia"/>
                <w:color w:val="auto"/>
                <w:highlight w:val="none"/>
                <w:vertAlign w:val="superscript"/>
              </w:rPr>
              <w:t>3</w:t>
            </w:r>
            <w:r>
              <w:rPr>
                <w:rFonts w:hint="eastAsia"/>
                <w:color w:val="auto"/>
                <w:highlight w:val="none"/>
              </w:rPr>
              <w:t>/h，共6套，30m</w:t>
            </w:r>
            <w:r>
              <w:rPr>
                <w:rFonts w:hint="eastAsia"/>
                <w:color w:val="auto"/>
                <w:highlight w:val="none"/>
                <w:vertAlign w:val="superscript"/>
              </w:rPr>
              <w:t>3</w:t>
            </w:r>
            <w:r>
              <w:rPr>
                <w:rFonts w:hint="eastAsia"/>
                <w:color w:val="auto"/>
                <w:highlight w:val="none"/>
              </w:rPr>
              <w:t>/h，合计720m</w:t>
            </w:r>
            <w:r>
              <w:rPr>
                <w:rFonts w:hint="eastAsia"/>
                <w:color w:val="auto"/>
                <w:highlight w:val="none"/>
                <w:vertAlign w:val="superscript"/>
              </w:rPr>
              <w:t>3</w:t>
            </w:r>
            <w:r>
              <w:rPr>
                <w:rFonts w:hint="eastAsia"/>
                <w:color w:val="auto"/>
                <w:highlight w:val="none"/>
              </w:rPr>
              <w:t>/d。</w:t>
            </w:r>
          </w:p>
          <w:p>
            <w:pPr>
              <w:pStyle w:val="8"/>
              <w:rPr>
                <w:color w:val="auto"/>
                <w:highlight w:val="none"/>
              </w:rPr>
            </w:pPr>
            <w:r>
              <w:rPr>
                <w:rFonts w:hint="eastAsia"/>
                <w:color w:val="auto"/>
                <w:highlight w:val="none"/>
              </w:rPr>
              <w:t>（2）</w:t>
            </w:r>
            <w:r>
              <w:rPr>
                <w:rFonts w:hint="eastAsia"/>
                <w:color w:val="auto"/>
                <w:highlight w:val="none"/>
                <w:u w:val="single"/>
              </w:rPr>
              <w:t>非放射性废水排放标准</w:t>
            </w:r>
          </w:p>
          <w:p>
            <w:pPr>
              <w:pStyle w:val="8"/>
              <w:rPr>
                <w:color w:val="auto"/>
                <w:highlight w:val="none"/>
              </w:rPr>
            </w:pPr>
            <w:r>
              <w:rPr>
                <w:rFonts w:hint="eastAsia"/>
                <w:color w:val="auto"/>
                <w:highlight w:val="none"/>
              </w:rPr>
              <w:t>根据《福建省</w:t>
            </w:r>
            <w:r>
              <w:rPr>
                <w:rFonts w:hint="eastAsia"/>
                <w:color w:val="auto"/>
                <w:highlight w:val="none"/>
                <w:lang w:eastAsia="zh-CN"/>
              </w:rPr>
              <w:t>生态环境厅</w:t>
            </w:r>
            <w:r>
              <w:rPr>
                <w:rFonts w:hint="eastAsia"/>
                <w:color w:val="auto"/>
                <w:highlight w:val="none"/>
              </w:rPr>
              <w:t>关于确认福清核电厂非放射性环境质量和污染排放标准的函》（闽环辐射函〔2015〕42号）、</w:t>
            </w:r>
            <w:r>
              <w:rPr>
                <w:rFonts w:hint="eastAsia"/>
                <w:color w:val="auto"/>
                <w:highlight w:val="none"/>
                <w:u w:val="single"/>
              </w:rPr>
              <w:t>1-6号机组环评报告及最新的入海排污口备案材料（附件16）</w:t>
            </w:r>
            <w:r>
              <w:rPr>
                <w:rFonts w:hint="eastAsia"/>
                <w:color w:val="auto"/>
                <w:highlight w:val="none"/>
              </w:rPr>
              <w:t>，非放射性生产废水排放执行《污水综合排放标准》（GB8978-1996）的表4中一级标准。</w:t>
            </w:r>
          </w:p>
          <w:p>
            <w:pPr>
              <w:pStyle w:val="4"/>
              <w:rPr>
                <w:color w:val="auto"/>
                <w:highlight w:val="none"/>
              </w:rPr>
            </w:pPr>
            <w:r>
              <w:rPr>
                <w:rFonts w:hint="eastAsia"/>
                <w:color w:val="auto"/>
                <w:highlight w:val="none"/>
              </w:rPr>
              <w:t>2.1.5拟建废水处理站进水水质</w:t>
            </w:r>
          </w:p>
          <w:p>
            <w:pPr>
              <w:pStyle w:val="8"/>
              <w:ind w:firstLine="720" w:firstLineChars="300"/>
              <w:rPr>
                <w:color w:val="auto"/>
                <w:highlight w:val="none"/>
              </w:rPr>
            </w:pPr>
            <w:r>
              <w:rPr>
                <w:rFonts w:hint="eastAsia"/>
                <w:color w:val="auto"/>
                <w:highlight w:val="none"/>
              </w:rPr>
              <w:t>厂区现状的非放射性生产废水中仅对含油废水进行油水分离处理、对除盐水厂房排放进行中和处理，为确保非放射性生产废水的各个污染指标稳定达到《污水综合排放标准》（GB8978-1996）的表4中一级标准，本次将现有含油废水处理站出水、酸碱中和后的除盐水厂房排水进一步接入拟建的废水处理站进行处理，其他非放射性生产废水现状未经处理的，本次接管进入拟建废水站进行处理。</w:t>
            </w:r>
          </w:p>
          <w:p>
            <w:pPr>
              <w:pStyle w:val="8"/>
              <w:ind w:firstLine="478"/>
              <w:rPr>
                <w:color w:val="auto"/>
                <w:spacing w:val="-4"/>
                <w:highlight w:val="none"/>
              </w:rPr>
            </w:pPr>
            <w:r>
              <w:rPr>
                <w:b/>
                <w:bCs/>
                <w:color w:val="auto"/>
                <w:spacing w:val="-1"/>
                <w:highlight w:val="none"/>
              </w:rPr>
              <w:t>非放射性含油废水</w:t>
            </w:r>
            <w:r>
              <w:rPr>
                <w:rFonts w:hint="eastAsia"/>
                <w:color w:val="auto"/>
                <w:spacing w:val="-1"/>
                <w:highlight w:val="none"/>
              </w:rPr>
              <w:t>：</w:t>
            </w:r>
            <w:r>
              <w:rPr>
                <w:rFonts w:hint="eastAsia"/>
                <w:color w:val="auto"/>
                <w:kern w:val="2"/>
                <w:highlight w:val="none"/>
              </w:rPr>
              <w:t>含油废水处理站油水分离</w:t>
            </w:r>
            <w:r>
              <w:rPr>
                <w:color w:val="auto"/>
                <w:kern w:val="2"/>
                <w:highlight w:val="none"/>
              </w:rPr>
              <w:t>后排水</w:t>
            </w:r>
            <w:r>
              <w:rPr>
                <w:color w:val="auto"/>
                <w:highlight w:val="none"/>
              </w:rPr>
              <w:t>。与</w:t>
            </w:r>
            <w:r>
              <w:rPr>
                <w:color w:val="auto"/>
                <w:spacing w:val="-1"/>
                <w:highlight w:val="none"/>
              </w:rPr>
              <w:t>给水相比，含油废水中增</w:t>
            </w:r>
            <w:r>
              <w:rPr>
                <w:color w:val="auto"/>
                <w:highlight w:val="none"/>
              </w:rPr>
              <w:t>加了油类、悬浮物等，污染物较为单一。由于其污染</w:t>
            </w:r>
            <w:r>
              <w:rPr>
                <w:color w:val="auto"/>
                <w:spacing w:val="-1"/>
                <w:highlight w:val="none"/>
              </w:rPr>
              <w:t>物主要为油类，一般不与</w:t>
            </w:r>
            <w:r>
              <w:rPr>
                <w:color w:val="auto"/>
                <w:highlight w:val="none"/>
              </w:rPr>
              <w:t>其他生产废水合并处理。在核电厂正常运行中含</w:t>
            </w:r>
            <w:r>
              <w:rPr>
                <w:color w:val="auto"/>
                <w:spacing w:val="-1"/>
                <w:highlight w:val="none"/>
              </w:rPr>
              <w:t>油废水水量小，属于间歇排</w:t>
            </w:r>
            <w:r>
              <w:rPr>
                <w:color w:val="auto"/>
                <w:highlight w:val="none"/>
              </w:rPr>
              <w:t>水，但排水间隔时间不确定。</w:t>
            </w:r>
            <w:r>
              <w:rPr>
                <w:color w:val="auto"/>
                <w:highlight w:val="none"/>
                <w:u w:val="single"/>
              </w:rPr>
              <w:t>该部分非放射性</w:t>
            </w:r>
            <w:r>
              <w:rPr>
                <w:color w:val="auto"/>
                <w:spacing w:val="-1"/>
                <w:highlight w:val="none"/>
                <w:u w:val="single"/>
              </w:rPr>
              <w:t>含油废水</w:t>
            </w:r>
            <w:r>
              <w:rPr>
                <w:rFonts w:hint="eastAsia"/>
                <w:color w:val="auto"/>
                <w:spacing w:val="-1"/>
                <w:highlight w:val="none"/>
                <w:u w:val="single"/>
              </w:rPr>
              <w:t>现状</w:t>
            </w:r>
            <w:r>
              <w:rPr>
                <w:color w:val="auto"/>
                <w:spacing w:val="-1"/>
                <w:highlight w:val="none"/>
                <w:u w:val="single"/>
              </w:rPr>
              <w:t>经油水分离后排入室外</w:t>
            </w:r>
            <w:r>
              <w:rPr>
                <w:color w:val="auto"/>
                <w:spacing w:val="-4"/>
                <w:highlight w:val="none"/>
                <w:u w:val="single"/>
              </w:rPr>
              <w:t>雨水管网</w:t>
            </w:r>
            <w:r>
              <w:rPr>
                <w:rFonts w:hint="eastAsia"/>
                <w:color w:val="auto"/>
                <w:spacing w:val="-4"/>
                <w:highlight w:val="none"/>
                <w:u w:val="single"/>
              </w:rPr>
              <w:t>，经CC跌落井汇流入排水渠进入兴化湾</w:t>
            </w:r>
            <w:r>
              <w:rPr>
                <w:color w:val="auto"/>
                <w:spacing w:val="-4"/>
                <w:highlight w:val="none"/>
              </w:rPr>
              <w:t>。</w:t>
            </w:r>
            <w:r>
              <w:rPr>
                <w:rFonts w:hint="eastAsia"/>
                <w:color w:val="auto"/>
                <w:spacing w:val="-4"/>
                <w:highlight w:val="none"/>
              </w:rPr>
              <w:t>本次改造将油水分离后的废水接入废水处理站进一步处理。</w:t>
            </w:r>
          </w:p>
          <w:p>
            <w:pPr>
              <w:pStyle w:val="8"/>
              <w:ind w:firstLine="466"/>
              <w:rPr>
                <w:color w:val="auto"/>
                <w:spacing w:val="-4"/>
                <w:highlight w:val="none"/>
              </w:rPr>
            </w:pPr>
            <w:r>
              <w:rPr>
                <w:rFonts w:hint="eastAsia"/>
                <w:b/>
                <w:bCs/>
                <w:color w:val="auto"/>
                <w:spacing w:val="-4"/>
                <w:highlight w:val="none"/>
              </w:rPr>
              <w:t>其他非放射性排水</w:t>
            </w:r>
            <w:r>
              <w:rPr>
                <w:rFonts w:hint="eastAsia"/>
                <w:color w:val="auto"/>
                <w:spacing w:val="-4"/>
                <w:highlight w:val="none"/>
              </w:rPr>
              <w:t>：</w:t>
            </w:r>
            <w:r>
              <w:rPr>
                <w:color w:val="auto"/>
                <w:spacing w:val="-3"/>
                <w:highlight w:val="none"/>
              </w:rPr>
              <w:t>制氯站中和池</w:t>
            </w:r>
            <w:r>
              <w:rPr>
                <w:color w:val="auto"/>
                <w:spacing w:val="-4"/>
                <w:highlight w:val="none"/>
              </w:rPr>
              <w:t>排水、室内管</w:t>
            </w:r>
            <w:r>
              <w:rPr>
                <w:color w:val="auto"/>
                <w:spacing w:val="-1"/>
                <w:highlight w:val="none"/>
              </w:rPr>
              <w:t>沟排水和地面疏水、锅炉房降温排水、水箱溢流排水</w:t>
            </w:r>
            <w:r>
              <w:rPr>
                <w:rFonts w:hint="eastAsia"/>
                <w:color w:val="auto"/>
                <w:spacing w:val="-1"/>
                <w:highlight w:val="none"/>
              </w:rPr>
              <w:t>等，含少量悬浮物。</w:t>
            </w:r>
          </w:p>
          <w:p>
            <w:pPr>
              <w:pStyle w:val="8"/>
              <w:ind w:firstLine="482"/>
              <w:rPr>
                <w:rFonts w:ascii="宋体" w:hAnsi="宋体"/>
                <w:color w:val="auto"/>
                <w:highlight w:val="none"/>
              </w:rPr>
            </w:pPr>
            <w:r>
              <w:rPr>
                <w:b/>
                <w:bCs/>
                <w:color w:val="auto"/>
                <w:highlight w:val="none"/>
              </w:rPr>
              <w:t>除盐水厂房排水</w:t>
            </w:r>
            <w:r>
              <w:rPr>
                <w:rFonts w:hint="eastAsia"/>
                <w:color w:val="auto"/>
                <w:highlight w:val="none"/>
              </w:rPr>
              <w:t>：</w:t>
            </w:r>
            <w:r>
              <w:rPr>
                <w:color w:val="auto"/>
                <w:highlight w:val="none"/>
              </w:rPr>
              <w:t>除盐水厂房过滤器反洗水、废水中和池排水，包括：阴床、阳床以及混床再生废水，以及反渗透化学清洗废水等</w:t>
            </w:r>
            <w:r>
              <w:rPr>
                <w:rFonts w:hint="eastAsia"/>
                <w:color w:val="auto"/>
                <w:highlight w:val="none"/>
              </w:rPr>
              <w:t>。</w:t>
            </w:r>
            <w:r>
              <w:rPr>
                <w:color w:val="auto"/>
                <w:highlight w:val="none"/>
              </w:rPr>
              <w:t>废水中</w:t>
            </w:r>
            <w:r>
              <w:rPr>
                <w:rFonts w:hint="eastAsia"/>
                <w:color w:val="auto"/>
                <w:highlight w:val="none"/>
              </w:rPr>
              <w:t>主要污染物为无机物、悬浮物。大部分情况下是除盐水厂房排水是较清洁的，废水不用处理便可达到排放标准，当</w:t>
            </w:r>
            <w:r>
              <w:rPr>
                <w:color w:val="auto"/>
                <w:highlight w:val="none"/>
              </w:rPr>
              <w:t>除盐水系统进水（或淡水厂出水）水质</w:t>
            </w:r>
            <w:r>
              <w:rPr>
                <w:rFonts w:hint="eastAsia"/>
                <w:color w:val="auto"/>
                <w:highlight w:val="none"/>
              </w:rPr>
              <w:t>较</w:t>
            </w:r>
            <w:r>
              <w:rPr>
                <w:color w:val="auto"/>
                <w:highlight w:val="none"/>
              </w:rPr>
              <w:t>差时，</w:t>
            </w:r>
            <w:r>
              <w:rPr>
                <w:rFonts w:hint="eastAsia"/>
                <w:color w:val="auto"/>
                <w:highlight w:val="none"/>
              </w:rPr>
              <w:t>浓水反渗透回收环节导致出水水质不达标，一般为COD、BOD</w:t>
            </w:r>
            <w:r>
              <w:rPr>
                <w:color w:val="auto"/>
                <w:highlight w:val="none"/>
                <w:vertAlign w:val="subscript"/>
              </w:rPr>
              <w:t>5</w:t>
            </w:r>
            <w:r>
              <w:rPr>
                <w:rFonts w:hint="eastAsia"/>
                <w:color w:val="auto"/>
                <w:highlight w:val="none"/>
              </w:rPr>
              <w:t>浓度较高，因此重点需实时监测其除盐水厂厂房排入废水处理站的进水的水质，达标时可不经过废水处理站处理直接</w:t>
            </w:r>
            <w:r>
              <w:rPr>
                <w:rFonts w:hint="eastAsia" w:ascii="宋体" w:hAnsi="宋体"/>
                <w:color w:val="auto"/>
                <w:highlight w:val="none"/>
              </w:rPr>
              <w:t>排放，当监测不达标，调节池的废水进入废水处理工艺处理达标后再外排。</w:t>
            </w:r>
          </w:p>
          <w:p>
            <w:pPr>
              <w:pStyle w:val="8"/>
              <w:ind w:firstLine="472"/>
              <w:rPr>
                <w:color w:val="auto"/>
                <w:kern w:val="2"/>
                <w:highlight w:val="none"/>
                <w:lang w:eastAsia="zh"/>
              </w:rPr>
            </w:pPr>
            <w:r>
              <w:rPr>
                <w:rFonts w:hint="eastAsia" w:ascii="宋体" w:hAnsi="宋体" w:cs="宋体"/>
                <w:color w:val="auto"/>
                <w:spacing w:val="-2"/>
                <w:highlight w:val="none"/>
              </w:rPr>
              <w:t>根据项目初步设计，</w:t>
            </w:r>
            <w:r>
              <w:rPr>
                <w:rFonts w:ascii="宋体" w:hAnsi="宋体" w:cs="宋体"/>
                <w:color w:val="auto"/>
                <w:spacing w:val="-1"/>
                <w:highlight w:val="none"/>
              </w:rPr>
              <w:t>废水处理站进水水质</w:t>
            </w:r>
            <w:r>
              <w:rPr>
                <w:rFonts w:hint="eastAsia" w:ascii="宋体" w:hAnsi="宋体" w:cs="宋体"/>
                <w:color w:val="auto"/>
                <w:spacing w:val="-2"/>
                <w:highlight w:val="none"/>
              </w:rPr>
              <w:t>见下表2-5</w:t>
            </w:r>
            <w:r>
              <w:rPr>
                <w:color w:val="auto"/>
                <w:kern w:val="2"/>
                <w:highlight w:val="none"/>
              </w:rPr>
              <w:t>。</w:t>
            </w:r>
            <w:r>
              <w:rPr>
                <w:rFonts w:hint="eastAsia"/>
                <w:color w:val="auto"/>
                <w:kern w:val="2"/>
                <w:highlight w:val="none"/>
              </w:rPr>
              <w:t>污水排放执行</w:t>
            </w:r>
            <w:r>
              <w:rPr>
                <w:rFonts w:hint="eastAsia"/>
                <w:color w:val="auto"/>
                <w:highlight w:val="none"/>
              </w:rPr>
              <w:t>《污水综合排放标准》（GB8978-1996）的表4中一级标准</w:t>
            </w:r>
            <w:r>
              <w:rPr>
                <w:rFonts w:hint="eastAsia"/>
                <w:color w:val="auto"/>
                <w:highlight w:val="none"/>
                <w:lang w:eastAsia="zh"/>
              </w:rPr>
              <w:t>。</w:t>
            </w:r>
          </w:p>
          <w:p>
            <w:pPr>
              <w:pStyle w:val="8"/>
              <w:ind w:firstLine="482"/>
              <w:jc w:val="center"/>
              <w:rPr>
                <w:b/>
                <w:bCs/>
                <w:color w:val="auto"/>
                <w:highlight w:val="none"/>
              </w:rPr>
            </w:pPr>
            <w:r>
              <w:rPr>
                <w:b/>
                <w:bCs/>
                <w:color w:val="auto"/>
                <w:highlight w:val="none"/>
              </w:rPr>
              <w:t>表</w:t>
            </w:r>
            <w:r>
              <w:rPr>
                <w:rFonts w:hint="eastAsia"/>
                <w:b/>
                <w:bCs/>
                <w:color w:val="auto"/>
                <w:highlight w:val="none"/>
              </w:rPr>
              <w:t>2-5非放射性废水处理站设计进水水质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716"/>
              <w:gridCol w:w="717"/>
              <w:gridCol w:w="855"/>
              <w:gridCol w:w="941"/>
              <w:gridCol w:w="1003"/>
              <w:gridCol w:w="1015"/>
              <w:gridCol w:w="941"/>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jc w:val="center"/>
                    <w:rPr>
                      <w:color w:val="auto"/>
                      <w:szCs w:val="21"/>
                      <w:highlight w:val="none"/>
                    </w:rPr>
                  </w:pPr>
                  <w:r>
                    <w:rPr>
                      <w:color w:val="auto"/>
                      <w:szCs w:val="21"/>
                      <w:highlight w:val="none"/>
                    </w:rPr>
                    <w:t>指标</w:t>
                  </w:r>
                </w:p>
              </w:tc>
              <w:tc>
                <w:tcPr>
                  <w:tcW w:w="428" w:type="pct"/>
                  <w:vAlign w:val="center"/>
                </w:tcPr>
                <w:p>
                  <w:pPr>
                    <w:jc w:val="center"/>
                    <w:rPr>
                      <w:color w:val="auto"/>
                      <w:szCs w:val="21"/>
                      <w:highlight w:val="none"/>
                    </w:rPr>
                  </w:pPr>
                  <w:r>
                    <w:rPr>
                      <w:rFonts w:hint="eastAsia"/>
                      <w:color w:val="auto"/>
                      <w:szCs w:val="21"/>
                      <w:highlight w:val="none"/>
                    </w:rPr>
                    <w:t>废水量</w:t>
                  </w:r>
                </w:p>
              </w:tc>
              <w:tc>
                <w:tcPr>
                  <w:tcW w:w="428" w:type="pct"/>
                  <w:vAlign w:val="center"/>
                </w:tcPr>
                <w:p>
                  <w:pPr>
                    <w:jc w:val="center"/>
                    <w:rPr>
                      <w:color w:val="auto"/>
                      <w:szCs w:val="21"/>
                      <w:highlight w:val="none"/>
                    </w:rPr>
                  </w:pPr>
                  <w:r>
                    <w:rPr>
                      <w:color w:val="auto"/>
                      <w:szCs w:val="21"/>
                      <w:highlight w:val="none"/>
                    </w:rPr>
                    <w:t>pH</w:t>
                  </w:r>
                </w:p>
              </w:tc>
              <w:tc>
                <w:tcPr>
                  <w:tcW w:w="492" w:type="pct"/>
                  <w:vAlign w:val="center"/>
                </w:tcPr>
                <w:p>
                  <w:pPr>
                    <w:jc w:val="center"/>
                    <w:rPr>
                      <w:color w:val="auto"/>
                      <w:szCs w:val="21"/>
                      <w:highlight w:val="none"/>
                    </w:rPr>
                  </w:pPr>
                  <w:r>
                    <w:rPr>
                      <w:color w:val="auto"/>
                      <w:szCs w:val="21"/>
                      <w:highlight w:val="none"/>
                    </w:rPr>
                    <w:t>COD</w:t>
                  </w:r>
                </w:p>
              </w:tc>
              <w:tc>
                <w:tcPr>
                  <w:tcW w:w="561" w:type="pct"/>
                  <w:vAlign w:val="center"/>
                </w:tcPr>
                <w:p>
                  <w:pPr>
                    <w:jc w:val="center"/>
                    <w:rPr>
                      <w:color w:val="auto"/>
                      <w:szCs w:val="21"/>
                      <w:highlight w:val="none"/>
                    </w:rPr>
                  </w:pPr>
                  <w:r>
                    <w:rPr>
                      <w:color w:val="auto"/>
                      <w:szCs w:val="21"/>
                      <w:highlight w:val="none"/>
                    </w:rPr>
                    <w:t>BOD</w:t>
                  </w:r>
                  <w:r>
                    <w:rPr>
                      <w:color w:val="auto"/>
                      <w:szCs w:val="21"/>
                      <w:highlight w:val="none"/>
                      <w:vertAlign w:val="subscript"/>
                    </w:rPr>
                    <w:t>5</w:t>
                  </w:r>
                </w:p>
              </w:tc>
              <w:tc>
                <w:tcPr>
                  <w:tcW w:w="598" w:type="pct"/>
                  <w:vAlign w:val="center"/>
                </w:tcPr>
                <w:p>
                  <w:pPr>
                    <w:jc w:val="center"/>
                    <w:rPr>
                      <w:color w:val="auto"/>
                      <w:szCs w:val="21"/>
                      <w:highlight w:val="none"/>
                    </w:rPr>
                  </w:pPr>
                  <w:r>
                    <w:rPr>
                      <w:color w:val="auto"/>
                      <w:szCs w:val="21"/>
                      <w:highlight w:val="none"/>
                    </w:rPr>
                    <w:t>SS</w:t>
                  </w:r>
                </w:p>
              </w:tc>
              <w:tc>
                <w:tcPr>
                  <w:tcW w:w="605" w:type="pct"/>
                  <w:vAlign w:val="center"/>
                </w:tcPr>
                <w:p>
                  <w:pPr>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561" w:type="pct"/>
                  <w:vAlign w:val="center"/>
                </w:tcPr>
                <w:p>
                  <w:pPr>
                    <w:jc w:val="center"/>
                    <w:rPr>
                      <w:color w:val="auto"/>
                      <w:szCs w:val="21"/>
                      <w:highlight w:val="none"/>
                    </w:rPr>
                  </w:pPr>
                  <w:r>
                    <w:rPr>
                      <w:color w:val="auto"/>
                      <w:szCs w:val="21"/>
                      <w:highlight w:val="none"/>
                      <w:lang w:eastAsia="en-US"/>
                    </w:rPr>
                    <w:t>磷酸盐（以P计）</w:t>
                  </w:r>
                </w:p>
              </w:tc>
              <w:tc>
                <w:tcPr>
                  <w:tcW w:w="561" w:type="pct"/>
                  <w:vAlign w:val="center"/>
                </w:tcPr>
                <w:p>
                  <w:pPr>
                    <w:jc w:val="center"/>
                    <w:rPr>
                      <w:color w:val="auto"/>
                      <w:szCs w:val="21"/>
                      <w:highlight w:val="none"/>
                    </w:rPr>
                  </w:pPr>
                  <w:r>
                    <w:rPr>
                      <w:rFonts w:hint="eastAsia"/>
                      <w:color w:val="auto"/>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jc w:val="center"/>
                    <w:rPr>
                      <w:color w:val="auto"/>
                      <w:szCs w:val="21"/>
                      <w:highlight w:val="none"/>
                    </w:rPr>
                  </w:pPr>
                  <w:r>
                    <w:rPr>
                      <w:color w:val="auto"/>
                      <w:szCs w:val="21"/>
                      <w:highlight w:val="none"/>
                    </w:rPr>
                    <w:t>单位</w:t>
                  </w:r>
                </w:p>
              </w:tc>
              <w:tc>
                <w:tcPr>
                  <w:tcW w:w="428" w:type="pct"/>
                  <w:vAlign w:val="center"/>
                </w:tcPr>
                <w:p>
                  <w:pPr>
                    <w:rPr>
                      <w:color w:val="auto"/>
                      <w:szCs w:val="21"/>
                      <w:highlight w:val="none"/>
                    </w:rPr>
                  </w:pP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/d</w:t>
                  </w:r>
                </w:p>
              </w:tc>
              <w:tc>
                <w:tcPr>
                  <w:tcW w:w="428" w:type="pct"/>
                  <w:vAlign w:val="center"/>
                </w:tcPr>
                <w:p>
                  <w:pPr>
                    <w:jc w:val="center"/>
                    <w:rPr>
                      <w:color w:val="auto"/>
                      <w:szCs w:val="21"/>
                      <w:highlight w:val="none"/>
                    </w:rPr>
                  </w:pPr>
                  <w:r>
                    <w:rPr>
                      <w:color w:val="auto"/>
                      <w:szCs w:val="21"/>
                      <w:highlight w:val="none"/>
                    </w:rPr>
                    <w:t>/</w:t>
                  </w:r>
                </w:p>
              </w:tc>
              <w:tc>
                <w:tcPr>
                  <w:tcW w:w="492" w:type="pct"/>
                  <w:vAlign w:val="center"/>
                </w:tcPr>
                <w:p>
                  <w:pPr>
                    <w:jc w:val="center"/>
                    <w:rPr>
                      <w:color w:val="auto"/>
                      <w:szCs w:val="21"/>
                      <w:highlight w:val="none"/>
                    </w:rPr>
                  </w:pPr>
                  <w:r>
                    <w:rPr>
                      <w:color w:val="auto"/>
                      <w:szCs w:val="21"/>
                      <w:highlight w:val="none"/>
                    </w:rPr>
                    <w:t>mg/L</w:t>
                  </w:r>
                </w:p>
              </w:tc>
              <w:tc>
                <w:tcPr>
                  <w:tcW w:w="561" w:type="pct"/>
                  <w:vAlign w:val="center"/>
                </w:tcPr>
                <w:p>
                  <w:pPr>
                    <w:jc w:val="center"/>
                    <w:rPr>
                      <w:color w:val="auto"/>
                      <w:szCs w:val="21"/>
                      <w:highlight w:val="none"/>
                    </w:rPr>
                  </w:pPr>
                  <w:r>
                    <w:rPr>
                      <w:color w:val="auto"/>
                      <w:szCs w:val="21"/>
                      <w:highlight w:val="none"/>
                    </w:rPr>
                    <w:t>mg/L</w:t>
                  </w:r>
                </w:p>
              </w:tc>
              <w:tc>
                <w:tcPr>
                  <w:tcW w:w="598" w:type="pct"/>
                  <w:vAlign w:val="center"/>
                </w:tcPr>
                <w:p>
                  <w:pPr>
                    <w:jc w:val="center"/>
                    <w:rPr>
                      <w:color w:val="auto"/>
                      <w:szCs w:val="21"/>
                      <w:highlight w:val="none"/>
                    </w:rPr>
                  </w:pPr>
                  <w:r>
                    <w:rPr>
                      <w:color w:val="auto"/>
                      <w:szCs w:val="21"/>
                      <w:highlight w:val="none"/>
                    </w:rPr>
                    <w:t>mg/L</w:t>
                  </w:r>
                </w:p>
              </w:tc>
              <w:tc>
                <w:tcPr>
                  <w:tcW w:w="605" w:type="pct"/>
                  <w:vAlign w:val="center"/>
                </w:tcPr>
                <w:p>
                  <w:pPr>
                    <w:jc w:val="center"/>
                    <w:rPr>
                      <w:color w:val="auto"/>
                      <w:szCs w:val="21"/>
                      <w:highlight w:val="none"/>
                    </w:rPr>
                  </w:pPr>
                  <w:r>
                    <w:rPr>
                      <w:color w:val="auto"/>
                      <w:szCs w:val="21"/>
                      <w:highlight w:val="none"/>
                    </w:rPr>
                    <w:t>mg/L</w:t>
                  </w:r>
                </w:p>
              </w:tc>
              <w:tc>
                <w:tcPr>
                  <w:tcW w:w="561" w:type="pct"/>
                  <w:vAlign w:val="center"/>
                </w:tcPr>
                <w:p>
                  <w:pPr>
                    <w:jc w:val="center"/>
                    <w:rPr>
                      <w:color w:val="auto"/>
                      <w:szCs w:val="21"/>
                      <w:highlight w:val="none"/>
                    </w:rPr>
                  </w:pPr>
                  <w:r>
                    <w:rPr>
                      <w:color w:val="auto"/>
                      <w:szCs w:val="21"/>
                      <w:highlight w:val="none"/>
                    </w:rPr>
                    <w:t>mg/L</w:t>
                  </w:r>
                </w:p>
              </w:tc>
              <w:tc>
                <w:tcPr>
                  <w:tcW w:w="561" w:type="pct"/>
                  <w:vAlign w:val="center"/>
                </w:tcPr>
                <w:p>
                  <w:pPr>
                    <w:jc w:val="center"/>
                    <w:rPr>
                      <w:color w:val="auto"/>
                      <w:szCs w:val="21"/>
                      <w:highlight w:val="none"/>
                    </w:rPr>
                  </w:pPr>
                  <w:r>
                    <w:rPr>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jc w:val="center"/>
                    <w:rPr>
                      <w:color w:val="auto"/>
                      <w:szCs w:val="21"/>
                      <w:highlight w:val="none"/>
                      <w:lang w:eastAsia="zh"/>
                    </w:rPr>
                  </w:pPr>
                  <w:r>
                    <w:rPr>
                      <w:rFonts w:hint="eastAsia"/>
                      <w:color w:val="auto"/>
                      <w:szCs w:val="21"/>
                      <w:highlight w:val="none"/>
                    </w:rPr>
                    <w:t>FS含油废水及其他非放射性废水</w:t>
                  </w:r>
                </w:p>
              </w:tc>
              <w:tc>
                <w:tcPr>
                  <w:tcW w:w="428" w:type="pct"/>
                  <w:vAlign w:val="center"/>
                </w:tcPr>
                <w:p>
                  <w:pPr>
                    <w:jc w:val="center"/>
                    <w:rPr>
                      <w:color w:val="auto"/>
                      <w:szCs w:val="21"/>
                      <w:highlight w:val="none"/>
                    </w:rPr>
                  </w:pPr>
                  <w:r>
                    <w:rPr>
                      <w:rFonts w:hint="eastAsia"/>
                      <w:color w:val="auto"/>
                      <w:szCs w:val="21"/>
                      <w:highlight w:val="none"/>
                    </w:rPr>
                    <w:t>4700</w:t>
                  </w:r>
                </w:p>
              </w:tc>
              <w:tc>
                <w:tcPr>
                  <w:tcW w:w="428" w:type="pct"/>
                  <w:vAlign w:val="center"/>
                </w:tcPr>
                <w:p>
                  <w:pPr>
                    <w:jc w:val="center"/>
                    <w:rPr>
                      <w:color w:val="auto"/>
                      <w:szCs w:val="21"/>
                      <w:highlight w:val="none"/>
                    </w:rPr>
                  </w:pPr>
                  <w:r>
                    <w:rPr>
                      <w:color w:val="auto"/>
                      <w:szCs w:val="21"/>
                      <w:highlight w:val="none"/>
                    </w:rPr>
                    <w:t>6~10</w:t>
                  </w:r>
                </w:p>
              </w:tc>
              <w:tc>
                <w:tcPr>
                  <w:tcW w:w="492" w:type="pct"/>
                  <w:vAlign w:val="center"/>
                </w:tcPr>
                <w:p>
                  <w:pPr>
                    <w:jc w:val="center"/>
                    <w:rPr>
                      <w:color w:val="auto"/>
                      <w:szCs w:val="21"/>
                      <w:highlight w:val="none"/>
                    </w:rPr>
                  </w:pPr>
                  <w:r>
                    <w:rPr>
                      <w:rFonts w:hint="eastAsia"/>
                      <w:color w:val="auto"/>
                      <w:szCs w:val="21"/>
                      <w:highlight w:val="none"/>
                    </w:rPr>
                    <w:t>50-120</w:t>
                  </w:r>
                </w:p>
              </w:tc>
              <w:tc>
                <w:tcPr>
                  <w:tcW w:w="561" w:type="pct"/>
                  <w:vAlign w:val="center"/>
                </w:tcPr>
                <w:p>
                  <w:pPr>
                    <w:jc w:val="center"/>
                    <w:rPr>
                      <w:color w:val="auto"/>
                      <w:szCs w:val="21"/>
                      <w:highlight w:val="none"/>
                    </w:rPr>
                  </w:pPr>
                  <w:r>
                    <w:rPr>
                      <w:rFonts w:hint="eastAsia"/>
                      <w:color w:val="auto"/>
                      <w:szCs w:val="21"/>
                      <w:highlight w:val="none"/>
                    </w:rPr>
                    <w:t>10</w:t>
                  </w:r>
                  <w:r>
                    <w:rPr>
                      <w:color w:val="auto"/>
                      <w:szCs w:val="21"/>
                      <w:highlight w:val="none"/>
                    </w:rPr>
                    <w:t>~</w:t>
                  </w:r>
                  <w:r>
                    <w:rPr>
                      <w:rFonts w:hint="eastAsia"/>
                      <w:color w:val="auto"/>
                      <w:szCs w:val="21"/>
                      <w:highlight w:val="none"/>
                    </w:rPr>
                    <w:t>20</w:t>
                  </w:r>
                </w:p>
              </w:tc>
              <w:tc>
                <w:tcPr>
                  <w:tcW w:w="598" w:type="pct"/>
                  <w:vAlign w:val="center"/>
                </w:tcPr>
                <w:p>
                  <w:pPr>
                    <w:jc w:val="center"/>
                    <w:rPr>
                      <w:color w:val="auto"/>
                      <w:szCs w:val="21"/>
                      <w:highlight w:val="none"/>
                    </w:rPr>
                  </w:pPr>
                  <w:r>
                    <w:rPr>
                      <w:rFonts w:hint="eastAsia"/>
                      <w:color w:val="auto"/>
                      <w:szCs w:val="21"/>
                      <w:highlight w:val="none"/>
                    </w:rPr>
                    <w:t>20</w:t>
                  </w:r>
                  <w:r>
                    <w:rPr>
                      <w:color w:val="auto"/>
                      <w:szCs w:val="21"/>
                      <w:highlight w:val="none"/>
                    </w:rPr>
                    <w:t>~</w:t>
                  </w:r>
                  <w:r>
                    <w:rPr>
                      <w:rFonts w:hint="eastAsia"/>
                      <w:color w:val="auto"/>
                      <w:szCs w:val="21"/>
                      <w:highlight w:val="none"/>
                    </w:rPr>
                    <w:t>80</w:t>
                  </w:r>
                </w:p>
              </w:tc>
              <w:tc>
                <w:tcPr>
                  <w:tcW w:w="605" w:type="pct"/>
                  <w:vAlign w:val="center"/>
                </w:tcPr>
                <w:p>
                  <w:pPr>
                    <w:jc w:val="center"/>
                    <w:rPr>
                      <w:color w:val="auto"/>
                      <w:szCs w:val="21"/>
                      <w:highlight w:val="none"/>
                    </w:rPr>
                  </w:pPr>
                  <w:r>
                    <w:rPr>
                      <w:rFonts w:hint="eastAsia"/>
                      <w:color w:val="auto"/>
                      <w:szCs w:val="21"/>
                      <w:highlight w:val="none"/>
                    </w:rPr>
                    <w:t>5</w:t>
                  </w:r>
                  <w:r>
                    <w:rPr>
                      <w:color w:val="auto"/>
                      <w:szCs w:val="21"/>
                      <w:highlight w:val="none"/>
                    </w:rPr>
                    <w:t>~</w:t>
                  </w:r>
                  <w:r>
                    <w:rPr>
                      <w:rFonts w:hint="eastAsia"/>
                      <w:color w:val="auto"/>
                      <w:szCs w:val="21"/>
                      <w:highlight w:val="none"/>
                    </w:rPr>
                    <w:t>20</w:t>
                  </w:r>
                </w:p>
              </w:tc>
              <w:tc>
                <w:tcPr>
                  <w:tcW w:w="561" w:type="pct"/>
                  <w:vAlign w:val="center"/>
                </w:tcPr>
                <w:p>
                  <w:pPr>
                    <w:jc w:val="center"/>
                    <w:rPr>
                      <w:color w:val="auto"/>
                      <w:szCs w:val="21"/>
                      <w:highlight w:val="none"/>
                    </w:rPr>
                  </w:pPr>
                  <w:r>
                    <w:rPr>
                      <w:color w:val="auto"/>
                      <w:szCs w:val="21"/>
                      <w:highlight w:val="none"/>
                    </w:rPr>
                    <w:t>≤2</w:t>
                  </w:r>
                </w:p>
              </w:tc>
              <w:tc>
                <w:tcPr>
                  <w:tcW w:w="561" w:type="pct"/>
                  <w:vAlign w:val="center"/>
                </w:tcPr>
                <w:p>
                  <w:pPr>
                    <w:jc w:val="center"/>
                    <w:rPr>
                      <w:color w:val="auto"/>
                      <w:szCs w:val="21"/>
                      <w:highlight w:val="none"/>
                    </w:rPr>
                  </w:pPr>
                  <w:r>
                    <w:rPr>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jc w:val="center"/>
                    <w:rPr>
                      <w:color w:val="auto"/>
                      <w:szCs w:val="21"/>
                      <w:highlight w:val="none"/>
                      <w:lang w:eastAsia="zh"/>
                    </w:rPr>
                  </w:pPr>
                  <w:r>
                    <w:rPr>
                      <w:rFonts w:hint="eastAsia"/>
                      <w:color w:val="auto"/>
                      <w:szCs w:val="21"/>
                      <w:highlight w:val="none"/>
                    </w:rPr>
                    <w:t>除盐水厂房</w:t>
                  </w:r>
                  <w:r>
                    <w:rPr>
                      <w:rFonts w:hint="eastAsia"/>
                      <w:color w:val="auto"/>
                      <w:highlight w:val="none"/>
                    </w:rPr>
                    <w:t>排水</w:t>
                  </w:r>
                </w:p>
              </w:tc>
              <w:tc>
                <w:tcPr>
                  <w:tcW w:w="428" w:type="pct"/>
                  <w:vAlign w:val="center"/>
                </w:tcPr>
                <w:p>
                  <w:pPr>
                    <w:jc w:val="center"/>
                    <w:rPr>
                      <w:color w:val="auto"/>
                      <w:szCs w:val="21"/>
                      <w:highlight w:val="none"/>
                    </w:rPr>
                  </w:pPr>
                  <w:r>
                    <w:rPr>
                      <w:rFonts w:hint="eastAsia"/>
                      <w:color w:val="auto"/>
                      <w:szCs w:val="21"/>
                      <w:highlight w:val="none"/>
                    </w:rPr>
                    <w:t>2100</w:t>
                  </w:r>
                </w:p>
              </w:tc>
              <w:tc>
                <w:tcPr>
                  <w:tcW w:w="428" w:type="pct"/>
                  <w:vAlign w:val="center"/>
                </w:tcPr>
                <w:p>
                  <w:pPr>
                    <w:jc w:val="center"/>
                    <w:rPr>
                      <w:color w:val="auto"/>
                      <w:szCs w:val="21"/>
                      <w:highlight w:val="none"/>
                    </w:rPr>
                  </w:pPr>
                  <w:r>
                    <w:rPr>
                      <w:color w:val="auto"/>
                      <w:szCs w:val="21"/>
                      <w:highlight w:val="none"/>
                    </w:rPr>
                    <w:t>6~10</w:t>
                  </w:r>
                </w:p>
              </w:tc>
              <w:tc>
                <w:tcPr>
                  <w:tcW w:w="492" w:type="pct"/>
                  <w:vAlign w:val="center"/>
                </w:tcPr>
                <w:p>
                  <w:pPr>
                    <w:jc w:val="center"/>
                    <w:rPr>
                      <w:color w:val="auto"/>
                      <w:szCs w:val="21"/>
                      <w:highlight w:val="none"/>
                    </w:rPr>
                  </w:pPr>
                  <w:r>
                    <w:rPr>
                      <w:rFonts w:hint="eastAsia"/>
                      <w:color w:val="auto"/>
                      <w:szCs w:val="21"/>
                      <w:highlight w:val="none"/>
                    </w:rPr>
                    <w:t>50</w:t>
                  </w:r>
                  <w:r>
                    <w:rPr>
                      <w:color w:val="auto"/>
                      <w:szCs w:val="21"/>
                      <w:highlight w:val="none"/>
                    </w:rPr>
                    <w:t>~</w:t>
                  </w:r>
                  <w:r>
                    <w:rPr>
                      <w:rFonts w:hint="eastAsia"/>
                      <w:color w:val="auto"/>
                      <w:szCs w:val="21"/>
                      <w:highlight w:val="none"/>
                    </w:rPr>
                    <w:t>105</w:t>
                  </w:r>
                </w:p>
              </w:tc>
              <w:tc>
                <w:tcPr>
                  <w:tcW w:w="561" w:type="pct"/>
                  <w:vAlign w:val="center"/>
                </w:tcPr>
                <w:p>
                  <w:pPr>
                    <w:jc w:val="center"/>
                    <w:rPr>
                      <w:color w:val="auto"/>
                      <w:szCs w:val="21"/>
                      <w:highlight w:val="none"/>
                    </w:rPr>
                  </w:pPr>
                  <w:r>
                    <w:rPr>
                      <w:rFonts w:hint="eastAsia"/>
                      <w:color w:val="auto"/>
                      <w:szCs w:val="21"/>
                      <w:highlight w:val="none"/>
                    </w:rPr>
                    <w:t>5</w:t>
                  </w:r>
                  <w:r>
                    <w:rPr>
                      <w:color w:val="auto"/>
                      <w:szCs w:val="21"/>
                      <w:highlight w:val="none"/>
                    </w:rPr>
                    <w:t>~</w:t>
                  </w:r>
                  <w:r>
                    <w:rPr>
                      <w:rFonts w:hint="eastAsia"/>
                      <w:color w:val="auto"/>
                      <w:szCs w:val="21"/>
                      <w:highlight w:val="none"/>
                    </w:rPr>
                    <w:t>15</w:t>
                  </w:r>
                </w:p>
              </w:tc>
              <w:tc>
                <w:tcPr>
                  <w:tcW w:w="598" w:type="pct"/>
                  <w:vAlign w:val="center"/>
                </w:tcPr>
                <w:p>
                  <w:pPr>
                    <w:jc w:val="center"/>
                    <w:rPr>
                      <w:color w:val="auto"/>
                      <w:szCs w:val="21"/>
                      <w:highlight w:val="none"/>
                    </w:rPr>
                  </w:pPr>
                  <w:r>
                    <w:rPr>
                      <w:rFonts w:hint="eastAsia"/>
                      <w:color w:val="auto"/>
                      <w:szCs w:val="21"/>
                      <w:highlight w:val="none"/>
                    </w:rPr>
                    <w:t>20</w:t>
                  </w:r>
                  <w:r>
                    <w:rPr>
                      <w:color w:val="auto"/>
                      <w:szCs w:val="21"/>
                      <w:highlight w:val="none"/>
                    </w:rPr>
                    <w:t>~</w:t>
                  </w:r>
                  <w:r>
                    <w:rPr>
                      <w:rFonts w:hint="eastAsia"/>
                      <w:color w:val="auto"/>
                      <w:szCs w:val="21"/>
                      <w:highlight w:val="none"/>
                    </w:rPr>
                    <w:t>80</w:t>
                  </w:r>
                </w:p>
              </w:tc>
              <w:tc>
                <w:tcPr>
                  <w:tcW w:w="605" w:type="pct"/>
                  <w:vAlign w:val="center"/>
                </w:tcPr>
                <w:p>
                  <w:pPr>
                    <w:jc w:val="center"/>
                    <w:rPr>
                      <w:color w:val="auto"/>
                      <w:szCs w:val="21"/>
                      <w:highlight w:val="none"/>
                    </w:rPr>
                  </w:pPr>
                  <w:r>
                    <w:rPr>
                      <w:color w:val="auto"/>
                      <w:szCs w:val="21"/>
                      <w:highlight w:val="none"/>
                    </w:rPr>
                    <w:t>≤</w:t>
                  </w:r>
                  <w:r>
                    <w:rPr>
                      <w:rFonts w:hint="eastAsia"/>
                      <w:color w:val="auto"/>
                      <w:szCs w:val="21"/>
                      <w:highlight w:val="none"/>
                    </w:rPr>
                    <w:t>7</w:t>
                  </w:r>
                </w:p>
              </w:tc>
              <w:tc>
                <w:tcPr>
                  <w:tcW w:w="561" w:type="pct"/>
                  <w:vAlign w:val="center"/>
                </w:tcPr>
                <w:p>
                  <w:pPr>
                    <w:jc w:val="center"/>
                    <w:rPr>
                      <w:color w:val="auto"/>
                      <w:szCs w:val="21"/>
                      <w:highlight w:val="none"/>
                    </w:rPr>
                  </w:pPr>
                  <w:r>
                    <w:rPr>
                      <w:rFonts w:hint="eastAsia"/>
                      <w:color w:val="auto"/>
                      <w:szCs w:val="21"/>
                      <w:highlight w:val="none"/>
                    </w:rPr>
                    <w:t>0.5~5</w:t>
                  </w:r>
                </w:p>
              </w:tc>
              <w:tc>
                <w:tcPr>
                  <w:tcW w:w="561" w:type="pct"/>
                  <w:vAlign w:val="center"/>
                </w:tcPr>
                <w:p>
                  <w:pPr>
                    <w:jc w:val="center"/>
                    <w:rPr>
                      <w:color w:val="auto"/>
                      <w:szCs w:val="21"/>
                      <w:highlight w:val="none"/>
                    </w:rPr>
                  </w:pPr>
                  <w:r>
                    <w:rPr>
                      <w:rFonts w:hint="eastAsia"/>
                      <w:color w:val="auto"/>
                      <w:szCs w:val="21"/>
                      <w:highlight w:val="none"/>
                    </w:rPr>
                    <w:t>/</w:t>
                  </w:r>
                </w:p>
              </w:tc>
            </w:tr>
          </w:tbl>
          <w:p>
            <w:pPr>
              <w:pStyle w:val="8"/>
              <w:ind w:firstLine="482"/>
              <w:jc w:val="center"/>
              <w:rPr>
                <w:b/>
                <w:bCs/>
                <w:color w:val="auto"/>
                <w:highlight w:val="none"/>
              </w:rPr>
            </w:pPr>
          </w:p>
          <w:p>
            <w:pPr>
              <w:pStyle w:val="8"/>
              <w:ind w:firstLine="482"/>
              <w:jc w:val="center"/>
              <w:rPr>
                <w:b/>
                <w:bCs/>
                <w:color w:val="auto"/>
                <w:highlight w:val="none"/>
              </w:rPr>
            </w:pPr>
            <w:r>
              <w:rPr>
                <w:rFonts w:hint="eastAsia"/>
                <w:b/>
                <w:bCs/>
                <w:color w:val="auto"/>
                <w:highlight w:val="none"/>
              </w:rPr>
              <w:t>表2-6 非放射性废水处理站设计出水水质</w:t>
            </w:r>
          </w:p>
          <w:tbl>
            <w:tblPr>
              <w:tblStyle w:val="39"/>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7"/>
              <w:gridCol w:w="411"/>
              <w:gridCol w:w="1077"/>
              <w:gridCol w:w="1185"/>
              <w:gridCol w:w="1190"/>
              <w:gridCol w:w="966"/>
              <w:gridCol w:w="966"/>
              <w:gridCol w:w="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0" w:hRule="atLeast"/>
              </w:trPr>
              <w:tc>
                <w:tcPr>
                  <w:tcW w:w="979" w:type="pct"/>
                </w:tcPr>
                <w:p>
                  <w:pPr>
                    <w:pStyle w:val="38"/>
                    <w:rPr>
                      <w:color w:val="auto"/>
                      <w:highlight w:val="none"/>
                    </w:rPr>
                  </w:pPr>
                  <w:r>
                    <w:rPr>
                      <w:rFonts w:hint="eastAsia"/>
                      <w:color w:val="auto"/>
                      <w:highlight w:val="none"/>
                    </w:rPr>
                    <w:t>指标</w:t>
                  </w:r>
                </w:p>
              </w:tc>
              <w:tc>
                <w:tcPr>
                  <w:tcW w:w="244" w:type="pct"/>
                </w:tcPr>
                <w:p>
                  <w:pPr>
                    <w:pStyle w:val="38"/>
                    <w:rPr>
                      <w:color w:val="auto"/>
                      <w:highlight w:val="none"/>
                    </w:rPr>
                  </w:pPr>
                  <w:r>
                    <w:rPr>
                      <w:color w:val="auto"/>
                      <w:highlight w:val="none"/>
                    </w:rPr>
                    <w:t>pH</w:t>
                  </w:r>
                </w:p>
              </w:tc>
              <w:tc>
                <w:tcPr>
                  <w:tcW w:w="640" w:type="pct"/>
                </w:tcPr>
                <w:p>
                  <w:pPr>
                    <w:pStyle w:val="38"/>
                    <w:rPr>
                      <w:color w:val="auto"/>
                      <w:highlight w:val="none"/>
                    </w:rPr>
                  </w:pPr>
                  <w:r>
                    <w:rPr>
                      <w:color w:val="auto"/>
                      <w:highlight w:val="none"/>
                    </w:rPr>
                    <w:t>COD</w:t>
                  </w:r>
                  <w:r>
                    <w:rPr>
                      <w:rFonts w:hint="eastAsia"/>
                      <w:color w:val="auto"/>
                      <w:highlight w:val="none"/>
                    </w:rPr>
                    <w:t>(</w:t>
                  </w:r>
                  <w:r>
                    <w:rPr>
                      <w:color w:val="auto"/>
                      <w:highlight w:val="none"/>
                    </w:rPr>
                    <w:t>mg/L</w:t>
                  </w:r>
                  <w:r>
                    <w:rPr>
                      <w:rFonts w:hint="eastAsia"/>
                      <w:color w:val="auto"/>
                      <w:highlight w:val="none"/>
                    </w:rPr>
                    <w:t>)</w:t>
                  </w:r>
                </w:p>
              </w:tc>
              <w:tc>
                <w:tcPr>
                  <w:tcW w:w="704" w:type="pct"/>
                </w:tcPr>
                <w:p>
                  <w:pPr>
                    <w:pStyle w:val="38"/>
                    <w:rPr>
                      <w:color w:val="auto"/>
                      <w:highlight w:val="none"/>
                    </w:rPr>
                  </w:pPr>
                  <w:r>
                    <w:rPr>
                      <w:color w:val="auto"/>
                      <w:highlight w:val="none"/>
                    </w:rPr>
                    <w:t>BOD</w:t>
                  </w:r>
                  <w:r>
                    <w:rPr>
                      <w:color w:val="auto"/>
                      <w:highlight w:val="none"/>
                      <w:vertAlign w:val="subscript"/>
                    </w:rPr>
                    <w:t>5</w:t>
                  </w:r>
                  <w:r>
                    <w:rPr>
                      <w:rFonts w:hint="eastAsia"/>
                      <w:color w:val="auto"/>
                      <w:highlight w:val="none"/>
                    </w:rPr>
                    <w:t>(</w:t>
                  </w:r>
                  <w:r>
                    <w:rPr>
                      <w:color w:val="auto"/>
                      <w:highlight w:val="none"/>
                    </w:rPr>
                    <w:t>mg/L</w:t>
                  </w:r>
                  <w:r>
                    <w:rPr>
                      <w:rFonts w:hint="eastAsia"/>
                      <w:color w:val="auto"/>
                      <w:highlight w:val="none"/>
                    </w:rPr>
                    <w:t>)</w:t>
                  </w:r>
                </w:p>
              </w:tc>
              <w:tc>
                <w:tcPr>
                  <w:tcW w:w="707" w:type="pct"/>
                </w:tcPr>
                <w:p>
                  <w:pPr>
                    <w:pStyle w:val="38"/>
                    <w:ind w:firstLine="420" w:firstLineChars="200"/>
                    <w:rPr>
                      <w:color w:val="auto"/>
                      <w:highlight w:val="none"/>
                    </w:rPr>
                  </w:pPr>
                  <w:r>
                    <w:rPr>
                      <w:color w:val="auto"/>
                      <w:highlight w:val="none"/>
                    </w:rPr>
                    <w:t>SS</w:t>
                  </w:r>
                </w:p>
                <w:p>
                  <w:pPr>
                    <w:pStyle w:val="38"/>
                    <w:ind w:firstLine="420" w:firstLineChars="200"/>
                    <w:rPr>
                      <w:color w:val="auto"/>
                      <w:highlight w:val="none"/>
                    </w:rPr>
                  </w:pPr>
                  <w:r>
                    <w:rPr>
                      <w:rFonts w:hint="eastAsia"/>
                      <w:color w:val="auto"/>
                      <w:highlight w:val="none"/>
                    </w:rPr>
                    <w:t>(</w:t>
                  </w:r>
                  <w:r>
                    <w:rPr>
                      <w:color w:val="auto"/>
                      <w:highlight w:val="none"/>
                    </w:rPr>
                    <w:t>mg/L</w:t>
                  </w:r>
                  <w:r>
                    <w:rPr>
                      <w:rFonts w:hint="eastAsia"/>
                      <w:color w:val="auto"/>
                      <w:highlight w:val="none"/>
                    </w:rPr>
                    <w:t>)</w:t>
                  </w:r>
                </w:p>
              </w:tc>
              <w:tc>
                <w:tcPr>
                  <w:tcW w:w="574" w:type="pct"/>
                </w:tcPr>
                <w:p>
                  <w:pPr>
                    <w:pStyle w:val="38"/>
                    <w:rPr>
                      <w:color w:val="auto"/>
                      <w:highlight w:val="none"/>
                    </w:rPr>
                  </w:pPr>
                  <w:r>
                    <w:rPr>
                      <w:color w:val="auto"/>
                      <w:highlight w:val="none"/>
                    </w:rPr>
                    <w:t>氨氮（mg/L）</w:t>
                  </w:r>
                </w:p>
              </w:tc>
              <w:tc>
                <w:tcPr>
                  <w:tcW w:w="574" w:type="pct"/>
                </w:tcPr>
                <w:p>
                  <w:pPr>
                    <w:pStyle w:val="38"/>
                    <w:rPr>
                      <w:color w:val="auto"/>
                      <w:highlight w:val="none"/>
                    </w:rPr>
                  </w:pPr>
                  <w:r>
                    <w:rPr>
                      <w:color w:val="auto"/>
                      <w:highlight w:val="none"/>
                    </w:rPr>
                    <w:t>磷酸盐（以P计）（mg/L）</w:t>
                  </w:r>
                </w:p>
              </w:tc>
              <w:tc>
                <w:tcPr>
                  <w:tcW w:w="575" w:type="pct"/>
                </w:tcPr>
                <w:p>
                  <w:pPr>
                    <w:pStyle w:val="38"/>
                    <w:rPr>
                      <w:color w:val="auto"/>
                      <w:highlight w:val="none"/>
                    </w:rPr>
                  </w:pPr>
                  <w:r>
                    <w:rPr>
                      <w:color w:val="auto"/>
                      <w:highlight w:val="none"/>
                    </w:rPr>
                    <w:t>石油类（mg/L）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79" w:type="pct"/>
                </w:tcPr>
                <w:p>
                  <w:pPr>
                    <w:pStyle w:val="38"/>
                    <w:rPr>
                      <w:color w:val="auto"/>
                      <w:highlight w:val="none"/>
                    </w:rPr>
                  </w:pPr>
                  <w:r>
                    <w:rPr>
                      <w:rFonts w:hint="eastAsia"/>
                      <w:color w:val="auto"/>
                      <w:highlight w:val="none"/>
                    </w:rPr>
                    <w:t>（GB8978-1996）的表4一级标准</w:t>
                  </w:r>
                </w:p>
              </w:tc>
              <w:tc>
                <w:tcPr>
                  <w:tcW w:w="244" w:type="pct"/>
                </w:tcPr>
                <w:p>
                  <w:pPr>
                    <w:pStyle w:val="38"/>
                    <w:rPr>
                      <w:color w:val="auto"/>
                      <w:highlight w:val="none"/>
                    </w:rPr>
                  </w:pPr>
                  <w:r>
                    <w:rPr>
                      <w:rFonts w:hint="eastAsia"/>
                      <w:color w:val="auto"/>
                      <w:highlight w:val="none"/>
                    </w:rPr>
                    <w:t>6-9</w:t>
                  </w:r>
                </w:p>
              </w:tc>
              <w:tc>
                <w:tcPr>
                  <w:tcW w:w="640" w:type="pct"/>
                </w:tcPr>
                <w:p>
                  <w:pPr>
                    <w:pStyle w:val="38"/>
                    <w:rPr>
                      <w:color w:val="auto"/>
                      <w:highlight w:val="none"/>
                    </w:rPr>
                  </w:pPr>
                  <w:r>
                    <w:rPr>
                      <w:rFonts w:hint="eastAsia"/>
                      <w:color w:val="auto"/>
                      <w:highlight w:val="none"/>
                    </w:rPr>
                    <w:t>100</w:t>
                  </w:r>
                </w:p>
              </w:tc>
              <w:tc>
                <w:tcPr>
                  <w:tcW w:w="704" w:type="pct"/>
                </w:tcPr>
                <w:p>
                  <w:pPr>
                    <w:pStyle w:val="38"/>
                    <w:rPr>
                      <w:color w:val="auto"/>
                      <w:highlight w:val="none"/>
                    </w:rPr>
                  </w:pPr>
                  <w:r>
                    <w:rPr>
                      <w:rFonts w:hint="eastAsia"/>
                      <w:color w:val="auto"/>
                      <w:highlight w:val="none"/>
                    </w:rPr>
                    <w:t>20</w:t>
                  </w:r>
                </w:p>
              </w:tc>
              <w:tc>
                <w:tcPr>
                  <w:tcW w:w="707" w:type="pct"/>
                </w:tcPr>
                <w:p>
                  <w:pPr>
                    <w:pStyle w:val="38"/>
                    <w:rPr>
                      <w:color w:val="auto"/>
                      <w:highlight w:val="none"/>
                    </w:rPr>
                  </w:pPr>
                  <w:r>
                    <w:rPr>
                      <w:rFonts w:hint="eastAsia"/>
                      <w:color w:val="auto"/>
                      <w:highlight w:val="none"/>
                    </w:rPr>
                    <w:t>70</w:t>
                  </w:r>
                </w:p>
              </w:tc>
              <w:tc>
                <w:tcPr>
                  <w:tcW w:w="574" w:type="pct"/>
                </w:tcPr>
                <w:p>
                  <w:pPr>
                    <w:pStyle w:val="38"/>
                    <w:rPr>
                      <w:color w:val="auto"/>
                      <w:highlight w:val="none"/>
                    </w:rPr>
                  </w:pPr>
                  <w:r>
                    <w:rPr>
                      <w:rFonts w:hint="eastAsia"/>
                      <w:color w:val="auto"/>
                      <w:highlight w:val="none"/>
                    </w:rPr>
                    <w:t>15</w:t>
                  </w:r>
                </w:p>
              </w:tc>
              <w:tc>
                <w:tcPr>
                  <w:tcW w:w="574" w:type="pct"/>
                </w:tcPr>
                <w:p>
                  <w:pPr>
                    <w:pStyle w:val="38"/>
                    <w:rPr>
                      <w:color w:val="auto"/>
                      <w:highlight w:val="none"/>
                    </w:rPr>
                  </w:pPr>
                  <w:r>
                    <w:rPr>
                      <w:rFonts w:hint="eastAsia"/>
                      <w:color w:val="auto"/>
                      <w:highlight w:val="none"/>
                    </w:rPr>
                    <w:t>0.5</w:t>
                  </w:r>
                </w:p>
              </w:tc>
              <w:tc>
                <w:tcPr>
                  <w:tcW w:w="575" w:type="pct"/>
                </w:tcPr>
                <w:p>
                  <w:pPr>
                    <w:pStyle w:val="38"/>
                    <w:rPr>
                      <w:color w:val="auto"/>
                      <w:highlight w:val="none"/>
                    </w:rPr>
                  </w:pPr>
                  <w:r>
                    <w:rPr>
                      <w:rFonts w:hint="eastAsia"/>
                      <w:color w:val="auto"/>
                      <w:highlight w:val="none"/>
                    </w:rPr>
                    <w:t>5</w:t>
                  </w:r>
                </w:p>
              </w:tc>
            </w:tr>
          </w:tbl>
          <w:p>
            <w:pPr>
              <w:pStyle w:val="8"/>
              <w:rPr>
                <w:color w:val="auto"/>
                <w:kern w:val="2"/>
                <w:highlight w:val="none"/>
              </w:rPr>
            </w:pPr>
          </w:p>
          <w:p>
            <w:pPr>
              <w:pStyle w:val="4"/>
              <w:rPr>
                <w:color w:val="auto"/>
                <w:highlight w:val="none"/>
              </w:rPr>
            </w:pPr>
            <w:r>
              <w:rPr>
                <w:rFonts w:hint="eastAsia"/>
                <w:color w:val="auto"/>
                <w:highlight w:val="none"/>
              </w:rPr>
              <w:t>2.1.6</w:t>
            </w:r>
            <w:r>
              <w:rPr>
                <w:color w:val="auto"/>
                <w:highlight w:val="none"/>
              </w:rPr>
              <w:t>主要生产设备</w:t>
            </w:r>
          </w:p>
          <w:p>
            <w:pPr>
              <w:pStyle w:val="8"/>
              <w:rPr>
                <w:color w:val="auto"/>
                <w:kern w:val="2"/>
                <w:highlight w:val="none"/>
              </w:rPr>
            </w:pPr>
            <w:r>
              <w:rPr>
                <w:rFonts w:hint="eastAsia"/>
                <w:color w:val="auto"/>
                <w:highlight w:val="none"/>
                <w:lang w:val="en-US" w:eastAsia="zh-CN"/>
              </w:rPr>
              <w:t>根据项目可研报告，</w:t>
            </w:r>
            <w:r>
              <w:rPr>
                <w:rFonts w:hint="eastAsia"/>
                <w:color w:val="auto"/>
                <w:highlight w:val="none"/>
              </w:rPr>
              <w:t>本次建设非放射性废水处理站，配套设备</w:t>
            </w:r>
            <w:r>
              <w:rPr>
                <w:color w:val="auto"/>
                <w:highlight w:val="none"/>
              </w:rPr>
              <w:t>见表2-</w:t>
            </w:r>
            <w:r>
              <w:rPr>
                <w:rFonts w:hint="eastAsia"/>
                <w:color w:val="auto"/>
                <w:highlight w:val="none"/>
              </w:rPr>
              <w:t>7</w:t>
            </w:r>
            <w:r>
              <w:rPr>
                <w:color w:val="auto"/>
                <w:highlight w:val="none"/>
              </w:rPr>
              <w:t>。</w:t>
            </w:r>
          </w:p>
          <w:p>
            <w:pPr>
              <w:spacing w:line="360" w:lineRule="auto"/>
              <w:ind w:firstLine="422" w:firstLineChars="200"/>
              <w:jc w:val="center"/>
              <w:rPr>
                <w:b/>
                <w:color w:val="auto"/>
                <w:highlight w:val="none"/>
              </w:rPr>
            </w:pPr>
            <w:r>
              <w:rPr>
                <w:b/>
                <w:color w:val="auto"/>
                <w:highlight w:val="none"/>
              </w:rPr>
              <w:t>表2-</w:t>
            </w:r>
            <w:r>
              <w:rPr>
                <w:rFonts w:hint="eastAsia"/>
                <w:b/>
                <w:color w:val="auto"/>
                <w:highlight w:val="none"/>
              </w:rPr>
              <w:t>7非放射性废水处理站</w:t>
            </w:r>
            <w:r>
              <w:rPr>
                <w:b/>
                <w:color w:val="auto"/>
                <w:highlight w:val="none"/>
              </w:rPr>
              <w:t>主要设备表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164"/>
              <w:gridCol w:w="4141"/>
              <w:gridCol w:w="818"/>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rFonts w:hint="eastAsia"/>
                      <w:color w:val="auto"/>
                      <w:highlight w:val="none"/>
                    </w:rPr>
                    <w:t>序号</w:t>
                  </w:r>
                </w:p>
              </w:tc>
              <w:tc>
                <w:tcPr>
                  <w:tcW w:w="1286" w:type="pct"/>
                  <w:vAlign w:val="center"/>
                </w:tcPr>
                <w:p>
                  <w:pPr>
                    <w:pStyle w:val="36"/>
                    <w:rPr>
                      <w:color w:val="auto"/>
                      <w:highlight w:val="none"/>
                    </w:rPr>
                  </w:pPr>
                  <w:r>
                    <w:rPr>
                      <w:rFonts w:hint="eastAsia"/>
                      <w:color w:val="auto"/>
                      <w:highlight w:val="none"/>
                    </w:rPr>
                    <w:t>名称</w:t>
                  </w:r>
                </w:p>
              </w:tc>
              <w:tc>
                <w:tcPr>
                  <w:tcW w:w="2461" w:type="pct"/>
                  <w:vAlign w:val="center"/>
                </w:tcPr>
                <w:p>
                  <w:pPr>
                    <w:pStyle w:val="36"/>
                    <w:rPr>
                      <w:color w:val="auto"/>
                      <w:highlight w:val="none"/>
                    </w:rPr>
                  </w:pPr>
                  <w:r>
                    <w:rPr>
                      <w:rFonts w:hint="eastAsia"/>
                      <w:color w:val="auto"/>
                      <w:highlight w:val="none"/>
                    </w:rPr>
                    <w:t>主要参数、规格</w:t>
                  </w:r>
                </w:p>
              </w:tc>
              <w:tc>
                <w:tcPr>
                  <w:tcW w:w="486" w:type="pct"/>
                  <w:vAlign w:val="center"/>
                </w:tcPr>
                <w:p>
                  <w:pPr>
                    <w:pStyle w:val="36"/>
                    <w:rPr>
                      <w:color w:val="auto"/>
                      <w:highlight w:val="none"/>
                    </w:rPr>
                  </w:pPr>
                  <w:r>
                    <w:rPr>
                      <w:rFonts w:hint="eastAsia"/>
                      <w:color w:val="auto"/>
                      <w:highlight w:val="none"/>
                    </w:rPr>
                    <w:t>数量</w:t>
                  </w:r>
                </w:p>
              </w:tc>
              <w:tc>
                <w:tcPr>
                  <w:tcW w:w="384" w:type="pct"/>
                  <w:vAlign w:val="center"/>
                </w:tcPr>
                <w:p>
                  <w:pPr>
                    <w:pStyle w:val="36"/>
                    <w:rPr>
                      <w:color w:val="auto"/>
                      <w:highlight w:val="none"/>
                    </w:rPr>
                  </w:pPr>
                  <w:r>
                    <w:rPr>
                      <w:rFonts w:hint="eastAsia"/>
                      <w:color w:val="auto"/>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1" w:type="pct"/>
                  <w:vAlign w:val="center"/>
                </w:tcPr>
                <w:p>
                  <w:pPr>
                    <w:pStyle w:val="36"/>
                    <w:rPr>
                      <w:color w:val="auto"/>
                      <w:highlight w:val="none"/>
                    </w:rPr>
                  </w:pPr>
                  <w:r>
                    <w:rPr>
                      <w:color w:val="auto"/>
                      <w:highlight w:val="none"/>
                    </w:rPr>
                    <w:t>1</w:t>
                  </w:r>
                </w:p>
              </w:tc>
              <w:tc>
                <w:tcPr>
                  <w:tcW w:w="1286" w:type="pct"/>
                  <w:vAlign w:val="center"/>
                </w:tcPr>
                <w:p>
                  <w:pPr>
                    <w:pStyle w:val="36"/>
                    <w:rPr>
                      <w:color w:val="auto"/>
                      <w:highlight w:val="none"/>
                    </w:rPr>
                  </w:pPr>
                  <w:r>
                    <w:rPr>
                      <w:rFonts w:hint="eastAsia"/>
                      <w:color w:val="auto"/>
                      <w:highlight w:val="none"/>
                    </w:rPr>
                    <w:t>1#、2#调节池</w:t>
                  </w:r>
                </w:p>
              </w:tc>
              <w:tc>
                <w:tcPr>
                  <w:tcW w:w="2461" w:type="pct"/>
                  <w:vAlign w:val="center"/>
                </w:tcPr>
                <w:p>
                  <w:pPr>
                    <w:pStyle w:val="36"/>
                    <w:rPr>
                      <w:color w:val="auto"/>
                      <w:highlight w:val="none"/>
                    </w:rPr>
                  </w:pPr>
                  <w:r>
                    <w:rPr>
                      <w:rFonts w:hint="eastAsia"/>
                      <w:color w:val="auto"/>
                      <w:highlight w:val="none"/>
                    </w:rPr>
                    <w:t>1#调节池收集废水站西侧除盐水厂房排水，</w:t>
                  </w:r>
                  <w:r>
                    <w:rPr>
                      <w:color w:val="auto"/>
                      <w:spacing w:val="1"/>
                      <w:position w:val="1"/>
                      <w:highlight w:val="none"/>
                    </w:rPr>
                    <w:t>分为</w:t>
                  </w:r>
                  <w:r>
                    <w:rPr>
                      <w:rFonts w:eastAsia="Times New Roman" w:cs="Times New Roman"/>
                      <w:color w:val="auto"/>
                      <w:spacing w:val="1"/>
                      <w:position w:val="1"/>
                      <w:highlight w:val="none"/>
                    </w:rPr>
                    <w:t>3</w:t>
                  </w:r>
                  <w:r>
                    <w:rPr>
                      <w:color w:val="auto"/>
                      <w:spacing w:val="1"/>
                      <w:position w:val="1"/>
                      <w:highlight w:val="none"/>
                    </w:rPr>
                    <w:t>格</w:t>
                  </w:r>
                  <w:r>
                    <w:rPr>
                      <w:rFonts w:hint="eastAsia"/>
                      <w:color w:val="auto"/>
                      <w:spacing w:val="1"/>
                      <w:position w:val="1"/>
                      <w:highlight w:val="none"/>
                    </w:rPr>
                    <w:t>，两用一备</w:t>
                  </w:r>
                  <w:r>
                    <w:rPr>
                      <w:color w:val="auto"/>
                      <w:spacing w:val="1"/>
                      <w:position w:val="1"/>
                      <w:highlight w:val="none"/>
                    </w:rPr>
                    <w:t>，</w:t>
                  </w:r>
                  <w:r>
                    <w:rPr>
                      <w:color w:val="auto"/>
                      <w:position w:val="1"/>
                      <w:highlight w:val="none"/>
                    </w:rPr>
                    <w:t>总有效容积</w:t>
                  </w:r>
                  <w:r>
                    <w:rPr>
                      <w:rFonts w:eastAsia="Times New Roman" w:cs="Times New Roman"/>
                      <w:color w:val="auto"/>
                      <w:position w:val="1"/>
                      <w:highlight w:val="none"/>
                    </w:rPr>
                    <w:t>4000m</w:t>
                  </w:r>
                  <w:r>
                    <w:rPr>
                      <w:rFonts w:hint="eastAsia" w:cs="Times New Roman"/>
                      <w:color w:val="auto"/>
                      <w:position w:val="1"/>
                      <w:highlight w:val="none"/>
                      <w:vertAlign w:val="superscript"/>
                    </w:rPr>
                    <w:t>3</w:t>
                  </w:r>
                  <w:r>
                    <w:rPr>
                      <w:rFonts w:hint="eastAsia" w:cs="Times New Roman"/>
                      <w:color w:val="auto"/>
                      <w:position w:val="1"/>
                      <w:highlight w:val="none"/>
                    </w:rPr>
                    <w:t>，2#调节池</w:t>
                  </w:r>
                  <w:r>
                    <w:rPr>
                      <w:color w:val="auto"/>
                      <w:spacing w:val="-3"/>
                      <w:position w:val="1"/>
                      <w:highlight w:val="none"/>
                    </w:rPr>
                    <w:t>总有效容积</w:t>
                  </w:r>
                  <w:r>
                    <w:rPr>
                      <w:rFonts w:eastAsia="Times New Roman" w:cs="Times New Roman"/>
                      <w:color w:val="auto"/>
                      <w:spacing w:val="-3"/>
                      <w:position w:val="1"/>
                      <w:highlight w:val="none"/>
                    </w:rPr>
                    <w:t>8000m</w:t>
                  </w:r>
                  <w:r>
                    <w:rPr>
                      <w:rFonts w:eastAsia="Times New Roman" w:cs="Times New Roman"/>
                      <w:color w:val="auto"/>
                      <w:spacing w:val="-3"/>
                      <w:position w:val="9"/>
                      <w:sz w:val="16"/>
                      <w:szCs w:val="16"/>
                      <w:highlight w:val="none"/>
                    </w:rPr>
                    <w:t>3</w:t>
                  </w:r>
                  <w:r>
                    <w:rPr>
                      <w:color w:val="auto"/>
                      <w:spacing w:val="-3"/>
                      <w:position w:val="1"/>
                      <w:highlight w:val="none"/>
                    </w:rPr>
                    <w:t>，分</w:t>
                  </w:r>
                  <w:r>
                    <w:rPr>
                      <w:rFonts w:eastAsia="Times New Roman" w:cs="Times New Roman"/>
                      <w:color w:val="auto"/>
                      <w:spacing w:val="-3"/>
                      <w:position w:val="1"/>
                      <w:highlight w:val="none"/>
                    </w:rPr>
                    <w:t>4</w:t>
                  </w:r>
                  <w:r>
                    <w:rPr>
                      <w:color w:val="auto"/>
                      <w:spacing w:val="-3"/>
                      <w:position w:val="1"/>
                      <w:highlight w:val="none"/>
                    </w:rPr>
                    <w:t>格</w:t>
                  </w:r>
                  <w:r>
                    <w:rPr>
                      <w:rFonts w:hint="eastAsia"/>
                      <w:color w:val="auto"/>
                      <w:spacing w:val="-3"/>
                      <w:position w:val="1"/>
                      <w:highlight w:val="none"/>
                    </w:rPr>
                    <w:t>，三用一备。</w:t>
                  </w:r>
                </w:p>
              </w:tc>
              <w:tc>
                <w:tcPr>
                  <w:tcW w:w="486" w:type="pct"/>
                  <w:vAlign w:val="center"/>
                </w:tcPr>
                <w:p>
                  <w:pPr>
                    <w:pStyle w:val="36"/>
                    <w:rPr>
                      <w:color w:val="auto"/>
                      <w:highlight w:val="none"/>
                    </w:rPr>
                  </w:pPr>
                  <w:r>
                    <w:rPr>
                      <w:color w:val="auto"/>
                      <w:highlight w:val="none"/>
                    </w:rPr>
                    <w:t>1</w:t>
                  </w:r>
                </w:p>
              </w:tc>
              <w:tc>
                <w:tcPr>
                  <w:tcW w:w="384" w:type="pct"/>
                  <w:vAlign w:val="center"/>
                </w:tcPr>
                <w:p>
                  <w:pPr>
                    <w:pStyle w:val="36"/>
                    <w:rPr>
                      <w:color w:val="auto"/>
                      <w:highlight w:val="none"/>
                    </w:rPr>
                  </w:pPr>
                  <w:r>
                    <w:rPr>
                      <w:rFonts w:hint="eastAsia"/>
                      <w:color w:val="auto"/>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w:t>
                  </w:r>
                </w:p>
              </w:tc>
              <w:tc>
                <w:tcPr>
                  <w:tcW w:w="1286" w:type="pct"/>
                  <w:vAlign w:val="center"/>
                </w:tcPr>
                <w:p>
                  <w:pPr>
                    <w:pStyle w:val="36"/>
                    <w:rPr>
                      <w:color w:val="auto"/>
                      <w:highlight w:val="none"/>
                    </w:rPr>
                  </w:pPr>
                  <w:r>
                    <w:rPr>
                      <w:rFonts w:hint="eastAsia"/>
                      <w:color w:val="auto"/>
                      <w:highlight w:val="none"/>
                    </w:rPr>
                    <w:t>调节池搅拌机</w:t>
                  </w:r>
                </w:p>
              </w:tc>
              <w:tc>
                <w:tcPr>
                  <w:tcW w:w="2461" w:type="pct"/>
                  <w:vAlign w:val="center"/>
                </w:tcPr>
                <w:p>
                  <w:pPr>
                    <w:pStyle w:val="36"/>
                    <w:rPr>
                      <w:color w:val="auto"/>
                      <w:highlight w:val="none"/>
                    </w:rPr>
                  </w:pPr>
                  <w:r>
                    <w:rPr>
                      <w:rFonts w:hint="eastAsia"/>
                      <w:color w:val="auto"/>
                      <w:highlight w:val="none"/>
                    </w:rPr>
                    <w:t>潜水搅拌机，</w:t>
                  </w:r>
                  <w:r>
                    <w:rPr>
                      <w:color w:val="auto"/>
                      <w:highlight w:val="none"/>
                    </w:rPr>
                    <w:t>4kW/</w:t>
                  </w:r>
                  <w:r>
                    <w:rPr>
                      <w:rFonts w:hint="eastAsia"/>
                      <w:color w:val="auto"/>
                      <w:highlight w:val="none"/>
                    </w:rPr>
                    <w:t>台</w:t>
                  </w:r>
                </w:p>
              </w:tc>
              <w:tc>
                <w:tcPr>
                  <w:tcW w:w="486" w:type="pct"/>
                  <w:vAlign w:val="center"/>
                </w:tcPr>
                <w:p>
                  <w:pPr>
                    <w:pStyle w:val="36"/>
                    <w:rPr>
                      <w:color w:val="auto"/>
                      <w:highlight w:val="none"/>
                    </w:rPr>
                  </w:pPr>
                  <w:r>
                    <w:rPr>
                      <w:color w:val="auto"/>
                      <w:highlight w:val="none"/>
                    </w:rPr>
                    <w:t>24</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w:t>
                  </w:r>
                </w:p>
              </w:tc>
              <w:tc>
                <w:tcPr>
                  <w:tcW w:w="1286" w:type="pct"/>
                  <w:vAlign w:val="center"/>
                </w:tcPr>
                <w:p>
                  <w:pPr>
                    <w:pStyle w:val="36"/>
                    <w:rPr>
                      <w:color w:val="auto"/>
                      <w:highlight w:val="none"/>
                    </w:rPr>
                  </w:pPr>
                  <w:r>
                    <w:rPr>
                      <w:rFonts w:hint="eastAsia"/>
                      <w:color w:val="auto"/>
                      <w:highlight w:val="none"/>
                    </w:rPr>
                    <w:t>调节池提升泵</w:t>
                  </w:r>
                </w:p>
              </w:tc>
              <w:tc>
                <w:tcPr>
                  <w:tcW w:w="2461" w:type="pct"/>
                  <w:vAlign w:val="center"/>
                </w:tcPr>
                <w:p>
                  <w:pPr>
                    <w:pStyle w:val="36"/>
                    <w:rPr>
                      <w:color w:val="auto"/>
                      <w:highlight w:val="none"/>
                    </w:rPr>
                  </w:pPr>
                  <w:r>
                    <w:rPr>
                      <w:color w:val="auto"/>
                      <w:highlight w:val="none"/>
                    </w:rPr>
                    <w:t>Q=100m</w:t>
                  </w:r>
                  <w:r>
                    <w:rPr>
                      <w:color w:val="auto"/>
                      <w:highlight w:val="none"/>
                      <w:vertAlign w:val="superscript"/>
                    </w:rPr>
                    <w:t>3</w:t>
                  </w:r>
                  <w:r>
                    <w:rPr>
                      <w:color w:val="auto"/>
                      <w:highlight w:val="none"/>
                    </w:rPr>
                    <w:t>/h, H=30m</w:t>
                  </w:r>
                </w:p>
              </w:tc>
              <w:tc>
                <w:tcPr>
                  <w:tcW w:w="486" w:type="pct"/>
                  <w:vAlign w:val="center"/>
                </w:tcPr>
                <w:p>
                  <w:pPr>
                    <w:pStyle w:val="36"/>
                    <w:rPr>
                      <w:color w:val="auto"/>
                      <w:highlight w:val="none"/>
                    </w:rPr>
                  </w:pPr>
                  <w:r>
                    <w:rPr>
                      <w:color w:val="auto"/>
                      <w:highlight w:val="none"/>
                    </w:rPr>
                    <w:t>14</w:t>
                  </w:r>
                </w:p>
              </w:tc>
              <w:tc>
                <w:tcPr>
                  <w:tcW w:w="384" w:type="pct"/>
                  <w:vAlign w:val="center"/>
                </w:tcPr>
                <w:p>
                  <w:pPr>
                    <w:pStyle w:val="36"/>
                    <w:rPr>
                      <w:color w:val="auto"/>
                      <w:highlight w:val="none"/>
                    </w:rPr>
                  </w:pPr>
                  <w:r>
                    <w:rPr>
                      <w:rFonts w:hint="eastAsia"/>
                      <w:color w:val="auto"/>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4</w:t>
                  </w:r>
                </w:p>
              </w:tc>
              <w:tc>
                <w:tcPr>
                  <w:tcW w:w="1286" w:type="pct"/>
                  <w:vAlign w:val="center"/>
                </w:tcPr>
                <w:p>
                  <w:pPr>
                    <w:pStyle w:val="36"/>
                    <w:rPr>
                      <w:color w:val="auto"/>
                      <w:highlight w:val="none"/>
                    </w:rPr>
                  </w:pPr>
                  <w:r>
                    <w:rPr>
                      <w:color w:val="auto"/>
                      <w:highlight w:val="none"/>
                    </w:rPr>
                    <w:t>pH调</w:t>
                  </w:r>
                  <w:r>
                    <w:rPr>
                      <w:rFonts w:hint="eastAsia"/>
                      <w:color w:val="auto"/>
                      <w:highlight w:val="none"/>
                    </w:rPr>
                    <w:t>节</w:t>
                  </w:r>
                  <w:r>
                    <w:rPr>
                      <w:color w:val="auto"/>
                      <w:highlight w:val="none"/>
                    </w:rPr>
                    <w:t>池</w:t>
                  </w:r>
                </w:p>
              </w:tc>
              <w:tc>
                <w:tcPr>
                  <w:tcW w:w="2461" w:type="pct"/>
                  <w:vAlign w:val="center"/>
                </w:tcPr>
                <w:p>
                  <w:pPr>
                    <w:pStyle w:val="36"/>
                    <w:rPr>
                      <w:color w:val="auto"/>
                      <w:highlight w:val="none"/>
                    </w:rPr>
                  </w:pPr>
                  <w:r>
                    <w:rPr>
                      <w:color w:val="auto"/>
                      <w:highlight w:val="none"/>
                    </w:rPr>
                    <w:t>V=25</w:t>
                  </w:r>
                  <w:r>
                    <w:rPr>
                      <w:rFonts w:hint="eastAsia"/>
                      <w:color w:val="auto"/>
                      <w:highlight w:val="none"/>
                    </w:rPr>
                    <w:t>m</w:t>
                  </w:r>
                  <w:r>
                    <w:rPr>
                      <w:rFonts w:hint="eastAsia"/>
                      <w:color w:val="auto"/>
                      <w:highlight w:val="none"/>
                      <w:vertAlign w:val="superscript"/>
                    </w:rPr>
                    <w:t>3</w:t>
                  </w:r>
                  <w:r>
                    <w:rPr>
                      <w:color w:val="auto"/>
                      <w:highlight w:val="none"/>
                    </w:rPr>
                    <w:t>，含搅拌器、检修平台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5</w:t>
                  </w:r>
                </w:p>
              </w:tc>
              <w:tc>
                <w:tcPr>
                  <w:tcW w:w="1286" w:type="pct"/>
                  <w:vAlign w:val="center"/>
                </w:tcPr>
                <w:p>
                  <w:pPr>
                    <w:pStyle w:val="36"/>
                    <w:rPr>
                      <w:color w:val="auto"/>
                      <w:highlight w:val="none"/>
                    </w:rPr>
                  </w:pPr>
                  <w:r>
                    <w:rPr>
                      <w:rFonts w:hint="eastAsia"/>
                      <w:color w:val="auto"/>
                      <w:highlight w:val="none"/>
                    </w:rPr>
                    <w:t>混合池</w:t>
                  </w:r>
                </w:p>
              </w:tc>
              <w:tc>
                <w:tcPr>
                  <w:tcW w:w="2461" w:type="pct"/>
                  <w:vAlign w:val="center"/>
                </w:tcPr>
                <w:p>
                  <w:pPr>
                    <w:pStyle w:val="36"/>
                    <w:rPr>
                      <w:color w:val="auto"/>
                      <w:highlight w:val="none"/>
                    </w:rPr>
                  </w:pPr>
                  <w:r>
                    <w:rPr>
                      <w:color w:val="auto"/>
                      <w:highlight w:val="none"/>
                    </w:rPr>
                    <w:t>V=25</w:t>
                  </w:r>
                  <w:r>
                    <w:rPr>
                      <w:rFonts w:hint="eastAsia"/>
                      <w:color w:val="auto"/>
                      <w:highlight w:val="none"/>
                    </w:rPr>
                    <w:t>m</w:t>
                  </w:r>
                  <w:r>
                    <w:rPr>
                      <w:rFonts w:hint="eastAsia"/>
                      <w:color w:val="auto"/>
                      <w:highlight w:val="none"/>
                      <w:vertAlign w:val="superscript"/>
                    </w:rPr>
                    <w:t>3</w:t>
                  </w:r>
                  <w:r>
                    <w:rPr>
                      <w:color w:val="auto"/>
                      <w:highlight w:val="none"/>
                    </w:rPr>
                    <w:t>，含搅拌器、检修平台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6</w:t>
                  </w:r>
                </w:p>
              </w:tc>
              <w:tc>
                <w:tcPr>
                  <w:tcW w:w="1286" w:type="pct"/>
                  <w:vAlign w:val="center"/>
                </w:tcPr>
                <w:p>
                  <w:pPr>
                    <w:pStyle w:val="36"/>
                    <w:rPr>
                      <w:color w:val="auto"/>
                      <w:highlight w:val="none"/>
                    </w:rPr>
                  </w:pPr>
                  <w:r>
                    <w:rPr>
                      <w:rFonts w:hint="eastAsia"/>
                      <w:color w:val="auto"/>
                      <w:highlight w:val="none"/>
                    </w:rPr>
                    <w:t>反应池</w:t>
                  </w:r>
                </w:p>
              </w:tc>
              <w:tc>
                <w:tcPr>
                  <w:tcW w:w="2461" w:type="pct"/>
                  <w:vAlign w:val="center"/>
                </w:tcPr>
                <w:p>
                  <w:pPr>
                    <w:pStyle w:val="36"/>
                    <w:rPr>
                      <w:color w:val="auto"/>
                      <w:highlight w:val="none"/>
                    </w:rPr>
                  </w:pPr>
                  <w:r>
                    <w:rPr>
                      <w:color w:val="auto"/>
                      <w:highlight w:val="none"/>
                    </w:rPr>
                    <w:t>V=25</w:t>
                  </w:r>
                  <w:r>
                    <w:rPr>
                      <w:rFonts w:hint="eastAsia"/>
                      <w:color w:val="auto"/>
                      <w:highlight w:val="none"/>
                    </w:rPr>
                    <w:t>m</w:t>
                  </w:r>
                  <w:r>
                    <w:rPr>
                      <w:rFonts w:hint="eastAsia"/>
                      <w:color w:val="auto"/>
                      <w:highlight w:val="none"/>
                      <w:vertAlign w:val="superscript"/>
                    </w:rPr>
                    <w:t>3</w:t>
                  </w:r>
                  <w:r>
                    <w:rPr>
                      <w:color w:val="auto"/>
                      <w:highlight w:val="none"/>
                    </w:rPr>
                    <w:t>，含搅拌器、检修平台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7</w:t>
                  </w:r>
                </w:p>
              </w:tc>
              <w:tc>
                <w:tcPr>
                  <w:tcW w:w="1286" w:type="pct"/>
                  <w:vAlign w:val="center"/>
                </w:tcPr>
                <w:p>
                  <w:pPr>
                    <w:pStyle w:val="36"/>
                    <w:rPr>
                      <w:color w:val="auto"/>
                      <w:highlight w:val="none"/>
                    </w:rPr>
                  </w:pPr>
                  <w:r>
                    <w:rPr>
                      <w:rFonts w:hint="eastAsia"/>
                      <w:color w:val="auto"/>
                      <w:highlight w:val="none"/>
                    </w:rPr>
                    <w:t>浮沉池</w:t>
                  </w:r>
                </w:p>
              </w:tc>
              <w:tc>
                <w:tcPr>
                  <w:tcW w:w="2461" w:type="pct"/>
                  <w:vAlign w:val="center"/>
                </w:tcPr>
                <w:p>
                  <w:pPr>
                    <w:pStyle w:val="36"/>
                    <w:rPr>
                      <w:color w:val="auto"/>
                      <w:highlight w:val="none"/>
                    </w:rPr>
                  </w:pPr>
                  <w:r>
                    <w:rPr>
                      <w:color w:val="auto"/>
                      <w:highlight w:val="none"/>
                    </w:rPr>
                    <w:t>Q=100</w:t>
                  </w:r>
                  <w:r>
                    <w:rPr>
                      <w:rFonts w:hint="eastAsia"/>
                      <w:color w:val="auto"/>
                      <w:highlight w:val="none"/>
                    </w:rPr>
                    <w:t>m</w:t>
                  </w:r>
                  <w:r>
                    <w:rPr>
                      <w:rFonts w:hint="eastAsia"/>
                      <w:color w:val="auto"/>
                      <w:highlight w:val="none"/>
                      <w:vertAlign w:val="superscript"/>
                    </w:rPr>
                    <w:t>3</w:t>
                  </w:r>
                  <w:r>
                    <w:rPr>
                      <w:color w:val="auto"/>
                      <w:highlight w:val="none"/>
                    </w:rPr>
                    <w:t>/h，含刮泥机、回流系统、浮选系统等附件</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8</w:t>
                  </w:r>
                </w:p>
              </w:tc>
              <w:tc>
                <w:tcPr>
                  <w:tcW w:w="1286" w:type="pct"/>
                  <w:vAlign w:val="center"/>
                </w:tcPr>
                <w:p>
                  <w:pPr>
                    <w:pStyle w:val="36"/>
                    <w:rPr>
                      <w:color w:val="auto"/>
                      <w:highlight w:val="none"/>
                    </w:rPr>
                  </w:pPr>
                  <w:r>
                    <w:rPr>
                      <w:rFonts w:hint="eastAsia"/>
                      <w:color w:val="auto"/>
                      <w:highlight w:val="none"/>
                    </w:rPr>
                    <w:t>中间水池</w:t>
                  </w:r>
                </w:p>
              </w:tc>
              <w:tc>
                <w:tcPr>
                  <w:tcW w:w="2461" w:type="pct"/>
                  <w:vAlign w:val="center"/>
                </w:tcPr>
                <w:p>
                  <w:pPr>
                    <w:pStyle w:val="36"/>
                    <w:rPr>
                      <w:color w:val="auto"/>
                      <w:highlight w:val="none"/>
                    </w:rPr>
                  </w:pPr>
                  <w:r>
                    <w:rPr>
                      <w:rFonts w:hint="eastAsia"/>
                      <w:color w:val="auto"/>
                      <w:highlight w:val="none"/>
                    </w:rPr>
                    <w:t>有效容积</w:t>
                  </w:r>
                  <w:r>
                    <w:rPr>
                      <w:rFonts w:hint="eastAsia"/>
                      <w:color w:val="auto"/>
                      <w:highlight w:val="none"/>
                      <w:lang w:eastAsia="zh"/>
                    </w:rPr>
                    <w:t>4</w:t>
                  </w:r>
                  <w:r>
                    <w:rPr>
                      <w:color w:val="auto"/>
                      <w:highlight w:val="none"/>
                    </w:rPr>
                    <w:t>00</w:t>
                  </w:r>
                  <w:r>
                    <w:rPr>
                      <w:rFonts w:hint="eastAsia"/>
                      <w:color w:val="auto"/>
                      <w:highlight w:val="none"/>
                    </w:rPr>
                    <w:t>m</w:t>
                  </w:r>
                  <w:r>
                    <w:rPr>
                      <w:rFonts w:hint="eastAsia"/>
                      <w:color w:val="auto"/>
                      <w:highlight w:val="none"/>
                      <w:vertAlign w:val="superscript"/>
                    </w:rPr>
                    <w:t>3</w:t>
                  </w:r>
                  <w:r>
                    <w:rPr>
                      <w:color w:val="auto"/>
                      <w:highlight w:val="none"/>
                    </w:rPr>
                    <w:t>，含搅拌机</w:t>
                  </w:r>
                </w:p>
              </w:tc>
              <w:tc>
                <w:tcPr>
                  <w:tcW w:w="486" w:type="pct"/>
                  <w:vAlign w:val="center"/>
                </w:tcPr>
                <w:p>
                  <w:pPr>
                    <w:pStyle w:val="36"/>
                    <w:rPr>
                      <w:rFonts w:hint="eastAsia" w:eastAsia="宋体"/>
                      <w:color w:val="auto"/>
                      <w:highlight w:val="none"/>
                      <w:lang w:eastAsia="zh"/>
                    </w:rPr>
                  </w:pPr>
                  <w:r>
                    <w:rPr>
                      <w:rFonts w:hint="eastAsia"/>
                      <w:color w:val="auto"/>
                      <w:highlight w:val="none"/>
                      <w:lang w:eastAsia="zh"/>
                    </w:rPr>
                    <w:t>1</w:t>
                  </w:r>
                </w:p>
              </w:tc>
              <w:tc>
                <w:tcPr>
                  <w:tcW w:w="384" w:type="pct"/>
                  <w:vAlign w:val="center"/>
                </w:tcPr>
                <w:p>
                  <w:pPr>
                    <w:pStyle w:val="36"/>
                    <w:rPr>
                      <w:color w:val="auto"/>
                      <w:highlight w:val="none"/>
                    </w:rPr>
                  </w:pPr>
                  <w:r>
                    <w:rPr>
                      <w:rFonts w:hint="eastAsia"/>
                      <w:color w:val="auto"/>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9</w:t>
                  </w:r>
                </w:p>
              </w:tc>
              <w:tc>
                <w:tcPr>
                  <w:tcW w:w="1286" w:type="pct"/>
                  <w:vAlign w:val="center"/>
                </w:tcPr>
                <w:p>
                  <w:pPr>
                    <w:pStyle w:val="36"/>
                    <w:rPr>
                      <w:color w:val="auto"/>
                      <w:highlight w:val="none"/>
                    </w:rPr>
                  </w:pPr>
                  <w:r>
                    <w:rPr>
                      <w:rFonts w:hint="eastAsia"/>
                      <w:color w:val="auto"/>
                      <w:highlight w:val="none"/>
                    </w:rPr>
                    <w:t>中间水泵</w:t>
                  </w:r>
                </w:p>
              </w:tc>
              <w:tc>
                <w:tcPr>
                  <w:tcW w:w="2461" w:type="pct"/>
                  <w:vAlign w:val="center"/>
                </w:tcPr>
                <w:p>
                  <w:pPr>
                    <w:pStyle w:val="36"/>
                    <w:rPr>
                      <w:color w:val="auto"/>
                      <w:highlight w:val="none"/>
                    </w:rPr>
                  </w:pPr>
                  <w:r>
                    <w:rPr>
                      <w:color w:val="auto"/>
                      <w:highlight w:val="none"/>
                    </w:rPr>
                    <w:t>Q=100</w:t>
                  </w:r>
                  <w:r>
                    <w:rPr>
                      <w:rFonts w:hint="eastAsia"/>
                      <w:color w:val="auto"/>
                      <w:highlight w:val="none"/>
                    </w:rPr>
                    <w:t>m</w:t>
                  </w:r>
                  <w:r>
                    <w:rPr>
                      <w:rFonts w:hint="eastAsia"/>
                      <w:color w:val="auto"/>
                      <w:highlight w:val="none"/>
                      <w:vertAlign w:val="superscript"/>
                    </w:rPr>
                    <w:t>3</w:t>
                  </w:r>
                  <w:r>
                    <w:rPr>
                      <w:color w:val="auto"/>
                      <w:highlight w:val="none"/>
                    </w:rPr>
                    <w:t>/h，H=50m</w:t>
                  </w:r>
                </w:p>
              </w:tc>
              <w:tc>
                <w:tcPr>
                  <w:tcW w:w="486" w:type="pct"/>
                  <w:vAlign w:val="center"/>
                </w:tcPr>
                <w:p>
                  <w:pPr>
                    <w:pStyle w:val="36"/>
                    <w:rPr>
                      <w:color w:val="auto"/>
                      <w:highlight w:val="none"/>
                    </w:rPr>
                  </w:pPr>
                  <w:r>
                    <w:rPr>
                      <w:color w:val="auto"/>
                      <w:highlight w:val="none"/>
                    </w:rPr>
                    <w:t>3</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81" w:type="pct"/>
                  <w:vMerge w:val="restart"/>
                  <w:vAlign w:val="center"/>
                </w:tcPr>
                <w:p>
                  <w:pPr>
                    <w:pStyle w:val="36"/>
                    <w:rPr>
                      <w:color w:val="auto"/>
                      <w:highlight w:val="none"/>
                    </w:rPr>
                  </w:pPr>
                  <w:r>
                    <w:rPr>
                      <w:color w:val="auto"/>
                      <w:highlight w:val="none"/>
                    </w:rPr>
                    <w:t>10</w:t>
                  </w:r>
                </w:p>
              </w:tc>
              <w:tc>
                <w:tcPr>
                  <w:tcW w:w="1286" w:type="pct"/>
                  <w:vMerge w:val="restart"/>
                  <w:vAlign w:val="center"/>
                </w:tcPr>
                <w:p>
                  <w:pPr>
                    <w:pStyle w:val="50"/>
                    <w:rPr>
                      <w:color w:val="auto"/>
                      <w:highlight w:val="none"/>
                    </w:rPr>
                  </w:pPr>
                  <w:r>
                    <w:rPr>
                      <w:bCs/>
                      <w:color w:val="auto"/>
                      <w:highlight w:val="none"/>
                    </w:rPr>
                    <w:t>多介质过滤器</w:t>
                  </w:r>
                </w:p>
              </w:tc>
              <w:tc>
                <w:tcPr>
                  <w:tcW w:w="2461" w:type="pct"/>
                  <w:vMerge w:val="restart"/>
                  <w:vAlign w:val="center"/>
                </w:tcPr>
                <w:p>
                  <w:pPr>
                    <w:pStyle w:val="50"/>
                    <w:rPr>
                      <w:color w:val="auto"/>
                      <w:highlight w:val="none"/>
                    </w:rPr>
                  </w:pPr>
                  <w:r>
                    <w:rPr>
                      <w:rFonts w:hint="eastAsia"/>
                      <w:color w:val="auto"/>
                      <w:highlight w:val="none"/>
                    </w:rPr>
                    <w:t>最大</w:t>
                  </w:r>
                  <w:r>
                    <w:rPr>
                      <w:color w:val="auto"/>
                      <w:highlight w:val="none"/>
                    </w:rPr>
                    <w:t>出力100m</w:t>
                  </w:r>
                  <w:r>
                    <w:rPr>
                      <w:color w:val="auto"/>
                      <w:highlight w:val="none"/>
                      <w:vertAlign w:val="superscript"/>
                    </w:rPr>
                    <w:t>3</w:t>
                  </w:r>
                  <w:r>
                    <w:rPr>
                      <w:color w:val="auto"/>
                      <w:highlight w:val="none"/>
                    </w:rPr>
                    <w:t>/h，石英砂800mm，无烟煤400mm，反洗膨胀率50%</w:t>
                  </w:r>
                </w:p>
              </w:tc>
              <w:tc>
                <w:tcPr>
                  <w:tcW w:w="486" w:type="pct"/>
                  <w:vMerge w:val="restart"/>
                  <w:vAlign w:val="center"/>
                </w:tcPr>
                <w:p>
                  <w:pPr>
                    <w:pStyle w:val="36"/>
                    <w:rPr>
                      <w:color w:val="auto"/>
                      <w:highlight w:val="none"/>
                    </w:rPr>
                  </w:pPr>
                  <w:r>
                    <w:rPr>
                      <w:rFonts w:hint="eastAsia"/>
                      <w:color w:val="auto"/>
                      <w:highlight w:val="none"/>
                    </w:rPr>
                    <w:t>3用2备</w:t>
                  </w:r>
                </w:p>
              </w:tc>
              <w:tc>
                <w:tcPr>
                  <w:tcW w:w="384" w:type="pct"/>
                  <w:vMerge w:val="restar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81" w:type="pct"/>
                  <w:vMerge w:val="continue"/>
                  <w:vAlign w:val="center"/>
                </w:tcPr>
                <w:p>
                  <w:pPr>
                    <w:pStyle w:val="36"/>
                    <w:rPr>
                      <w:color w:val="auto"/>
                      <w:highlight w:val="none"/>
                    </w:rPr>
                  </w:pPr>
                </w:p>
              </w:tc>
              <w:tc>
                <w:tcPr>
                  <w:tcW w:w="1286" w:type="pct"/>
                  <w:vMerge w:val="continue"/>
                  <w:vAlign w:val="center"/>
                </w:tcPr>
                <w:p>
                  <w:pPr>
                    <w:pStyle w:val="36"/>
                    <w:rPr>
                      <w:color w:val="auto"/>
                      <w:highlight w:val="none"/>
                    </w:rPr>
                  </w:pPr>
                </w:p>
              </w:tc>
              <w:tc>
                <w:tcPr>
                  <w:tcW w:w="2461" w:type="pct"/>
                  <w:vMerge w:val="continue"/>
                  <w:vAlign w:val="center"/>
                </w:tcPr>
                <w:p>
                  <w:pPr>
                    <w:pStyle w:val="36"/>
                    <w:rPr>
                      <w:color w:val="auto"/>
                      <w:highlight w:val="none"/>
                    </w:rPr>
                  </w:pPr>
                </w:p>
              </w:tc>
              <w:tc>
                <w:tcPr>
                  <w:tcW w:w="486" w:type="pct"/>
                  <w:vMerge w:val="continue"/>
                  <w:vAlign w:val="center"/>
                </w:tcPr>
                <w:p>
                  <w:pPr>
                    <w:pStyle w:val="36"/>
                    <w:rPr>
                      <w:color w:val="auto"/>
                      <w:highlight w:val="none"/>
                    </w:rPr>
                  </w:pPr>
                </w:p>
              </w:tc>
              <w:tc>
                <w:tcPr>
                  <w:tcW w:w="384"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11</w:t>
                  </w:r>
                </w:p>
              </w:tc>
              <w:tc>
                <w:tcPr>
                  <w:tcW w:w="1286" w:type="pct"/>
                  <w:vAlign w:val="center"/>
                </w:tcPr>
                <w:p>
                  <w:pPr>
                    <w:pStyle w:val="50"/>
                    <w:rPr>
                      <w:color w:val="auto"/>
                      <w:highlight w:val="none"/>
                    </w:rPr>
                  </w:pPr>
                  <w:r>
                    <w:rPr>
                      <w:bCs/>
                      <w:color w:val="auto"/>
                      <w:highlight w:val="none"/>
                    </w:rPr>
                    <w:t>活性炭过滤器</w:t>
                  </w:r>
                </w:p>
              </w:tc>
              <w:tc>
                <w:tcPr>
                  <w:tcW w:w="2461" w:type="pct"/>
                  <w:vAlign w:val="center"/>
                </w:tcPr>
                <w:p>
                  <w:pPr>
                    <w:pStyle w:val="50"/>
                    <w:rPr>
                      <w:color w:val="auto"/>
                      <w:highlight w:val="none"/>
                    </w:rPr>
                  </w:pPr>
                  <w:r>
                    <w:rPr>
                      <w:rFonts w:hint="eastAsia"/>
                      <w:color w:val="auto"/>
                      <w:highlight w:val="none"/>
                    </w:rPr>
                    <w:t>最大</w:t>
                  </w:r>
                  <w:r>
                    <w:rPr>
                      <w:color w:val="auto"/>
                      <w:highlight w:val="none"/>
                    </w:rPr>
                    <w:t>出力100m</w:t>
                  </w:r>
                  <w:r>
                    <w:rPr>
                      <w:color w:val="auto"/>
                      <w:highlight w:val="none"/>
                      <w:vertAlign w:val="superscript"/>
                    </w:rPr>
                    <w:t>3</w:t>
                  </w:r>
                  <w:r>
                    <w:rPr>
                      <w:color w:val="auto"/>
                      <w:highlight w:val="none"/>
                    </w:rPr>
                    <w:t>/h，果壳活性炭2000mm，反洗膨胀率50%</w:t>
                  </w:r>
                </w:p>
              </w:tc>
              <w:tc>
                <w:tcPr>
                  <w:tcW w:w="486" w:type="pct"/>
                  <w:vAlign w:val="center"/>
                </w:tcPr>
                <w:p>
                  <w:pPr>
                    <w:pStyle w:val="36"/>
                    <w:rPr>
                      <w:color w:val="auto"/>
                      <w:highlight w:val="none"/>
                    </w:rPr>
                  </w:pPr>
                  <w:r>
                    <w:rPr>
                      <w:rFonts w:hint="eastAsia"/>
                      <w:color w:val="auto"/>
                      <w:highlight w:val="none"/>
                    </w:rPr>
                    <w:t>3用2备</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12</w:t>
                  </w:r>
                </w:p>
              </w:tc>
              <w:tc>
                <w:tcPr>
                  <w:tcW w:w="1286" w:type="pct"/>
                  <w:vAlign w:val="center"/>
                </w:tcPr>
                <w:p>
                  <w:pPr>
                    <w:pStyle w:val="36"/>
                    <w:rPr>
                      <w:color w:val="auto"/>
                      <w:highlight w:val="none"/>
                    </w:rPr>
                  </w:pPr>
                  <w:r>
                    <w:rPr>
                      <w:rFonts w:hint="eastAsia"/>
                      <w:color w:val="auto"/>
                      <w:highlight w:val="none"/>
                    </w:rPr>
                    <w:t>清水池</w:t>
                  </w:r>
                </w:p>
              </w:tc>
              <w:tc>
                <w:tcPr>
                  <w:tcW w:w="2461" w:type="pct"/>
                  <w:vAlign w:val="center"/>
                </w:tcPr>
                <w:p>
                  <w:pPr>
                    <w:pStyle w:val="36"/>
                    <w:rPr>
                      <w:color w:val="auto"/>
                      <w:highlight w:val="none"/>
                    </w:rPr>
                  </w:pPr>
                  <w:r>
                    <w:rPr>
                      <w:rFonts w:hint="eastAsia"/>
                      <w:color w:val="auto"/>
                      <w:highlight w:val="none"/>
                    </w:rPr>
                    <w:t>总有效容积</w:t>
                  </w:r>
                  <w:r>
                    <w:rPr>
                      <w:color w:val="auto"/>
                      <w:highlight w:val="none"/>
                    </w:rPr>
                    <w:t>400</w:t>
                  </w:r>
                  <w:r>
                    <w:rPr>
                      <w:rFonts w:hint="eastAsia"/>
                      <w:color w:val="auto"/>
                      <w:highlight w:val="none"/>
                    </w:rPr>
                    <w:t>m</w:t>
                  </w:r>
                  <w:r>
                    <w:rPr>
                      <w:rFonts w:hint="eastAsia"/>
                      <w:color w:val="auto"/>
                      <w:highlight w:val="none"/>
                      <w:vertAlign w:val="superscript"/>
                    </w:rPr>
                    <w:t>3</w:t>
                  </w:r>
                  <w:r>
                    <w:rPr>
                      <w:rFonts w:hint="eastAsia"/>
                      <w:color w:val="auto"/>
                      <w:highlight w:val="none"/>
                    </w:rPr>
                    <w:t>（1座2格）</w:t>
                  </w:r>
                </w:p>
              </w:tc>
              <w:tc>
                <w:tcPr>
                  <w:tcW w:w="486" w:type="pct"/>
                  <w:vAlign w:val="center"/>
                </w:tcPr>
                <w:p>
                  <w:pPr>
                    <w:pStyle w:val="36"/>
                    <w:rPr>
                      <w:color w:val="auto"/>
                      <w:highlight w:val="none"/>
                    </w:rPr>
                  </w:pPr>
                  <w:r>
                    <w:rPr>
                      <w:rFonts w:hint="eastAsia"/>
                      <w:color w:val="auto"/>
                      <w:highlight w:val="none"/>
                    </w:rPr>
                    <w:t>1</w:t>
                  </w:r>
                </w:p>
              </w:tc>
              <w:tc>
                <w:tcPr>
                  <w:tcW w:w="384" w:type="pct"/>
                  <w:vAlign w:val="center"/>
                </w:tcPr>
                <w:p>
                  <w:pPr>
                    <w:pStyle w:val="36"/>
                    <w:rPr>
                      <w:color w:val="auto"/>
                      <w:highlight w:val="none"/>
                    </w:rPr>
                  </w:pPr>
                  <w:r>
                    <w:rPr>
                      <w:rFonts w:hint="eastAsia"/>
                      <w:color w:val="auto"/>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13</w:t>
                  </w:r>
                </w:p>
              </w:tc>
              <w:tc>
                <w:tcPr>
                  <w:tcW w:w="1286" w:type="pct"/>
                  <w:vAlign w:val="center"/>
                </w:tcPr>
                <w:p>
                  <w:pPr>
                    <w:pStyle w:val="36"/>
                    <w:rPr>
                      <w:color w:val="auto"/>
                      <w:highlight w:val="none"/>
                    </w:rPr>
                  </w:pPr>
                  <w:r>
                    <w:rPr>
                      <w:rFonts w:hint="eastAsia"/>
                      <w:color w:val="auto"/>
                      <w:highlight w:val="none"/>
                    </w:rPr>
                    <w:t>清水泵</w:t>
                  </w:r>
                </w:p>
              </w:tc>
              <w:tc>
                <w:tcPr>
                  <w:tcW w:w="2461" w:type="pct"/>
                  <w:vAlign w:val="center"/>
                </w:tcPr>
                <w:p>
                  <w:pPr>
                    <w:pStyle w:val="36"/>
                    <w:rPr>
                      <w:color w:val="auto"/>
                      <w:highlight w:val="none"/>
                    </w:rPr>
                  </w:pPr>
                  <w:r>
                    <w:rPr>
                      <w:color w:val="auto"/>
                      <w:highlight w:val="none"/>
                    </w:rPr>
                    <w:t>Q=200</w:t>
                  </w:r>
                  <w:r>
                    <w:rPr>
                      <w:rFonts w:hint="eastAsia"/>
                      <w:color w:val="auto"/>
                      <w:highlight w:val="none"/>
                    </w:rPr>
                    <w:t>m</w:t>
                  </w:r>
                  <w:r>
                    <w:rPr>
                      <w:rFonts w:hint="eastAsia"/>
                      <w:color w:val="auto"/>
                      <w:highlight w:val="none"/>
                      <w:vertAlign w:val="superscript"/>
                    </w:rPr>
                    <w:t>3</w:t>
                  </w:r>
                  <w:r>
                    <w:rPr>
                      <w:color w:val="auto"/>
                      <w:highlight w:val="none"/>
                    </w:rPr>
                    <w:t>/h，H=30m</w:t>
                  </w:r>
                  <w:r>
                    <w:rPr>
                      <w:rFonts w:hint="eastAsia"/>
                      <w:color w:val="auto"/>
                      <w:highlight w:val="none"/>
                    </w:rPr>
                    <w:t>（2用2备，2台为变频泵）</w:t>
                  </w:r>
                </w:p>
              </w:tc>
              <w:tc>
                <w:tcPr>
                  <w:tcW w:w="486" w:type="pct"/>
                  <w:vAlign w:val="center"/>
                </w:tcPr>
                <w:p>
                  <w:pPr>
                    <w:pStyle w:val="36"/>
                    <w:rPr>
                      <w:color w:val="auto"/>
                      <w:highlight w:val="none"/>
                    </w:rPr>
                  </w:pPr>
                  <w:r>
                    <w:rPr>
                      <w:rFonts w:hint="eastAsia"/>
                      <w:color w:val="auto"/>
                      <w:highlight w:val="none"/>
                    </w:rPr>
                    <w:t>4</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81" w:type="pct"/>
                  <w:vMerge w:val="restart"/>
                  <w:vAlign w:val="center"/>
                </w:tcPr>
                <w:p>
                  <w:pPr>
                    <w:pStyle w:val="36"/>
                    <w:rPr>
                      <w:color w:val="auto"/>
                      <w:highlight w:val="none"/>
                    </w:rPr>
                  </w:pPr>
                  <w:r>
                    <w:rPr>
                      <w:color w:val="auto"/>
                      <w:highlight w:val="none"/>
                    </w:rPr>
                    <w:t>14</w:t>
                  </w:r>
                </w:p>
              </w:tc>
              <w:tc>
                <w:tcPr>
                  <w:tcW w:w="1286" w:type="pct"/>
                  <w:vMerge w:val="restart"/>
                  <w:vAlign w:val="center"/>
                </w:tcPr>
                <w:p>
                  <w:pPr>
                    <w:pStyle w:val="36"/>
                    <w:rPr>
                      <w:color w:val="auto"/>
                      <w:highlight w:val="none"/>
                    </w:rPr>
                  </w:pPr>
                  <w:r>
                    <w:rPr>
                      <w:rFonts w:hint="eastAsia"/>
                      <w:color w:val="auto"/>
                      <w:highlight w:val="none"/>
                    </w:rPr>
                    <w:t>过滤器反洗水泵</w:t>
                  </w:r>
                </w:p>
              </w:tc>
              <w:tc>
                <w:tcPr>
                  <w:tcW w:w="2461" w:type="pct"/>
                  <w:vMerge w:val="restart"/>
                  <w:vAlign w:val="center"/>
                </w:tcPr>
                <w:p>
                  <w:pPr>
                    <w:pStyle w:val="36"/>
                    <w:rPr>
                      <w:color w:val="auto"/>
                      <w:highlight w:val="none"/>
                    </w:rPr>
                  </w:pPr>
                  <w:r>
                    <w:rPr>
                      <w:color w:val="auto"/>
                      <w:highlight w:val="none"/>
                    </w:rPr>
                    <w:t>Q=300</w:t>
                  </w:r>
                  <w:r>
                    <w:rPr>
                      <w:rFonts w:hint="eastAsia"/>
                      <w:color w:val="auto"/>
                      <w:highlight w:val="none"/>
                    </w:rPr>
                    <w:t>m</w:t>
                  </w:r>
                  <w:r>
                    <w:rPr>
                      <w:rFonts w:hint="eastAsia"/>
                      <w:color w:val="auto"/>
                      <w:highlight w:val="none"/>
                      <w:vertAlign w:val="superscript"/>
                    </w:rPr>
                    <w:t>3</w:t>
                  </w:r>
                  <w:r>
                    <w:rPr>
                      <w:color w:val="auto"/>
                      <w:highlight w:val="none"/>
                    </w:rPr>
                    <w:t>/h，H=30m</w:t>
                  </w:r>
                </w:p>
              </w:tc>
              <w:tc>
                <w:tcPr>
                  <w:tcW w:w="486" w:type="pct"/>
                  <w:vMerge w:val="restart"/>
                  <w:vAlign w:val="center"/>
                </w:tcPr>
                <w:p>
                  <w:pPr>
                    <w:pStyle w:val="36"/>
                    <w:rPr>
                      <w:rFonts w:hint="eastAsia" w:eastAsia="宋体"/>
                      <w:color w:val="auto"/>
                      <w:highlight w:val="none"/>
                      <w:lang w:eastAsia="zh"/>
                    </w:rPr>
                  </w:pPr>
                  <w:r>
                    <w:rPr>
                      <w:rFonts w:hint="eastAsia"/>
                      <w:color w:val="auto"/>
                      <w:highlight w:val="none"/>
                      <w:lang w:eastAsia="zh"/>
                    </w:rPr>
                    <w:t>2</w:t>
                  </w:r>
                </w:p>
              </w:tc>
              <w:tc>
                <w:tcPr>
                  <w:tcW w:w="384" w:type="pct"/>
                  <w:vMerge w:val="restar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81" w:type="pct"/>
                  <w:vMerge w:val="continue"/>
                  <w:vAlign w:val="center"/>
                </w:tcPr>
                <w:p>
                  <w:pPr>
                    <w:pStyle w:val="36"/>
                    <w:rPr>
                      <w:color w:val="auto"/>
                      <w:highlight w:val="none"/>
                    </w:rPr>
                  </w:pPr>
                </w:p>
              </w:tc>
              <w:tc>
                <w:tcPr>
                  <w:tcW w:w="1286" w:type="pct"/>
                  <w:vMerge w:val="continue"/>
                  <w:vAlign w:val="center"/>
                </w:tcPr>
                <w:p>
                  <w:pPr>
                    <w:pStyle w:val="36"/>
                    <w:rPr>
                      <w:color w:val="auto"/>
                      <w:highlight w:val="none"/>
                    </w:rPr>
                  </w:pPr>
                </w:p>
              </w:tc>
              <w:tc>
                <w:tcPr>
                  <w:tcW w:w="2461" w:type="pct"/>
                  <w:vMerge w:val="continue"/>
                  <w:vAlign w:val="center"/>
                </w:tcPr>
                <w:p>
                  <w:pPr>
                    <w:pStyle w:val="36"/>
                    <w:rPr>
                      <w:color w:val="auto"/>
                      <w:highlight w:val="none"/>
                    </w:rPr>
                  </w:pPr>
                </w:p>
              </w:tc>
              <w:tc>
                <w:tcPr>
                  <w:tcW w:w="486" w:type="pct"/>
                  <w:vMerge w:val="continue"/>
                  <w:vAlign w:val="center"/>
                </w:tcPr>
                <w:p>
                  <w:pPr>
                    <w:pStyle w:val="36"/>
                    <w:rPr>
                      <w:color w:val="auto"/>
                      <w:highlight w:val="none"/>
                    </w:rPr>
                  </w:pPr>
                </w:p>
              </w:tc>
              <w:tc>
                <w:tcPr>
                  <w:tcW w:w="384" w:type="pct"/>
                  <w:vMerge w:val="continue"/>
                  <w:vAlign w:val="center"/>
                </w:tcPr>
                <w:p>
                  <w:pPr>
                    <w:pStyle w:val="3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15</w:t>
                  </w:r>
                </w:p>
              </w:tc>
              <w:tc>
                <w:tcPr>
                  <w:tcW w:w="1286" w:type="pct"/>
                  <w:vAlign w:val="center"/>
                </w:tcPr>
                <w:p>
                  <w:pPr>
                    <w:pStyle w:val="36"/>
                    <w:rPr>
                      <w:color w:val="auto"/>
                      <w:highlight w:val="none"/>
                    </w:rPr>
                  </w:pPr>
                  <w:r>
                    <w:rPr>
                      <w:rFonts w:hint="eastAsia"/>
                      <w:color w:val="auto"/>
                      <w:highlight w:val="none"/>
                    </w:rPr>
                    <w:t>过滤器反洗风机</w:t>
                  </w:r>
                </w:p>
              </w:tc>
              <w:tc>
                <w:tcPr>
                  <w:tcW w:w="2461" w:type="pct"/>
                  <w:vAlign w:val="center"/>
                </w:tcPr>
                <w:p>
                  <w:pPr>
                    <w:pStyle w:val="36"/>
                    <w:rPr>
                      <w:color w:val="auto"/>
                      <w:highlight w:val="none"/>
                    </w:rPr>
                  </w:pPr>
                  <w:r>
                    <w:rPr>
                      <w:color w:val="auto"/>
                      <w:highlight w:val="none"/>
                    </w:rPr>
                    <w:t>Q=6.5N</w:t>
                  </w:r>
                  <w:r>
                    <w:rPr>
                      <w:rFonts w:hint="eastAsia"/>
                      <w:color w:val="auto"/>
                      <w:highlight w:val="none"/>
                    </w:rPr>
                    <w:t>m</w:t>
                  </w:r>
                  <w:r>
                    <w:rPr>
                      <w:rFonts w:hint="eastAsia"/>
                      <w:color w:val="auto"/>
                      <w:highlight w:val="none"/>
                      <w:vertAlign w:val="superscript"/>
                    </w:rPr>
                    <w:t>3</w:t>
                  </w:r>
                  <w:r>
                    <w:rPr>
                      <w:color w:val="auto"/>
                      <w:highlight w:val="none"/>
                    </w:rPr>
                    <w:t>/min，H=6m，带消声器、隔音罩</w:t>
                  </w:r>
                </w:p>
              </w:tc>
              <w:tc>
                <w:tcPr>
                  <w:tcW w:w="486" w:type="pct"/>
                  <w:vAlign w:val="center"/>
                </w:tcPr>
                <w:p>
                  <w:pPr>
                    <w:pStyle w:val="36"/>
                    <w:rPr>
                      <w:color w:val="auto"/>
                      <w:highlight w:val="none"/>
                    </w:rPr>
                  </w:pPr>
                  <w:r>
                    <w:rPr>
                      <w:color w:val="auto"/>
                      <w:highlight w:val="none"/>
                    </w:rPr>
                    <w:t>3</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16</w:t>
                  </w:r>
                </w:p>
              </w:tc>
              <w:tc>
                <w:tcPr>
                  <w:tcW w:w="1286" w:type="pct"/>
                  <w:vAlign w:val="center"/>
                </w:tcPr>
                <w:p>
                  <w:pPr>
                    <w:pStyle w:val="36"/>
                    <w:rPr>
                      <w:color w:val="auto"/>
                      <w:highlight w:val="none"/>
                    </w:rPr>
                  </w:pPr>
                  <w:r>
                    <w:rPr>
                      <w:rFonts w:hint="eastAsia"/>
                      <w:color w:val="auto"/>
                      <w:highlight w:val="none"/>
                    </w:rPr>
                    <w:t>污泥池</w:t>
                  </w:r>
                </w:p>
              </w:tc>
              <w:tc>
                <w:tcPr>
                  <w:tcW w:w="2461" w:type="pct"/>
                  <w:vAlign w:val="center"/>
                </w:tcPr>
                <w:p>
                  <w:pPr>
                    <w:pStyle w:val="36"/>
                    <w:rPr>
                      <w:color w:val="auto"/>
                      <w:highlight w:val="none"/>
                    </w:rPr>
                  </w:pPr>
                  <w:r>
                    <w:rPr>
                      <w:rFonts w:hint="eastAsia"/>
                      <w:color w:val="auto"/>
                      <w:highlight w:val="none"/>
                    </w:rPr>
                    <w:t>有效容积</w:t>
                  </w:r>
                  <w:r>
                    <w:rPr>
                      <w:color w:val="auto"/>
                      <w:highlight w:val="none"/>
                    </w:rPr>
                    <w:t>100</w:t>
                  </w:r>
                  <w:r>
                    <w:rPr>
                      <w:rFonts w:hint="eastAsia"/>
                      <w:color w:val="auto"/>
                      <w:highlight w:val="none"/>
                    </w:rPr>
                    <w:t>m</w:t>
                  </w:r>
                  <w:r>
                    <w:rPr>
                      <w:rFonts w:hint="eastAsia"/>
                      <w:color w:val="auto"/>
                      <w:highlight w:val="none"/>
                      <w:vertAlign w:val="superscript"/>
                    </w:rPr>
                    <w:t>3</w:t>
                  </w:r>
                  <w:r>
                    <w:rPr>
                      <w:color w:val="auto"/>
                      <w:highlight w:val="none"/>
                    </w:rPr>
                    <w:t>，含搅拌机</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17</w:t>
                  </w:r>
                </w:p>
              </w:tc>
              <w:tc>
                <w:tcPr>
                  <w:tcW w:w="1286" w:type="pct"/>
                  <w:vAlign w:val="center"/>
                </w:tcPr>
                <w:p>
                  <w:pPr>
                    <w:pStyle w:val="36"/>
                    <w:rPr>
                      <w:color w:val="auto"/>
                      <w:highlight w:val="none"/>
                    </w:rPr>
                  </w:pPr>
                  <w:r>
                    <w:rPr>
                      <w:rFonts w:hint="eastAsia"/>
                      <w:color w:val="auto"/>
                      <w:highlight w:val="none"/>
                    </w:rPr>
                    <w:t>泥水输送泵</w:t>
                  </w:r>
                </w:p>
              </w:tc>
              <w:tc>
                <w:tcPr>
                  <w:tcW w:w="2461" w:type="pct"/>
                  <w:vAlign w:val="center"/>
                </w:tcPr>
                <w:p>
                  <w:pPr>
                    <w:pStyle w:val="36"/>
                    <w:rPr>
                      <w:color w:val="auto"/>
                      <w:highlight w:val="none"/>
                    </w:rPr>
                  </w:pPr>
                  <w:r>
                    <w:rPr>
                      <w:color w:val="auto"/>
                      <w:highlight w:val="none"/>
                    </w:rPr>
                    <w:t>Q=6</w:t>
                  </w:r>
                  <w:r>
                    <w:rPr>
                      <w:rFonts w:hint="eastAsia"/>
                      <w:color w:val="auto"/>
                      <w:highlight w:val="none"/>
                    </w:rPr>
                    <w:t>m</w:t>
                  </w:r>
                  <w:r>
                    <w:rPr>
                      <w:rFonts w:hint="eastAsia"/>
                      <w:color w:val="auto"/>
                      <w:highlight w:val="none"/>
                      <w:vertAlign w:val="superscript"/>
                    </w:rPr>
                    <w:t>3</w:t>
                  </w:r>
                  <w:r>
                    <w:rPr>
                      <w:color w:val="auto"/>
                      <w:highlight w:val="none"/>
                    </w:rPr>
                    <w:t>/h，H=25m</w:t>
                  </w:r>
                </w:p>
              </w:tc>
              <w:tc>
                <w:tcPr>
                  <w:tcW w:w="486" w:type="pct"/>
                  <w:vAlign w:val="center"/>
                </w:tcPr>
                <w:p>
                  <w:pPr>
                    <w:pStyle w:val="36"/>
                    <w:rPr>
                      <w:color w:val="auto"/>
                      <w:highlight w:val="none"/>
                    </w:rPr>
                  </w:pPr>
                  <w:r>
                    <w:rPr>
                      <w:color w:val="auto"/>
                      <w:highlight w:val="none"/>
                    </w:rPr>
                    <w:t>3</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18</w:t>
                  </w:r>
                </w:p>
              </w:tc>
              <w:tc>
                <w:tcPr>
                  <w:tcW w:w="1286" w:type="pct"/>
                  <w:vAlign w:val="center"/>
                </w:tcPr>
                <w:p>
                  <w:pPr>
                    <w:pStyle w:val="36"/>
                    <w:rPr>
                      <w:color w:val="auto"/>
                      <w:highlight w:val="none"/>
                    </w:rPr>
                  </w:pPr>
                  <w:r>
                    <w:rPr>
                      <w:rFonts w:hint="eastAsia"/>
                      <w:color w:val="auto"/>
                      <w:highlight w:val="none"/>
                    </w:rPr>
                    <w:t>污泥浓缩池</w:t>
                  </w:r>
                </w:p>
              </w:tc>
              <w:tc>
                <w:tcPr>
                  <w:tcW w:w="2461" w:type="pct"/>
                  <w:vAlign w:val="center"/>
                </w:tcPr>
                <w:p>
                  <w:pPr>
                    <w:pStyle w:val="36"/>
                    <w:rPr>
                      <w:color w:val="auto"/>
                      <w:highlight w:val="none"/>
                    </w:rPr>
                  </w:pPr>
                  <w:r>
                    <w:rPr>
                      <w:rFonts w:hint="eastAsia"/>
                      <w:color w:val="auto"/>
                      <w:highlight w:val="none"/>
                    </w:rPr>
                    <w:t>有效容积</w:t>
                  </w:r>
                  <w:r>
                    <w:rPr>
                      <w:color w:val="auto"/>
                      <w:highlight w:val="none"/>
                    </w:rPr>
                    <w:t xml:space="preserve">40 </w:t>
                  </w:r>
                  <w:r>
                    <w:rPr>
                      <w:rFonts w:hint="eastAsia"/>
                      <w:color w:val="auto"/>
                      <w:highlight w:val="none"/>
                    </w:rPr>
                    <w:t>m</w:t>
                  </w:r>
                  <w:r>
                    <w:rPr>
                      <w:rFonts w:hint="eastAsia"/>
                      <w:color w:val="auto"/>
                      <w:highlight w:val="none"/>
                      <w:vertAlign w:val="superscript"/>
                    </w:rPr>
                    <w:t>3</w:t>
                  </w:r>
                  <w:r>
                    <w:rPr>
                      <w:color w:val="auto"/>
                      <w:highlight w:val="none"/>
                    </w:rPr>
                    <w:t>，含浓缩机、检修平台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19</w:t>
                  </w:r>
                </w:p>
              </w:tc>
              <w:tc>
                <w:tcPr>
                  <w:tcW w:w="1286" w:type="pct"/>
                  <w:vAlign w:val="center"/>
                </w:tcPr>
                <w:p>
                  <w:pPr>
                    <w:pStyle w:val="36"/>
                    <w:rPr>
                      <w:color w:val="auto"/>
                      <w:highlight w:val="none"/>
                    </w:rPr>
                  </w:pPr>
                  <w:r>
                    <w:rPr>
                      <w:rFonts w:hint="eastAsia"/>
                      <w:color w:val="auto"/>
                      <w:highlight w:val="none"/>
                    </w:rPr>
                    <w:t>管道混合器</w:t>
                  </w:r>
                </w:p>
              </w:tc>
              <w:tc>
                <w:tcPr>
                  <w:tcW w:w="2461" w:type="pct"/>
                  <w:vAlign w:val="center"/>
                </w:tcPr>
                <w:p>
                  <w:pPr>
                    <w:pStyle w:val="36"/>
                    <w:rPr>
                      <w:color w:val="auto"/>
                      <w:highlight w:val="none"/>
                    </w:rPr>
                  </w:pPr>
                  <w:r>
                    <w:rPr>
                      <w:color w:val="auto"/>
                      <w:highlight w:val="none"/>
                    </w:rPr>
                    <w:t>DN100</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20</w:t>
                  </w:r>
                </w:p>
              </w:tc>
              <w:tc>
                <w:tcPr>
                  <w:tcW w:w="1286" w:type="pct"/>
                  <w:vAlign w:val="center"/>
                </w:tcPr>
                <w:p>
                  <w:pPr>
                    <w:pStyle w:val="36"/>
                    <w:rPr>
                      <w:color w:val="auto"/>
                      <w:highlight w:val="none"/>
                    </w:rPr>
                  </w:pPr>
                  <w:r>
                    <w:rPr>
                      <w:rFonts w:hint="eastAsia"/>
                      <w:color w:val="auto"/>
                      <w:highlight w:val="none"/>
                    </w:rPr>
                    <w:t>泥浆输送泵</w:t>
                  </w:r>
                </w:p>
              </w:tc>
              <w:tc>
                <w:tcPr>
                  <w:tcW w:w="2461" w:type="pct"/>
                  <w:vAlign w:val="center"/>
                </w:tcPr>
                <w:p>
                  <w:pPr>
                    <w:pStyle w:val="36"/>
                    <w:rPr>
                      <w:color w:val="auto"/>
                      <w:highlight w:val="none"/>
                    </w:rPr>
                  </w:pPr>
                  <w:r>
                    <w:rPr>
                      <w:color w:val="auto"/>
                      <w:highlight w:val="none"/>
                    </w:rPr>
                    <w:t>Q=18</w:t>
                  </w:r>
                  <w:r>
                    <w:rPr>
                      <w:rFonts w:hint="eastAsia"/>
                      <w:color w:val="auto"/>
                      <w:highlight w:val="none"/>
                    </w:rPr>
                    <w:t>m</w:t>
                  </w:r>
                  <w:r>
                    <w:rPr>
                      <w:rFonts w:hint="eastAsia"/>
                      <w:color w:val="auto"/>
                      <w:highlight w:val="none"/>
                      <w:vertAlign w:val="superscript"/>
                    </w:rPr>
                    <w:t>3</w:t>
                  </w:r>
                  <w:r>
                    <w:rPr>
                      <w:color w:val="auto"/>
                      <w:highlight w:val="none"/>
                    </w:rPr>
                    <w:t>/h，H=80m</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21</w:t>
                  </w:r>
                </w:p>
              </w:tc>
              <w:tc>
                <w:tcPr>
                  <w:tcW w:w="1286" w:type="pct"/>
                  <w:vAlign w:val="center"/>
                </w:tcPr>
                <w:p>
                  <w:pPr>
                    <w:pStyle w:val="36"/>
                    <w:rPr>
                      <w:color w:val="auto"/>
                      <w:highlight w:val="none"/>
                    </w:rPr>
                  </w:pPr>
                  <w:r>
                    <w:rPr>
                      <w:rFonts w:hint="eastAsia"/>
                      <w:color w:val="auto"/>
                      <w:highlight w:val="none"/>
                    </w:rPr>
                    <w:t>污泥脱水机</w:t>
                  </w:r>
                </w:p>
              </w:tc>
              <w:tc>
                <w:tcPr>
                  <w:tcW w:w="2461" w:type="pct"/>
                  <w:vAlign w:val="center"/>
                </w:tcPr>
                <w:p>
                  <w:pPr>
                    <w:pStyle w:val="36"/>
                    <w:rPr>
                      <w:color w:val="auto"/>
                      <w:highlight w:val="none"/>
                    </w:rPr>
                  </w:pPr>
                  <w:r>
                    <w:rPr>
                      <w:rFonts w:hint="eastAsia"/>
                      <w:color w:val="auto"/>
                      <w:highlight w:val="none"/>
                    </w:rPr>
                    <w:t>高压板框压滤机，面积</w:t>
                  </w:r>
                  <w:r>
                    <w:rPr>
                      <w:color w:val="auto"/>
                      <w:highlight w:val="none"/>
                    </w:rPr>
                    <w:t>50m</w:t>
                  </w:r>
                  <w:r>
                    <w:rPr>
                      <w:color w:val="auto"/>
                      <w:highlight w:val="none"/>
                      <w:vertAlign w:val="superscript"/>
                    </w:rPr>
                    <w:t>2</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22</w:t>
                  </w:r>
                </w:p>
              </w:tc>
              <w:tc>
                <w:tcPr>
                  <w:tcW w:w="1286" w:type="pct"/>
                  <w:vAlign w:val="center"/>
                </w:tcPr>
                <w:p>
                  <w:pPr>
                    <w:pStyle w:val="36"/>
                    <w:rPr>
                      <w:color w:val="auto"/>
                      <w:highlight w:val="none"/>
                    </w:rPr>
                  </w:pPr>
                  <w:r>
                    <w:rPr>
                      <w:rFonts w:hint="eastAsia"/>
                      <w:color w:val="auto"/>
                      <w:highlight w:val="none"/>
                    </w:rPr>
                    <w:t>压缩空气储罐</w:t>
                  </w:r>
                </w:p>
              </w:tc>
              <w:tc>
                <w:tcPr>
                  <w:tcW w:w="2461" w:type="pct"/>
                  <w:vAlign w:val="center"/>
                </w:tcPr>
                <w:p>
                  <w:pPr>
                    <w:pStyle w:val="36"/>
                    <w:rPr>
                      <w:color w:val="auto"/>
                      <w:highlight w:val="none"/>
                    </w:rPr>
                  </w:pPr>
                  <w:r>
                    <w:rPr>
                      <w:color w:val="auto"/>
                      <w:highlight w:val="none"/>
                    </w:rPr>
                    <w:t>2</w:t>
                  </w:r>
                  <w:r>
                    <w:rPr>
                      <w:rFonts w:hint="eastAsia"/>
                      <w:color w:val="auto"/>
                      <w:highlight w:val="none"/>
                    </w:rPr>
                    <w:t>m</w:t>
                  </w:r>
                  <w:r>
                    <w:rPr>
                      <w:rFonts w:hint="eastAsia"/>
                      <w:color w:val="auto"/>
                      <w:highlight w:val="none"/>
                      <w:vertAlign w:val="superscript"/>
                    </w:rPr>
                    <w:t>3</w:t>
                  </w:r>
                  <w:r>
                    <w:rPr>
                      <w:color w:val="auto"/>
                      <w:highlight w:val="none"/>
                    </w:rPr>
                    <w:t>，带同材质安全阀</w:t>
                  </w:r>
                </w:p>
              </w:tc>
              <w:tc>
                <w:tcPr>
                  <w:tcW w:w="486" w:type="pct"/>
                  <w:vAlign w:val="center"/>
                </w:tcPr>
                <w:p>
                  <w:pPr>
                    <w:pStyle w:val="36"/>
                    <w:rPr>
                      <w:color w:val="auto"/>
                      <w:highlight w:val="none"/>
                    </w:rPr>
                  </w:pPr>
                  <w:r>
                    <w:rPr>
                      <w:color w:val="auto"/>
                      <w:highlight w:val="none"/>
                    </w:rPr>
                    <w:t>1</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23</w:t>
                  </w:r>
                </w:p>
              </w:tc>
              <w:tc>
                <w:tcPr>
                  <w:tcW w:w="1286" w:type="pct"/>
                  <w:vAlign w:val="center"/>
                </w:tcPr>
                <w:p>
                  <w:pPr>
                    <w:pStyle w:val="36"/>
                    <w:rPr>
                      <w:color w:val="auto"/>
                      <w:highlight w:val="none"/>
                    </w:rPr>
                  </w:pPr>
                  <w:r>
                    <w:rPr>
                      <w:rFonts w:hint="eastAsia"/>
                      <w:color w:val="auto"/>
                      <w:highlight w:val="none"/>
                    </w:rPr>
                    <w:t>压榨水箱</w:t>
                  </w:r>
                </w:p>
              </w:tc>
              <w:tc>
                <w:tcPr>
                  <w:tcW w:w="2461" w:type="pct"/>
                  <w:vAlign w:val="center"/>
                </w:tcPr>
                <w:p>
                  <w:pPr>
                    <w:pStyle w:val="36"/>
                    <w:rPr>
                      <w:color w:val="auto"/>
                      <w:highlight w:val="none"/>
                    </w:rPr>
                  </w:pPr>
                  <w:r>
                    <w:rPr>
                      <w:color w:val="auto"/>
                      <w:highlight w:val="none"/>
                    </w:rPr>
                    <w:t>V=3</w:t>
                  </w:r>
                  <w:r>
                    <w:rPr>
                      <w:rFonts w:hint="eastAsia"/>
                      <w:color w:val="auto"/>
                      <w:highlight w:val="none"/>
                    </w:rPr>
                    <w:t>m</w:t>
                  </w:r>
                  <w:r>
                    <w:rPr>
                      <w:rFonts w:hint="eastAsia"/>
                      <w:color w:val="auto"/>
                      <w:highlight w:val="none"/>
                      <w:vertAlign w:val="superscript"/>
                    </w:rPr>
                    <w:t>3</w:t>
                  </w:r>
                </w:p>
              </w:tc>
              <w:tc>
                <w:tcPr>
                  <w:tcW w:w="486" w:type="pct"/>
                  <w:vAlign w:val="center"/>
                </w:tcPr>
                <w:p>
                  <w:pPr>
                    <w:pStyle w:val="36"/>
                    <w:rPr>
                      <w:color w:val="auto"/>
                      <w:highlight w:val="none"/>
                    </w:rPr>
                  </w:pPr>
                  <w:r>
                    <w:rPr>
                      <w:color w:val="auto"/>
                      <w:highlight w:val="none"/>
                    </w:rPr>
                    <w:t>1</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24</w:t>
                  </w:r>
                </w:p>
              </w:tc>
              <w:tc>
                <w:tcPr>
                  <w:tcW w:w="1286" w:type="pct"/>
                  <w:vAlign w:val="center"/>
                </w:tcPr>
                <w:p>
                  <w:pPr>
                    <w:pStyle w:val="36"/>
                    <w:rPr>
                      <w:color w:val="auto"/>
                      <w:highlight w:val="none"/>
                    </w:rPr>
                  </w:pPr>
                  <w:r>
                    <w:rPr>
                      <w:rFonts w:hint="eastAsia"/>
                      <w:color w:val="auto"/>
                      <w:highlight w:val="none"/>
                    </w:rPr>
                    <w:t>压榨水泵</w:t>
                  </w:r>
                </w:p>
              </w:tc>
              <w:tc>
                <w:tcPr>
                  <w:tcW w:w="2461" w:type="pct"/>
                  <w:vAlign w:val="center"/>
                </w:tcPr>
                <w:p>
                  <w:pPr>
                    <w:pStyle w:val="36"/>
                    <w:rPr>
                      <w:color w:val="auto"/>
                      <w:highlight w:val="none"/>
                    </w:rPr>
                  </w:pPr>
                  <w:r>
                    <w:rPr>
                      <w:color w:val="auto"/>
                      <w:highlight w:val="none"/>
                    </w:rPr>
                    <w:t>Q=5</w:t>
                  </w:r>
                  <w:r>
                    <w:rPr>
                      <w:rFonts w:hint="eastAsia"/>
                      <w:color w:val="auto"/>
                      <w:highlight w:val="none"/>
                    </w:rPr>
                    <w:t>m</w:t>
                  </w:r>
                  <w:r>
                    <w:rPr>
                      <w:rFonts w:hint="eastAsia"/>
                      <w:color w:val="auto"/>
                      <w:highlight w:val="none"/>
                      <w:vertAlign w:val="superscript"/>
                    </w:rPr>
                    <w:t>3</w:t>
                  </w:r>
                  <w:r>
                    <w:rPr>
                      <w:color w:val="auto"/>
                      <w:highlight w:val="none"/>
                    </w:rPr>
                    <w:t>/h，H=180m</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25</w:t>
                  </w:r>
                </w:p>
              </w:tc>
              <w:tc>
                <w:tcPr>
                  <w:tcW w:w="1286" w:type="pct"/>
                  <w:vAlign w:val="center"/>
                </w:tcPr>
                <w:p>
                  <w:pPr>
                    <w:pStyle w:val="36"/>
                    <w:rPr>
                      <w:color w:val="auto"/>
                      <w:highlight w:val="none"/>
                    </w:rPr>
                  </w:pPr>
                  <w:r>
                    <w:rPr>
                      <w:rFonts w:hint="eastAsia"/>
                      <w:color w:val="auto"/>
                      <w:highlight w:val="none"/>
                    </w:rPr>
                    <w:t>反冲洗水箱</w:t>
                  </w:r>
                </w:p>
              </w:tc>
              <w:tc>
                <w:tcPr>
                  <w:tcW w:w="2461" w:type="pct"/>
                  <w:vAlign w:val="center"/>
                </w:tcPr>
                <w:p>
                  <w:pPr>
                    <w:pStyle w:val="36"/>
                    <w:rPr>
                      <w:color w:val="auto"/>
                      <w:highlight w:val="none"/>
                    </w:rPr>
                  </w:pPr>
                  <w:r>
                    <w:rPr>
                      <w:color w:val="auto"/>
                      <w:highlight w:val="none"/>
                    </w:rPr>
                    <w:t>V=3</w:t>
                  </w:r>
                  <w:r>
                    <w:rPr>
                      <w:rFonts w:hint="eastAsia"/>
                      <w:color w:val="auto"/>
                      <w:highlight w:val="none"/>
                    </w:rPr>
                    <w:t>m</w:t>
                  </w:r>
                  <w:r>
                    <w:rPr>
                      <w:rFonts w:hint="eastAsia"/>
                      <w:color w:val="auto"/>
                      <w:highlight w:val="none"/>
                      <w:vertAlign w:val="superscript"/>
                    </w:rPr>
                    <w:t>3</w:t>
                  </w:r>
                </w:p>
              </w:tc>
              <w:tc>
                <w:tcPr>
                  <w:tcW w:w="486" w:type="pct"/>
                  <w:vAlign w:val="center"/>
                </w:tcPr>
                <w:p>
                  <w:pPr>
                    <w:pStyle w:val="36"/>
                    <w:rPr>
                      <w:color w:val="auto"/>
                      <w:highlight w:val="none"/>
                    </w:rPr>
                  </w:pPr>
                  <w:r>
                    <w:rPr>
                      <w:color w:val="auto"/>
                      <w:highlight w:val="none"/>
                    </w:rPr>
                    <w:t>1</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26</w:t>
                  </w:r>
                </w:p>
              </w:tc>
              <w:tc>
                <w:tcPr>
                  <w:tcW w:w="1286" w:type="pct"/>
                  <w:vAlign w:val="center"/>
                </w:tcPr>
                <w:p>
                  <w:pPr>
                    <w:pStyle w:val="36"/>
                    <w:rPr>
                      <w:color w:val="auto"/>
                      <w:highlight w:val="none"/>
                    </w:rPr>
                  </w:pPr>
                  <w:r>
                    <w:rPr>
                      <w:rFonts w:hint="eastAsia"/>
                      <w:color w:val="auto"/>
                      <w:highlight w:val="none"/>
                    </w:rPr>
                    <w:t>反冲洗水泵</w:t>
                  </w:r>
                </w:p>
              </w:tc>
              <w:tc>
                <w:tcPr>
                  <w:tcW w:w="2461" w:type="pct"/>
                  <w:vAlign w:val="center"/>
                </w:tcPr>
                <w:p>
                  <w:pPr>
                    <w:pStyle w:val="36"/>
                    <w:rPr>
                      <w:color w:val="auto"/>
                      <w:highlight w:val="none"/>
                    </w:rPr>
                  </w:pPr>
                  <w:r>
                    <w:rPr>
                      <w:color w:val="auto"/>
                      <w:highlight w:val="none"/>
                    </w:rPr>
                    <w:t>Q=10</w:t>
                  </w:r>
                  <w:r>
                    <w:rPr>
                      <w:rFonts w:hint="eastAsia"/>
                      <w:color w:val="auto"/>
                      <w:highlight w:val="none"/>
                    </w:rPr>
                    <w:t>m</w:t>
                  </w:r>
                  <w:r>
                    <w:rPr>
                      <w:rFonts w:hint="eastAsia"/>
                      <w:color w:val="auto"/>
                      <w:highlight w:val="none"/>
                      <w:vertAlign w:val="superscript"/>
                    </w:rPr>
                    <w:t>3</w:t>
                  </w:r>
                  <w:r>
                    <w:rPr>
                      <w:color w:val="auto"/>
                      <w:highlight w:val="none"/>
                    </w:rPr>
                    <w:t>/h，H=200m</w:t>
                  </w:r>
                </w:p>
              </w:tc>
              <w:tc>
                <w:tcPr>
                  <w:tcW w:w="486" w:type="pct"/>
                  <w:vAlign w:val="center"/>
                </w:tcPr>
                <w:p>
                  <w:pPr>
                    <w:pStyle w:val="36"/>
                    <w:rPr>
                      <w:color w:val="auto"/>
                      <w:highlight w:val="none"/>
                    </w:rPr>
                  </w:pPr>
                  <w:r>
                    <w:rPr>
                      <w:color w:val="auto"/>
                      <w:highlight w:val="none"/>
                    </w:rPr>
                    <w:t>4</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27</w:t>
                  </w:r>
                </w:p>
              </w:tc>
              <w:tc>
                <w:tcPr>
                  <w:tcW w:w="1286" w:type="pct"/>
                  <w:vAlign w:val="center"/>
                </w:tcPr>
                <w:p>
                  <w:pPr>
                    <w:pStyle w:val="36"/>
                    <w:rPr>
                      <w:color w:val="auto"/>
                      <w:highlight w:val="none"/>
                    </w:rPr>
                  </w:pPr>
                  <w:r>
                    <w:rPr>
                      <w:rFonts w:hint="eastAsia"/>
                      <w:color w:val="auto"/>
                      <w:highlight w:val="none"/>
                    </w:rPr>
                    <w:t>卸酸泵</w:t>
                  </w:r>
                </w:p>
              </w:tc>
              <w:tc>
                <w:tcPr>
                  <w:tcW w:w="2461" w:type="pct"/>
                  <w:vAlign w:val="center"/>
                </w:tcPr>
                <w:p>
                  <w:pPr>
                    <w:pStyle w:val="36"/>
                    <w:rPr>
                      <w:color w:val="auto"/>
                      <w:highlight w:val="none"/>
                    </w:rPr>
                  </w:pPr>
                  <w:r>
                    <w:rPr>
                      <w:color w:val="auto"/>
                      <w:highlight w:val="none"/>
                    </w:rPr>
                    <w:t>Q=10</w:t>
                  </w:r>
                  <w:r>
                    <w:rPr>
                      <w:rFonts w:hint="eastAsia"/>
                      <w:color w:val="auto"/>
                      <w:highlight w:val="none"/>
                    </w:rPr>
                    <w:t>m</w:t>
                  </w:r>
                  <w:r>
                    <w:rPr>
                      <w:rFonts w:hint="eastAsia"/>
                      <w:color w:val="auto"/>
                      <w:highlight w:val="none"/>
                      <w:vertAlign w:val="superscript"/>
                    </w:rPr>
                    <w:t>3</w:t>
                  </w:r>
                  <w:r>
                    <w:rPr>
                      <w:color w:val="auto"/>
                      <w:highlight w:val="none"/>
                    </w:rPr>
                    <w:t xml:space="preserve">/h，H=15m </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28</w:t>
                  </w:r>
                </w:p>
              </w:tc>
              <w:tc>
                <w:tcPr>
                  <w:tcW w:w="1286" w:type="pct"/>
                  <w:vAlign w:val="center"/>
                </w:tcPr>
                <w:p>
                  <w:pPr>
                    <w:pStyle w:val="36"/>
                    <w:rPr>
                      <w:color w:val="auto"/>
                      <w:highlight w:val="none"/>
                    </w:rPr>
                  </w:pPr>
                  <w:r>
                    <w:rPr>
                      <w:rFonts w:hint="eastAsia"/>
                      <w:color w:val="auto"/>
                      <w:highlight w:val="none"/>
                    </w:rPr>
                    <w:t>卸碱泵</w:t>
                  </w:r>
                </w:p>
              </w:tc>
              <w:tc>
                <w:tcPr>
                  <w:tcW w:w="2461" w:type="pct"/>
                  <w:vAlign w:val="center"/>
                </w:tcPr>
                <w:p>
                  <w:pPr>
                    <w:pStyle w:val="36"/>
                    <w:rPr>
                      <w:color w:val="auto"/>
                      <w:highlight w:val="none"/>
                    </w:rPr>
                  </w:pPr>
                  <w:r>
                    <w:rPr>
                      <w:color w:val="auto"/>
                      <w:highlight w:val="none"/>
                    </w:rPr>
                    <w:t>Q=10</w:t>
                  </w:r>
                  <w:r>
                    <w:rPr>
                      <w:rFonts w:hint="eastAsia"/>
                      <w:color w:val="auto"/>
                      <w:highlight w:val="none"/>
                    </w:rPr>
                    <w:t>m</w:t>
                  </w:r>
                  <w:r>
                    <w:rPr>
                      <w:rFonts w:hint="eastAsia"/>
                      <w:color w:val="auto"/>
                      <w:highlight w:val="none"/>
                      <w:vertAlign w:val="superscript"/>
                    </w:rPr>
                    <w:t>3</w:t>
                  </w:r>
                  <w:r>
                    <w:rPr>
                      <w:color w:val="auto"/>
                      <w:highlight w:val="none"/>
                    </w:rPr>
                    <w:t xml:space="preserve">/h，H=15m </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29</w:t>
                  </w:r>
                </w:p>
              </w:tc>
              <w:tc>
                <w:tcPr>
                  <w:tcW w:w="1286" w:type="pct"/>
                  <w:vAlign w:val="center"/>
                </w:tcPr>
                <w:p>
                  <w:pPr>
                    <w:pStyle w:val="36"/>
                    <w:rPr>
                      <w:color w:val="auto"/>
                      <w:highlight w:val="none"/>
                    </w:rPr>
                  </w:pPr>
                  <w:r>
                    <w:rPr>
                      <w:rFonts w:hint="eastAsia"/>
                      <w:color w:val="auto"/>
                      <w:highlight w:val="none"/>
                    </w:rPr>
                    <w:t>卸次氯酸钠泵</w:t>
                  </w:r>
                </w:p>
              </w:tc>
              <w:tc>
                <w:tcPr>
                  <w:tcW w:w="2461" w:type="pct"/>
                  <w:vAlign w:val="center"/>
                </w:tcPr>
                <w:p>
                  <w:pPr>
                    <w:pStyle w:val="36"/>
                    <w:rPr>
                      <w:color w:val="auto"/>
                      <w:highlight w:val="none"/>
                    </w:rPr>
                  </w:pPr>
                  <w:r>
                    <w:rPr>
                      <w:color w:val="auto"/>
                      <w:highlight w:val="none"/>
                    </w:rPr>
                    <w:t>Q=</w:t>
                  </w:r>
                  <w:r>
                    <w:rPr>
                      <w:rFonts w:hint="eastAsia"/>
                      <w:color w:val="auto"/>
                      <w:highlight w:val="none"/>
                    </w:rPr>
                    <w:t>50m</w:t>
                  </w:r>
                  <w:r>
                    <w:rPr>
                      <w:rFonts w:hint="eastAsia"/>
                      <w:color w:val="auto"/>
                      <w:highlight w:val="none"/>
                      <w:vertAlign w:val="superscript"/>
                    </w:rPr>
                    <w:t>3</w:t>
                  </w:r>
                  <w:r>
                    <w:rPr>
                      <w:color w:val="auto"/>
                      <w:highlight w:val="none"/>
                    </w:rPr>
                    <w:t xml:space="preserve">/h，H=15m </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30</w:t>
                  </w:r>
                </w:p>
              </w:tc>
              <w:tc>
                <w:tcPr>
                  <w:tcW w:w="1286" w:type="pct"/>
                  <w:vAlign w:val="center"/>
                </w:tcPr>
                <w:p>
                  <w:pPr>
                    <w:pStyle w:val="36"/>
                    <w:rPr>
                      <w:color w:val="auto"/>
                      <w:highlight w:val="none"/>
                    </w:rPr>
                  </w:pPr>
                  <w:r>
                    <w:rPr>
                      <w:rFonts w:hint="eastAsia"/>
                      <w:color w:val="auto"/>
                      <w:highlight w:val="none"/>
                    </w:rPr>
                    <w:t>卸混凝剂泵</w:t>
                  </w:r>
                </w:p>
              </w:tc>
              <w:tc>
                <w:tcPr>
                  <w:tcW w:w="2461" w:type="pct"/>
                  <w:vAlign w:val="center"/>
                </w:tcPr>
                <w:p>
                  <w:pPr>
                    <w:pStyle w:val="36"/>
                    <w:rPr>
                      <w:color w:val="auto"/>
                      <w:highlight w:val="none"/>
                    </w:rPr>
                  </w:pPr>
                  <w:r>
                    <w:rPr>
                      <w:color w:val="auto"/>
                      <w:highlight w:val="none"/>
                    </w:rPr>
                    <w:t>Q=10</w:t>
                  </w:r>
                  <w:r>
                    <w:rPr>
                      <w:rFonts w:hint="eastAsia"/>
                      <w:color w:val="auto"/>
                      <w:highlight w:val="none"/>
                    </w:rPr>
                    <w:t>m</w:t>
                  </w:r>
                  <w:r>
                    <w:rPr>
                      <w:rFonts w:hint="eastAsia"/>
                      <w:color w:val="auto"/>
                      <w:highlight w:val="none"/>
                      <w:vertAlign w:val="superscript"/>
                    </w:rPr>
                    <w:t>3</w:t>
                  </w:r>
                  <w:r>
                    <w:rPr>
                      <w:color w:val="auto"/>
                      <w:highlight w:val="none"/>
                    </w:rPr>
                    <w:t xml:space="preserve">/h，H=15m </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31</w:t>
                  </w:r>
                </w:p>
              </w:tc>
              <w:tc>
                <w:tcPr>
                  <w:tcW w:w="1286" w:type="pct"/>
                  <w:vAlign w:val="center"/>
                </w:tcPr>
                <w:p>
                  <w:pPr>
                    <w:pStyle w:val="36"/>
                    <w:rPr>
                      <w:color w:val="auto"/>
                      <w:highlight w:val="none"/>
                    </w:rPr>
                  </w:pPr>
                  <w:r>
                    <w:rPr>
                      <w:rFonts w:hint="eastAsia"/>
                      <w:color w:val="auto"/>
                      <w:highlight w:val="none"/>
                    </w:rPr>
                    <w:t>酸贮罐</w:t>
                  </w:r>
                </w:p>
              </w:tc>
              <w:tc>
                <w:tcPr>
                  <w:tcW w:w="2461" w:type="pct"/>
                  <w:vAlign w:val="center"/>
                </w:tcPr>
                <w:p>
                  <w:pPr>
                    <w:pStyle w:val="36"/>
                    <w:rPr>
                      <w:color w:val="auto"/>
                      <w:highlight w:val="none"/>
                    </w:rPr>
                  </w:pPr>
                  <w:r>
                    <w:rPr>
                      <w:rFonts w:hint="eastAsia"/>
                      <w:color w:val="auto"/>
                      <w:highlight w:val="none"/>
                    </w:rPr>
                    <w:t>3m</w:t>
                  </w:r>
                  <w:r>
                    <w:rPr>
                      <w:rFonts w:hint="eastAsia"/>
                      <w:color w:val="auto"/>
                      <w:highlight w:val="none"/>
                      <w:vertAlign w:val="superscript"/>
                    </w:rPr>
                    <w:t>3</w:t>
                  </w:r>
                  <w:r>
                    <w:rPr>
                      <w:color w:val="auto"/>
                      <w:highlight w:val="none"/>
                    </w:rPr>
                    <w:t>，含检修平台、酸雾吸收器</w:t>
                  </w:r>
                </w:p>
              </w:tc>
              <w:tc>
                <w:tcPr>
                  <w:tcW w:w="486" w:type="pct"/>
                  <w:vAlign w:val="center"/>
                </w:tcPr>
                <w:p>
                  <w:pPr>
                    <w:pStyle w:val="36"/>
                    <w:rPr>
                      <w:color w:val="auto"/>
                      <w:highlight w:val="none"/>
                    </w:rPr>
                  </w:pPr>
                  <w:r>
                    <w:rPr>
                      <w:rFonts w:hint="eastAsia"/>
                      <w:color w:val="auto"/>
                      <w:highlight w:val="none"/>
                    </w:rPr>
                    <w:t>1</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32</w:t>
                  </w:r>
                </w:p>
              </w:tc>
              <w:tc>
                <w:tcPr>
                  <w:tcW w:w="1286" w:type="pct"/>
                  <w:vAlign w:val="center"/>
                </w:tcPr>
                <w:p>
                  <w:pPr>
                    <w:pStyle w:val="36"/>
                    <w:rPr>
                      <w:color w:val="auto"/>
                      <w:highlight w:val="none"/>
                    </w:rPr>
                  </w:pPr>
                  <w:r>
                    <w:rPr>
                      <w:rFonts w:hint="eastAsia"/>
                      <w:color w:val="auto"/>
                      <w:highlight w:val="none"/>
                    </w:rPr>
                    <w:t>碱贮罐</w:t>
                  </w:r>
                </w:p>
              </w:tc>
              <w:tc>
                <w:tcPr>
                  <w:tcW w:w="2461" w:type="pct"/>
                  <w:vAlign w:val="center"/>
                </w:tcPr>
                <w:p>
                  <w:pPr>
                    <w:pStyle w:val="36"/>
                    <w:rPr>
                      <w:color w:val="auto"/>
                      <w:highlight w:val="none"/>
                    </w:rPr>
                  </w:pPr>
                  <w:r>
                    <w:rPr>
                      <w:color w:val="auto"/>
                      <w:highlight w:val="none"/>
                    </w:rPr>
                    <w:t>10</w:t>
                  </w:r>
                  <w:r>
                    <w:rPr>
                      <w:rFonts w:hint="eastAsia"/>
                      <w:color w:val="auto"/>
                      <w:highlight w:val="none"/>
                    </w:rPr>
                    <w:t>m</w:t>
                  </w:r>
                  <w:r>
                    <w:rPr>
                      <w:rFonts w:hint="eastAsia"/>
                      <w:color w:val="auto"/>
                      <w:highlight w:val="none"/>
                      <w:vertAlign w:val="superscript"/>
                    </w:rPr>
                    <w:t>3</w:t>
                  </w:r>
                  <w:r>
                    <w:rPr>
                      <w:color w:val="auto"/>
                      <w:highlight w:val="none"/>
                    </w:rPr>
                    <w:t>，含检修平台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33</w:t>
                  </w:r>
                </w:p>
              </w:tc>
              <w:tc>
                <w:tcPr>
                  <w:tcW w:w="1286" w:type="pct"/>
                  <w:vAlign w:val="center"/>
                </w:tcPr>
                <w:p>
                  <w:pPr>
                    <w:pStyle w:val="36"/>
                    <w:rPr>
                      <w:color w:val="auto"/>
                      <w:highlight w:val="none"/>
                    </w:rPr>
                  </w:pPr>
                  <w:r>
                    <w:rPr>
                      <w:rFonts w:hint="eastAsia"/>
                      <w:color w:val="auto"/>
                      <w:highlight w:val="none"/>
                    </w:rPr>
                    <w:t>次氯酸钠贮罐</w:t>
                  </w:r>
                </w:p>
              </w:tc>
              <w:tc>
                <w:tcPr>
                  <w:tcW w:w="2461" w:type="pct"/>
                  <w:vAlign w:val="center"/>
                </w:tcPr>
                <w:p>
                  <w:pPr>
                    <w:pStyle w:val="36"/>
                    <w:rPr>
                      <w:color w:val="auto"/>
                      <w:highlight w:val="none"/>
                    </w:rPr>
                  </w:pPr>
                  <w:r>
                    <w:rPr>
                      <w:rFonts w:hint="eastAsia"/>
                      <w:color w:val="auto"/>
                      <w:highlight w:val="none"/>
                    </w:rPr>
                    <w:t>25m</w:t>
                  </w:r>
                  <w:r>
                    <w:rPr>
                      <w:rFonts w:hint="eastAsia"/>
                      <w:color w:val="auto"/>
                      <w:highlight w:val="none"/>
                      <w:vertAlign w:val="superscript"/>
                    </w:rPr>
                    <w:t>3</w:t>
                  </w:r>
                  <w:r>
                    <w:rPr>
                      <w:color w:val="auto"/>
                      <w:highlight w:val="none"/>
                    </w:rPr>
                    <w:t>，含检修平台、酸雾吸收器</w:t>
                  </w:r>
                </w:p>
              </w:tc>
              <w:tc>
                <w:tcPr>
                  <w:tcW w:w="486" w:type="pct"/>
                  <w:vAlign w:val="center"/>
                </w:tcPr>
                <w:p>
                  <w:pPr>
                    <w:pStyle w:val="36"/>
                    <w:rPr>
                      <w:color w:val="auto"/>
                      <w:highlight w:val="none"/>
                    </w:rPr>
                  </w:pPr>
                  <w:r>
                    <w:rPr>
                      <w:rFonts w:hint="eastAsia"/>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34</w:t>
                  </w:r>
                </w:p>
              </w:tc>
              <w:tc>
                <w:tcPr>
                  <w:tcW w:w="1286" w:type="pct"/>
                  <w:vAlign w:val="center"/>
                </w:tcPr>
                <w:p>
                  <w:pPr>
                    <w:pStyle w:val="36"/>
                    <w:rPr>
                      <w:color w:val="auto"/>
                      <w:highlight w:val="none"/>
                    </w:rPr>
                  </w:pPr>
                  <w:r>
                    <w:rPr>
                      <w:rFonts w:hint="eastAsia"/>
                      <w:color w:val="auto"/>
                      <w:highlight w:val="none"/>
                    </w:rPr>
                    <w:t>混凝剂贮罐</w:t>
                  </w:r>
                </w:p>
              </w:tc>
              <w:tc>
                <w:tcPr>
                  <w:tcW w:w="2461" w:type="pct"/>
                  <w:vAlign w:val="center"/>
                </w:tcPr>
                <w:p>
                  <w:pPr>
                    <w:pStyle w:val="36"/>
                    <w:rPr>
                      <w:color w:val="auto"/>
                      <w:highlight w:val="none"/>
                    </w:rPr>
                  </w:pPr>
                  <w:r>
                    <w:rPr>
                      <w:color w:val="auto"/>
                      <w:highlight w:val="none"/>
                    </w:rPr>
                    <w:t>10</w:t>
                  </w:r>
                  <w:r>
                    <w:rPr>
                      <w:rFonts w:hint="eastAsia"/>
                      <w:color w:val="auto"/>
                      <w:highlight w:val="none"/>
                    </w:rPr>
                    <w:t>m</w:t>
                  </w:r>
                  <w:r>
                    <w:rPr>
                      <w:rFonts w:hint="eastAsia"/>
                      <w:color w:val="auto"/>
                      <w:highlight w:val="none"/>
                      <w:vertAlign w:val="superscript"/>
                    </w:rPr>
                    <w:t>3</w:t>
                  </w:r>
                  <w:r>
                    <w:rPr>
                      <w:color w:val="auto"/>
                      <w:highlight w:val="none"/>
                    </w:rPr>
                    <w:t>，含检修平台</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35</w:t>
                  </w:r>
                </w:p>
              </w:tc>
              <w:tc>
                <w:tcPr>
                  <w:tcW w:w="1286" w:type="pct"/>
                  <w:vAlign w:val="center"/>
                </w:tcPr>
                <w:p>
                  <w:pPr>
                    <w:pStyle w:val="36"/>
                    <w:rPr>
                      <w:color w:val="auto"/>
                      <w:highlight w:val="none"/>
                    </w:rPr>
                  </w:pPr>
                  <w:r>
                    <w:rPr>
                      <w:rFonts w:hint="eastAsia"/>
                      <w:color w:val="auto"/>
                      <w:highlight w:val="none"/>
                    </w:rPr>
                    <w:t>酸加药装置</w:t>
                  </w:r>
                </w:p>
              </w:tc>
              <w:tc>
                <w:tcPr>
                  <w:tcW w:w="2461" w:type="pct"/>
                  <w:vAlign w:val="center"/>
                </w:tcPr>
                <w:p>
                  <w:pPr>
                    <w:pStyle w:val="36"/>
                    <w:rPr>
                      <w:color w:val="auto"/>
                      <w:highlight w:val="none"/>
                    </w:rPr>
                  </w:pPr>
                  <w:r>
                    <w:rPr>
                      <w:color w:val="auto"/>
                      <w:highlight w:val="none"/>
                    </w:rPr>
                    <w:t>500L，含计量泵、搅拌器、酸雾吸收器、加药平台等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36</w:t>
                  </w:r>
                </w:p>
              </w:tc>
              <w:tc>
                <w:tcPr>
                  <w:tcW w:w="1286" w:type="pct"/>
                  <w:vAlign w:val="center"/>
                </w:tcPr>
                <w:p>
                  <w:pPr>
                    <w:pStyle w:val="36"/>
                    <w:rPr>
                      <w:color w:val="auto"/>
                      <w:highlight w:val="none"/>
                    </w:rPr>
                  </w:pPr>
                  <w:r>
                    <w:rPr>
                      <w:rFonts w:hint="eastAsia"/>
                      <w:color w:val="auto"/>
                      <w:highlight w:val="none"/>
                    </w:rPr>
                    <w:t>碱加药装置</w:t>
                  </w:r>
                </w:p>
              </w:tc>
              <w:tc>
                <w:tcPr>
                  <w:tcW w:w="2461" w:type="pct"/>
                  <w:vAlign w:val="center"/>
                </w:tcPr>
                <w:p>
                  <w:pPr>
                    <w:pStyle w:val="36"/>
                    <w:rPr>
                      <w:color w:val="auto"/>
                      <w:highlight w:val="none"/>
                    </w:rPr>
                  </w:pPr>
                  <w:r>
                    <w:rPr>
                      <w:color w:val="auto"/>
                      <w:highlight w:val="none"/>
                    </w:rPr>
                    <w:t>500L，含计量泵、搅拌器、二氧化碳吸收器、加药平台等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37</w:t>
                  </w:r>
                </w:p>
              </w:tc>
              <w:tc>
                <w:tcPr>
                  <w:tcW w:w="1286" w:type="pct"/>
                  <w:vAlign w:val="center"/>
                </w:tcPr>
                <w:p>
                  <w:pPr>
                    <w:pStyle w:val="36"/>
                    <w:rPr>
                      <w:color w:val="auto"/>
                      <w:highlight w:val="none"/>
                    </w:rPr>
                  </w:pPr>
                  <w:r>
                    <w:rPr>
                      <w:rFonts w:hint="eastAsia"/>
                      <w:color w:val="auto"/>
                      <w:highlight w:val="none"/>
                    </w:rPr>
                    <w:t>次氯酸钠加药装置</w:t>
                  </w:r>
                </w:p>
              </w:tc>
              <w:tc>
                <w:tcPr>
                  <w:tcW w:w="2461" w:type="pct"/>
                  <w:vAlign w:val="center"/>
                </w:tcPr>
                <w:p>
                  <w:pPr>
                    <w:pStyle w:val="36"/>
                    <w:rPr>
                      <w:color w:val="auto"/>
                      <w:highlight w:val="none"/>
                    </w:rPr>
                  </w:pPr>
                  <w:r>
                    <w:rPr>
                      <w:color w:val="auto"/>
                      <w:highlight w:val="none"/>
                    </w:rPr>
                    <w:t>3</w:t>
                  </w:r>
                  <w:r>
                    <w:rPr>
                      <w:rFonts w:hint="eastAsia"/>
                      <w:color w:val="auto"/>
                      <w:highlight w:val="none"/>
                    </w:rPr>
                    <w:t>m</w:t>
                  </w:r>
                  <w:r>
                    <w:rPr>
                      <w:rFonts w:hint="eastAsia"/>
                      <w:color w:val="auto"/>
                      <w:highlight w:val="none"/>
                      <w:vertAlign w:val="superscript"/>
                    </w:rPr>
                    <w:t>3</w:t>
                  </w:r>
                  <w:r>
                    <w:rPr>
                      <w:color w:val="auto"/>
                      <w:highlight w:val="none"/>
                    </w:rPr>
                    <w:t>，含计量泵、搅拌器、酸雾吸收器、加药平台等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38</w:t>
                  </w:r>
                </w:p>
              </w:tc>
              <w:tc>
                <w:tcPr>
                  <w:tcW w:w="1286" w:type="pct"/>
                  <w:vAlign w:val="center"/>
                </w:tcPr>
                <w:p>
                  <w:pPr>
                    <w:pStyle w:val="36"/>
                    <w:rPr>
                      <w:color w:val="auto"/>
                      <w:highlight w:val="none"/>
                    </w:rPr>
                  </w:pPr>
                  <w:r>
                    <w:rPr>
                      <w:rFonts w:hint="eastAsia"/>
                      <w:color w:val="auto"/>
                      <w:highlight w:val="none"/>
                    </w:rPr>
                    <w:t>混凝剂加药装置</w:t>
                  </w:r>
                </w:p>
              </w:tc>
              <w:tc>
                <w:tcPr>
                  <w:tcW w:w="2461" w:type="pct"/>
                  <w:vAlign w:val="center"/>
                </w:tcPr>
                <w:p>
                  <w:pPr>
                    <w:pStyle w:val="36"/>
                    <w:rPr>
                      <w:color w:val="auto"/>
                      <w:highlight w:val="none"/>
                    </w:rPr>
                  </w:pPr>
                  <w:r>
                    <w:rPr>
                      <w:color w:val="auto"/>
                      <w:highlight w:val="none"/>
                    </w:rPr>
                    <w:t>3</w:t>
                  </w:r>
                  <w:r>
                    <w:rPr>
                      <w:rFonts w:hint="eastAsia"/>
                      <w:color w:val="auto"/>
                      <w:highlight w:val="none"/>
                    </w:rPr>
                    <w:t>m</w:t>
                  </w:r>
                  <w:r>
                    <w:rPr>
                      <w:rFonts w:hint="eastAsia"/>
                      <w:color w:val="auto"/>
                      <w:highlight w:val="none"/>
                      <w:vertAlign w:val="superscript"/>
                    </w:rPr>
                    <w:t>3</w:t>
                  </w:r>
                  <w:r>
                    <w:rPr>
                      <w:color w:val="auto"/>
                      <w:highlight w:val="none"/>
                    </w:rPr>
                    <w:t>，含计量泵、搅拌器、加药平台等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39</w:t>
                  </w:r>
                </w:p>
              </w:tc>
              <w:tc>
                <w:tcPr>
                  <w:tcW w:w="1286" w:type="pct"/>
                  <w:vAlign w:val="center"/>
                </w:tcPr>
                <w:p>
                  <w:pPr>
                    <w:pStyle w:val="36"/>
                    <w:rPr>
                      <w:color w:val="auto"/>
                      <w:highlight w:val="none"/>
                    </w:rPr>
                  </w:pPr>
                  <w:r>
                    <w:rPr>
                      <w:rFonts w:hint="eastAsia"/>
                      <w:color w:val="auto"/>
                      <w:highlight w:val="none"/>
                    </w:rPr>
                    <w:t>助凝剂加药装置</w:t>
                  </w:r>
                </w:p>
              </w:tc>
              <w:tc>
                <w:tcPr>
                  <w:tcW w:w="2461" w:type="pct"/>
                  <w:vAlign w:val="center"/>
                </w:tcPr>
                <w:p>
                  <w:pPr>
                    <w:pStyle w:val="36"/>
                    <w:rPr>
                      <w:color w:val="auto"/>
                      <w:highlight w:val="none"/>
                    </w:rPr>
                  </w:pPr>
                  <w:r>
                    <w:rPr>
                      <w:color w:val="auto"/>
                      <w:highlight w:val="none"/>
                    </w:rPr>
                    <w:t>3</w:t>
                  </w:r>
                  <w:r>
                    <w:rPr>
                      <w:rFonts w:hint="eastAsia"/>
                      <w:color w:val="auto"/>
                      <w:highlight w:val="none"/>
                    </w:rPr>
                    <w:t>m</w:t>
                  </w:r>
                  <w:r>
                    <w:rPr>
                      <w:rFonts w:hint="eastAsia"/>
                      <w:color w:val="auto"/>
                      <w:highlight w:val="none"/>
                      <w:vertAlign w:val="superscript"/>
                    </w:rPr>
                    <w:t>3</w:t>
                  </w:r>
                  <w:r>
                    <w:rPr>
                      <w:color w:val="auto"/>
                      <w:highlight w:val="none"/>
                    </w:rPr>
                    <w:t>，含计量泵、搅拌器、加药平台等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40</w:t>
                  </w:r>
                </w:p>
              </w:tc>
              <w:tc>
                <w:tcPr>
                  <w:tcW w:w="1286" w:type="pct"/>
                  <w:vAlign w:val="center"/>
                </w:tcPr>
                <w:p>
                  <w:pPr>
                    <w:pStyle w:val="36"/>
                    <w:rPr>
                      <w:color w:val="auto"/>
                      <w:highlight w:val="none"/>
                    </w:rPr>
                  </w:pPr>
                  <w:r>
                    <w:rPr>
                      <w:rFonts w:hint="eastAsia"/>
                      <w:color w:val="auto"/>
                      <w:highlight w:val="none"/>
                    </w:rPr>
                    <w:t>还原剂加药装置</w:t>
                  </w:r>
                </w:p>
              </w:tc>
              <w:tc>
                <w:tcPr>
                  <w:tcW w:w="2461" w:type="pct"/>
                  <w:vAlign w:val="center"/>
                </w:tcPr>
                <w:p>
                  <w:pPr>
                    <w:pStyle w:val="36"/>
                    <w:rPr>
                      <w:color w:val="auto"/>
                      <w:highlight w:val="none"/>
                    </w:rPr>
                  </w:pPr>
                  <w:r>
                    <w:rPr>
                      <w:color w:val="auto"/>
                      <w:highlight w:val="none"/>
                    </w:rPr>
                    <w:t>3</w:t>
                  </w:r>
                  <w:r>
                    <w:rPr>
                      <w:rFonts w:hint="eastAsia"/>
                      <w:color w:val="auto"/>
                      <w:highlight w:val="none"/>
                    </w:rPr>
                    <w:t>m</w:t>
                  </w:r>
                  <w:r>
                    <w:rPr>
                      <w:rFonts w:hint="eastAsia"/>
                      <w:color w:val="auto"/>
                      <w:highlight w:val="none"/>
                      <w:vertAlign w:val="superscript"/>
                    </w:rPr>
                    <w:t>3</w:t>
                  </w:r>
                  <w:r>
                    <w:rPr>
                      <w:color w:val="auto"/>
                      <w:highlight w:val="none"/>
                    </w:rPr>
                    <w:t>，含计量泵、搅拌器、加药平台等</w:t>
                  </w:r>
                </w:p>
              </w:tc>
              <w:tc>
                <w:tcPr>
                  <w:tcW w:w="486" w:type="pct"/>
                  <w:vAlign w:val="center"/>
                </w:tcPr>
                <w:p>
                  <w:pPr>
                    <w:pStyle w:val="36"/>
                    <w:rPr>
                      <w:color w:val="auto"/>
                      <w:highlight w:val="none"/>
                    </w:rPr>
                  </w:pPr>
                  <w:r>
                    <w:rPr>
                      <w:color w:val="auto"/>
                      <w:highlight w:val="none"/>
                    </w:rPr>
                    <w:t>2</w:t>
                  </w:r>
                </w:p>
              </w:tc>
              <w:tc>
                <w:tcPr>
                  <w:tcW w:w="384" w:type="pct"/>
                  <w:vAlign w:val="center"/>
                </w:tcPr>
                <w:p>
                  <w:pPr>
                    <w:pStyle w:val="36"/>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81" w:type="pct"/>
                  <w:vAlign w:val="center"/>
                </w:tcPr>
                <w:p>
                  <w:pPr>
                    <w:pStyle w:val="36"/>
                    <w:rPr>
                      <w:color w:val="auto"/>
                      <w:highlight w:val="none"/>
                    </w:rPr>
                  </w:pPr>
                  <w:r>
                    <w:rPr>
                      <w:color w:val="auto"/>
                      <w:highlight w:val="none"/>
                    </w:rPr>
                    <w:t>41</w:t>
                  </w:r>
                </w:p>
              </w:tc>
              <w:tc>
                <w:tcPr>
                  <w:tcW w:w="1286" w:type="pct"/>
                  <w:vAlign w:val="center"/>
                </w:tcPr>
                <w:p>
                  <w:pPr>
                    <w:pStyle w:val="36"/>
                    <w:rPr>
                      <w:color w:val="auto"/>
                      <w:highlight w:val="none"/>
                    </w:rPr>
                  </w:pPr>
                  <w:r>
                    <w:rPr>
                      <w:rFonts w:hint="eastAsia"/>
                      <w:color w:val="auto"/>
                      <w:highlight w:val="none"/>
                    </w:rPr>
                    <w:t>潜污泵</w:t>
                  </w:r>
                </w:p>
              </w:tc>
              <w:tc>
                <w:tcPr>
                  <w:tcW w:w="2461" w:type="pct"/>
                  <w:vAlign w:val="center"/>
                </w:tcPr>
                <w:p>
                  <w:pPr>
                    <w:pStyle w:val="36"/>
                    <w:rPr>
                      <w:color w:val="auto"/>
                      <w:highlight w:val="none"/>
                    </w:rPr>
                  </w:pPr>
                  <w:r>
                    <w:rPr>
                      <w:color w:val="auto"/>
                      <w:highlight w:val="none"/>
                    </w:rPr>
                    <w:t>Q=15</w:t>
                  </w:r>
                  <w:r>
                    <w:rPr>
                      <w:rFonts w:hint="eastAsia"/>
                      <w:color w:val="auto"/>
                      <w:highlight w:val="none"/>
                    </w:rPr>
                    <w:t>m</w:t>
                  </w:r>
                  <w:r>
                    <w:rPr>
                      <w:rFonts w:hint="eastAsia"/>
                      <w:color w:val="auto"/>
                      <w:highlight w:val="none"/>
                      <w:vertAlign w:val="superscript"/>
                    </w:rPr>
                    <w:t>3</w:t>
                  </w:r>
                  <w:r>
                    <w:rPr>
                      <w:color w:val="auto"/>
                      <w:highlight w:val="none"/>
                    </w:rPr>
                    <w:t>/h，H=15m</w:t>
                  </w:r>
                </w:p>
              </w:tc>
              <w:tc>
                <w:tcPr>
                  <w:tcW w:w="486" w:type="pct"/>
                  <w:vAlign w:val="center"/>
                </w:tcPr>
                <w:p>
                  <w:pPr>
                    <w:pStyle w:val="36"/>
                    <w:rPr>
                      <w:color w:val="auto"/>
                      <w:highlight w:val="none"/>
                    </w:rPr>
                  </w:pPr>
                  <w:r>
                    <w:rPr>
                      <w:color w:val="auto"/>
                      <w:highlight w:val="none"/>
                    </w:rPr>
                    <w:t>3</w:t>
                  </w:r>
                </w:p>
              </w:tc>
              <w:tc>
                <w:tcPr>
                  <w:tcW w:w="384" w:type="pct"/>
                  <w:vAlign w:val="center"/>
                </w:tcPr>
                <w:p>
                  <w:pPr>
                    <w:pStyle w:val="36"/>
                    <w:rPr>
                      <w:color w:val="auto"/>
                      <w:highlight w:val="none"/>
                    </w:rPr>
                  </w:pPr>
                  <w:r>
                    <w:rPr>
                      <w:rFonts w:hint="eastAsia"/>
                      <w:color w:val="auto"/>
                      <w:highlight w:val="none"/>
                    </w:rPr>
                    <w:t>台</w:t>
                  </w:r>
                </w:p>
              </w:tc>
            </w:tr>
          </w:tbl>
          <w:p>
            <w:pPr>
              <w:spacing w:line="360" w:lineRule="auto"/>
              <w:jc w:val="center"/>
              <w:rPr>
                <w:b/>
                <w:color w:val="auto"/>
                <w:highlight w:val="none"/>
              </w:rPr>
            </w:pPr>
          </w:p>
          <w:p>
            <w:pPr>
              <w:pStyle w:val="4"/>
              <w:rPr>
                <w:color w:val="auto"/>
                <w:highlight w:val="none"/>
              </w:rPr>
            </w:pPr>
            <w:r>
              <w:rPr>
                <w:rFonts w:hint="eastAsia"/>
                <w:color w:val="auto"/>
                <w:highlight w:val="none"/>
              </w:rPr>
              <w:t>2.1.7</w:t>
            </w:r>
            <w:r>
              <w:rPr>
                <w:color w:val="auto"/>
                <w:highlight w:val="none"/>
              </w:rPr>
              <w:t>主要原料损耗</w:t>
            </w:r>
          </w:p>
          <w:p>
            <w:pPr>
              <w:pStyle w:val="8"/>
              <w:rPr>
                <w:color w:val="auto"/>
                <w:highlight w:val="none"/>
              </w:rPr>
            </w:pPr>
            <w:r>
              <w:rPr>
                <w:rFonts w:hint="eastAsia"/>
                <w:color w:val="auto"/>
                <w:highlight w:val="none"/>
              </w:rPr>
              <w:t>非放射性废水处理站</w:t>
            </w:r>
            <w:r>
              <w:rPr>
                <w:color w:val="auto"/>
                <w:highlight w:val="none"/>
              </w:rPr>
              <w:t>主要原料见表2-</w:t>
            </w:r>
            <w:r>
              <w:rPr>
                <w:rFonts w:hint="eastAsia"/>
                <w:color w:val="auto"/>
                <w:highlight w:val="none"/>
              </w:rPr>
              <w:t>8</w:t>
            </w:r>
            <w:r>
              <w:rPr>
                <w:color w:val="auto"/>
                <w:highlight w:val="none"/>
              </w:rPr>
              <w:t>。</w:t>
            </w:r>
          </w:p>
          <w:p>
            <w:pPr>
              <w:spacing w:line="500" w:lineRule="exact"/>
              <w:ind w:firstLine="422" w:firstLineChars="200"/>
              <w:jc w:val="center"/>
              <w:rPr>
                <w:b/>
                <w:color w:val="auto"/>
                <w:highlight w:val="none"/>
              </w:rPr>
            </w:pPr>
            <w:r>
              <w:rPr>
                <w:b/>
                <w:color w:val="auto"/>
                <w:highlight w:val="none"/>
              </w:rPr>
              <w:t>表2-</w:t>
            </w:r>
            <w:r>
              <w:rPr>
                <w:rFonts w:hint="eastAsia"/>
                <w:b/>
                <w:color w:val="auto"/>
                <w:highlight w:val="none"/>
              </w:rPr>
              <w:t>8非放射性废水处理站</w:t>
            </w:r>
            <w:r>
              <w:rPr>
                <w:b/>
                <w:color w:val="auto"/>
                <w:highlight w:val="none"/>
              </w:rPr>
              <w:t>主要原料表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304"/>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原料</w:t>
                  </w:r>
                  <w:r>
                    <w:rPr>
                      <w:color w:val="auto"/>
                      <w:szCs w:val="21"/>
                      <w:highlight w:val="none"/>
                    </w:rPr>
                    <w:t>名称</w:t>
                  </w:r>
                </w:p>
              </w:tc>
              <w:tc>
                <w:tcPr>
                  <w:tcW w:w="775" w:type="pct"/>
                  <w:vAlign w:val="center"/>
                </w:tcPr>
                <w:p>
                  <w:pPr>
                    <w:jc w:val="center"/>
                    <w:rPr>
                      <w:color w:val="auto"/>
                      <w:szCs w:val="21"/>
                      <w:highlight w:val="none"/>
                    </w:rPr>
                  </w:pPr>
                  <w:r>
                    <w:rPr>
                      <w:rFonts w:hint="eastAsia"/>
                      <w:color w:val="auto"/>
                      <w:szCs w:val="21"/>
                      <w:highlight w:val="none"/>
                    </w:rPr>
                    <w:t>消耗量</w:t>
                  </w:r>
                  <w:r>
                    <w:rPr>
                      <w:color w:val="auto"/>
                      <w:szCs w:val="21"/>
                      <w:highlight w:val="none"/>
                    </w:rPr>
                    <w:t>（</w:t>
                  </w:r>
                  <w:r>
                    <w:rPr>
                      <w:rFonts w:hint="eastAsia"/>
                      <w:color w:val="auto"/>
                      <w:szCs w:val="21"/>
                      <w:highlight w:val="none"/>
                    </w:rPr>
                    <w:t>t</w:t>
                  </w:r>
                  <w:r>
                    <w:rPr>
                      <w:color w:val="auto"/>
                      <w:szCs w:val="21"/>
                      <w:highlight w:val="none"/>
                    </w:rPr>
                    <w:t>/a）</w:t>
                  </w:r>
                </w:p>
              </w:tc>
              <w:tc>
                <w:tcPr>
                  <w:tcW w:w="1689" w:type="pct"/>
                  <w:vAlign w:val="center"/>
                </w:tcPr>
                <w:p>
                  <w:pPr>
                    <w:jc w:val="center"/>
                    <w:rPr>
                      <w:color w:val="auto"/>
                      <w:szCs w:val="21"/>
                      <w:highlight w:val="none"/>
                    </w:rPr>
                  </w:pPr>
                  <w:r>
                    <w:rPr>
                      <w:rFonts w:hint="eastAsia"/>
                      <w:color w:val="auto"/>
                      <w:szCs w:val="21"/>
                      <w:highlight w:val="none"/>
                    </w:rPr>
                    <w:t>备注</w:t>
                  </w:r>
                </w:p>
              </w:tc>
              <w:tc>
                <w:tcPr>
                  <w:tcW w:w="1689" w:type="pct"/>
                  <w:vAlign w:val="center"/>
                </w:tcPr>
                <w:p>
                  <w:pPr>
                    <w:jc w:val="center"/>
                    <w:rPr>
                      <w:color w:val="auto"/>
                      <w:szCs w:val="21"/>
                      <w:highlight w:val="none"/>
                    </w:rPr>
                  </w:pPr>
                  <w:r>
                    <w:rPr>
                      <w:rFonts w:hint="eastAsia"/>
                      <w:color w:val="auto"/>
                      <w:szCs w:val="21"/>
                      <w:highlight w:val="none"/>
                    </w:rPr>
                    <w:t>储存形式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盐酸</w:t>
                  </w:r>
                </w:p>
              </w:tc>
              <w:tc>
                <w:tcPr>
                  <w:tcW w:w="775" w:type="pct"/>
                  <w:vAlign w:val="center"/>
                </w:tcPr>
                <w:p>
                  <w:pPr>
                    <w:jc w:val="center"/>
                    <w:rPr>
                      <w:color w:val="auto"/>
                      <w:szCs w:val="21"/>
                      <w:highlight w:val="none"/>
                    </w:rPr>
                  </w:pPr>
                  <w:r>
                    <w:rPr>
                      <w:color w:val="auto"/>
                      <w:szCs w:val="21"/>
                      <w:highlight w:val="none"/>
                    </w:rPr>
                    <w:t>37</w:t>
                  </w:r>
                </w:p>
              </w:tc>
              <w:tc>
                <w:tcPr>
                  <w:tcW w:w="1689" w:type="pct"/>
                  <w:vAlign w:val="center"/>
                </w:tcPr>
                <w:p>
                  <w:pPr>
                    <w:jc w:val="center"/>
                    <w:rPr>
                      <w:color w:val="auto"/>
                      <w:szCs w:val="21"/>
                      <w:highlight w:val="none"/>
                    </w:rPr>
                  </w:pPr>
                  <w:r>
                    <w:rPr>
                      <w:color w:val="auto"/>
                      <w:szCs w:val="21"/>
                      <w:highlight w:val="none"/>
                    </w:rPr>
                    <w:t>31%盐酸</w:t>
                  </w:r>
                  <w:r>
                    <w:rPr>
                      <w:rFonts w:hint="eastAsia"/>
                      <w:color w:val="auto"/>
                      <w:szCs w:val="21"/>
                      <w:highlight w:val="none"/>
                    </w:rPr>
                    <w:t>（溶液）</w:t>
                  </w:r>
                </w:p>
              </w:tc>
              <w:tc>
                <w:tcPr>
                  <w:tcW w:w="1689" w:type="pct"/>
                  <w:vAlign w:val="center"/>
                </w:tcPr>
                <w:p>
                  <w:pPr>
                    <w:jc w:val="center"/>
                    <w:rPr>
                      <w:color w:val="auto"/>
                      <w:szCs w:val="21"/>
                      <w:highlight w:val="none"/>
                    </w:rPr>
                  </w:pPr>
                  <w:r>
                    <w:rPr>
                      <w:color w:val="auto"/>
                      <w:highlight w:val="none"/>
                    </w:rPr>
                    <w:t>酸贮罐</w:t>
                  </w:r>
                  <w:r>
                    <w:rPr>
                      <w:color w:val="auto"/>
                      <w:szCs w:val="21"/>
                      <w:highlight w:val="none"/>
                    </w:rPr>
                    <w:t>1套，有效容积3m</w:t>
                  </w:r>
                  <w:r>
                    <w:rPr>
                      <w:color w:val="auto"/>
                      <w:szCs w:val="21"/>
                      <w:highlight w:val="none"/>
                      <w:vertAlign w:val="superscript"/>
                    </w:rPr>
                    <w:t>3</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氢氧化</w:t>
                  </w:r>
                  <w:r>
                    <w:rPr>
                      <w:color w:val="auto"/>
                      <w:szCs w:val="21"/>
                      <w:highlight w:val="none"/>
                    </w:rPr>
                    <w:t>钠</w:t>
                  </w:r>
                </w:p>
              </w:tc>
              <w:tc>
                <w:tcPr>
                  <w:tcW w:w="775" w:type="pct"/>
                  <w:vAlign w:val="center"/>
                </w:tcPr>
                <w:p>
                  <w:pPr>
                    <w:jc w:val="center"/>
                    <w:rPr>
                      <w:color w:val="auto"/>
                      <w:szCs w:val="21"/>
                      <w:highlight w:val="none"/>
                    </w:rPr>
                  </w:pPr>
                  <w:r>
                    <w:rPr>
                      <w:color w:val="auto"/>
                      <w:szCs w:val="21"/>
                      <w:highlight w:val="none"/>
                    </w:rPr>
                    <w:t>4</w:t>
                  </w:r>
                </w:p>
              </w:tc>
              <w:tc>
                <w:tcPr>
                  <w:tcW w:w="1689" w:type="pct"/>
                  <w:vAlign w:val="center"/>
                </w:tcPr>
                <w:p>
                  <w:pPr>
                    <w:jc w:val="center"/>
                    <w:rPr>
                      <w:color w:val="auto"/>
                      <w:szCs w:val="21"/>
                      <w:highlight w:val="none"/>
                    </w:rPr>
                  </w:pPr>
                  <w:r>
                    <w:rPr>
                      <w:color w:val="auto"/>
                      <w:szCs w:val="21"/>
                      <w:highlight w:val="none"/>
                    </w:rPr>
                    <w:t>32%氢氧化钠</w:t>
                  </w:r>
                  <w:r>
                    <w:rPr>
                      <w:rFonts w:hint="eastAsia"/>
                      <w:color w:val="auto"/>
                      <w:szCs w:val="21"/>
                      <w:highlight w:val="none"/>
                    </w:rPr>
                    <w:t>（溶液）</w:t>
                  </w:r>
                </w:p>
              </w:tc>
              <w:tc>
                <w:tcPr>
                  <w:tcW w:w="1689" w:type="pct"/>
                  <w:vAlign w:val="center"/>
                </w:tcPr>
                <w:p>
                  <w:pPr>
                    <w:jc w:val="center"/>
                    <w:rPr>
                      <w:color w:val="auto"/>
                      <w:szCs w:val="21"/>
                      <w:highlight w:val="none"/>
                    </w:rPr>
                  </w:pPr>
                  <w:r>
                    <w:rPr>
                      <w:color w:val="auto"/>
                      <w:highlight w:val="none"/>
                    </w:rPr>
                    <w:t>碱贮罐</w:t>
                  </w:r>
                  <w:r>
                    <w:rPr>
                      <w:rFonts w:hint="eastAsia"/>
                      <w:color w:val="auto"/>
                      <w:highlight w:val="none"/>
                    </w:rPr>
                    <w:t>：2套</w:t>
                  </w:r>
                  <w:r>
                    <w:rPr>
                      <w:color w:val="auto"/>
                      <w:highlight w:val="none"/>
                    </w:rPr>
                    <w:t>，</w:t>
                  </w:r>
                  <w:r>
                    <w:rPr>
                      <w:rFonts w:hint="eastAsia"/>
                      <w:color w:val="auto"/>
                      <w:highlight w:val="none"/>
                    </w:rPr>
                    <w:t>每套有效</w:t>
                  </w:r>
                  <w:r>
                    <w:rPr>
                      <w:color w:val="auto"/>
                      <w:highlight w:val="none"/>
                    </w:rPr>
                    <w:t>容积10m</w:t>
                  </w:r>
                  <w:r>
                    <w:rPr>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助凝剂</w:t>
                  </w:r>
                </w:p>
              </w:tc>
              <w:tc>
                <w:tcPr>
                  <w:tcW w:w="775" w:type="pct"/>
                  <w:vAlign w:val="center"/>
                </w:tcPr>
                <w:p>
                  <w:pPr>
                    <w:jc w:val="center"/>
                    <w:rPr>
                      <w:color w:val="auto"/>
                      <w:szCs w:val="21"/>
                      <w:highlight w:val="none"/>
                    </w:rPr>
                  </w:pPr>
                  <w:r>
                    <w:rPr>
                      <w:color w:val="auto"/>
                      <w:szCs w:val="21"/>
                      <w:highlight w:val="none"/>
                    </w:rPr>
                    <w:t>16</w:t>
                  </w:r>
                </w:p>
              </w:tc>
              <w:tc>
                <w:tcPr>
                  <w:tcW w:w="1689" w:type="pct"/>
                  <w:vAlign w:val="center"/>
                </w:tcPr>
                <w:p>
                  <w:pPr>
                    <w:jc w:val="center"/>
                    <w:rPr>
                      <w:color w:val="auto"/>
                      <w:szCs w:val="21"/>
                      <w:highlight w:val="none"/>
                    </w:rPr>
                  </w:pPr>
                  <w:r>
                    <w:rPr>
                      <w:color w:val="auto"/>
                      <w:szCs w:val="21"/>
                      <w:highlight w:val="none"/>
                    </w:rPr>
                    <w:t>PAM</w:t>
                  </w:r>
                  <w:r>
                    <w:rPr>
                      <w:rFonts w:hint="eastAsia"/>
                      <w:color w:val="auto"/>
                      <w:szCs w:val="21"/>
                      <w:highlight w:val="none"/>
                    </w:rPr>
                    <w:t>(100%)</w:t>
                  </w:r>
                </w:p>
              </w:tc>
              <w:tc>
                <w:tcPr>
                  <w:tcW w:w="1689" w:type="pct"/>
                  <w:vAlign w:val="center"/>
                </w:tcPr>
                <w:p>
                  <w:pPr>
                    <w:jc w:val="center"/>
                    <w:rPr>
                      <w:color w:val="auto"/>
                      <w:szCs w:val="21"/>
                      <w:highlight w:val="none"/>
                    </w:rPr>
                  </w:pPr>
                  <w:r>
                    <w:rPr>
                      <w:color w:val="auto"/>
                      <w:szCs w:val="21"/>
                      <w:highlight w:val="none"/>
                    </w:rPr>
                    <w:t>3m</w:t>
                  </w:r>
                  <w:r>
                    <w:rPr>
                      <w:color w:val="auto"/>
                      <w:szCs w:val="21"/>
                      <w:highlight w:val="none"/>
                      <w:vertAlign w:val="superscript"/>
                    </w:rPr>
                    <w:t>3</w:t>
                  </w:r>
                  <w:r>
                    <w:rPr>
                      <w:rFonts w:hint="eastAsia"/>
                      <w:color w:val="auto"/>
                      <w:szCs w:val="21"/>
                      <w:highlight w:val="none"/>
                    </w:rPr>
                    <w:t>溶液箱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混凝剂</w:t>
                  </w:r>
                </w:p>
              </w:tc>
              <w:tc>
                <w:tcPr>
                  <w:tcW w:w="775" w:type="pct"/>
                  <w:vAlign w:val="center"/>
                </w:tcPr>
                <w:p>
                  <w:pPr>
                    <w:jc w:val="center"/>
                    <w:rPr>
                      <w:color w:val="auto"/>
                      <w:szCs w:val="21"/>
                      <w:highlight w:val="none"/>
                    </w:rPr>
                  </w:pPr>
                  <w:r>
                    <w:rPr>
                      <w:color w:val="auto"/>
                      <w:szCs w:val="21"/>
                      <w:highlight w:val="none"/>
                    </w:rPr>
                    <w:t>123</w:t>
                  </w:r>
                </w:p>
              </w:tc>
              <w:tc>
                <w:tcPr>
                  <w:tcW w:w="1689" w:type="pct"/>
                  <w:vAlign w:val="center"/>
                </w:tcPr>
                <w:p>
                  <w:pPr>
                    <w:jc w:val="center"/>
                    <w:rPr>
                      <w:color w:val="auto"/>
                      <w:szCs w:val="21"/>
                      <w:highlight w:val="none"/>
                    </w:rPr>
                  </w:pPr>
                  <w:r>
                    <w:rPr>
                      <w:rFonts w:hint="eastAsia"/>
                      <w:color w:val="auto"/>
                      <w:szCs w:val="21"/>
                      <w:highlight w:val="none"/>
                    </w:rPr>
                    <w:t>13%三氯化铁溶液</w:t>
                  </w:r>
                </w:p>
              </w:tc>
              <w:tc>
                <w:tcPr>
                  <w:tcW w:w="1689" w:type="pct"/>
                  <w:vAlign w:val="center"/>
                </w:tcPr>
                <w:p>
                  <w:pPr>
                    <w:jc w:val="center"/>
                    <w:rPr>
                      <w:color w:val="auto"/>
                      <w:szCs w:val="21"/>
                      <w:highlight w:val="none"/>
                    </w:rPr>
                  </w:pPr>
                  <w:r>
                    <w:rPr>
                      <w:color w:val="auto"/>
                      <w:szCs w:val="21"/>
                      <w:highlight w:val="none"/>
                    </w:rPr>
                    <w:t>3m</w:t>
                  </w:r>
                  <w:r>
                    <w:rPr>
                      <w:color w:val="auto"/>
                      <w:szCs w:val="21"/>
                      <w:highlight w:val="none"/>
                      <w:vertAlign w:val="superscript"/>
                    </w:rPr>
                    <w:t>3</w:t>
                  </w:r>
                  <w:r>
                    <w:rPr>
                      <w:rFonts w:hint="eastAsia"/>
                      <w:color w:val="auto"/>
                      <w:szCs w:val="21"/>
                      <w:highlight w:val="none"/>
                    </w:rPr>
                    <w:t>溶液箱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次氯酸钠</w:t>
                  </w:r>
                </w:p>
              </w:tc>
              <w:tc>
                <w:tcPr>
                  <w:tcW w:w="775" w:type="pct"/>
                  <w:vAlign w:val="center"/>
                </w:tcPr>
                <w:p>
                  <w:pPr>
                    <w:jc w:val="center"/>
                    <w:rPr>
                      <w:color w:val="auto"/>
                      <w:szCs w:val="21"/>
                      <w:highlight w:val="none"/>
                    </w:rPr>
                  </w:pPr>
                  <w:r>
                    <w:rPr>
                      <w:color w:val="auto"/>
                      <w:szCs w:val="21"/>
                      <w:highlight w:val="none"/>
                    </w:rPr>
                    <w:t>5718</w:t>
                  </w:r>
                </w:p>
              </w:tc>
              <w:tc>
                <w:tcPr>
                  <w:tcW w:w="1689" w:type="pct"/>
                  <w:vAlign w:val="center"/>
                </w:tcPr>
                <w:p>
                  <w:pPr>
                    <w:jc w:val="center"/>
                    <w:rPr>
                      <w:color w:val="auto"/>
                      <w:szCs w:val="21"/>
                      <w:highlight w:val="none"/>
                    </w:rPr>
                  </w:pPr>
                  <w:r>
                    <w:rPr>
                      <w:rFonts w:hint="eastAsia"/>
                      <w:color w:val="auto"/>
                      <w:szCs w:val="21"/>
                      <w:highlight w:val="none"/>
                    </w:rPr>
                    <w:t>折算成5%成品</w:t>
                  </w:r>
                  <w:r>
                    <w:rPr>
                      <w:color w:val="auto"/>
                      <w:szCs w:val="21"/>
                      <w:highlight w:val="none"/>
                    </w:rPr>
                    <w:t>次氯酸钠</w:t>
                  </w:r>
                  <w:r>
                    <w:rPr>
                      <w:rFonts w:hint="eastAsia"/>
                      <w:color w:val="auto"/>
                      <w:szCs w:val="21"/>
                      <w:highlight w:val="none"/>
                    </w:rPr>
                    <w:t>溶液</w:t>
                  </w:r>
                  <w:r>
                    <w:rPr>
                      <w:color w:val="auto"/>
                      <w:szCs w:val="21"/>
                      <w:highlight w:val="none"/>
                    </w:rPr>
                    <w:t>的量</w:t>
                  </w:r>
                </w:p>
              </w:tc>
              <w:tc>
                <w:tcPr>
                  <w:tcW w:w="1689" w:type="pct"/>
                  <w:vAlign w:val="center"/>
                </w:tcPr>
                <w:p>
                  <w:pPr>
                    <w:jc w:val="center"/>
                    <w:rPr>
                      <w:color w:val="auto"/>
                      <w:szCs w:val="21"/>
                      <w:highlight w:val="none"/>
                    </w:rPr>
                  </w:pPr>
                  <w:r>
                    <w:rPr>
                      <w:color w:val="auto"/>
                      <w:highlight w:val="none"/>
                    </w:rPr>
                    <w:t>2</w:t>
                  </w:r>
                  <w:r>
                    <w:rPr>
                      <w:rFonts w:hint="eastAsia"/>
                      <w:color w:val="auto"/>
                      <w:highlight w:val="none"/>
                    </w:rPr>
                    <w:t>套</w:t>
                  </w:r>
                  <w:r>
                    <w:rPr>
                      <w:color w:val="auto"/>
                      <w:highlight w:val="none"/>
                    </w:rPr>
                    <w:t>，</w:t>
                  </w:r>
                  <w:r>
                    <w:rPr>
                      <w:rFonts w:hint="eastAsia"/>
                      <w:color w:val="auto"/>
                      <w:highlight w:val="none"/>
                    </w:rPr>
                    <w:t>每套有效</w:t>
                  </w:r>
                  <w:r>
                    <w:rPr>
                      <w:color w:val="auto"/>
                      <w:highlight w:val="none"/>
                    </w:rPr>
                    <w:t>容积</w:t>
                  </w:r>
                  <w:r>
                    <w:rPr>
                      <w:rFonts w:hint="eastAsia"/>
                      <w:color w:val="auto"/>
                      <w:highlight w:val="none"/>
                    </w:rPr>
                    <w:t>25</w:t>
                  </w:r>
                  <w:r>
                    <w:rPr>
                      <w:color w:val="auto"/>
                      <w:highlight w:val="none"/>
                    </w:rPr>
                    <w:t>m</w:t>
                  </w:r>
                  <w:r>
                    <w:rPr>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jc w:val="center"/>
                    <w:rPr>
                      <w:color w:val="auto"/>
                      <w:szCs w:val="21"/>
                      <w:highlight w:val="none"/>
                    </w:rPr>
                  </w:pPr>
                  <w:r>
                    <w:rPr>
                      <w:rFonts w:hint="eastAsia"/>
                      <w:color w:val="auto"/>
                      <w:szCs w:val="21"/>
                      <w:highlight w:val="none"/>
                    </w:rPr>
                    <w:t>还原剂</w:t>
                  </w:r>
                </w:p>
              </w:tc>
              <w:tc>
                <w:tcPr>
                  <w:tcW w:w="775" w:type="pct"/>
                  <w:vAlign w:val="center"/>
                </w:tcPr>
                <w:p>
                  <w:pPr>
                    <w:jc w:val="center"/>
                    <w:rPr>
                      <w:color w:val="auto"/>
                      <w:szCs w:val="21"/>
                      <w:highlight w:val="none"/>
                    </w:rPr>
                  </w:pPr>
                  <w:r>
                    <w:rPr>
                      <w:color w:val="auto"/>
                      <w:szCs w:val="21"/>
                      <w:highlight w:val="none"/>
                    </w:rPr>
                    <w:t>622</w:t>
                  </w:r>
                </w:p>
              </w:tc>
              <w:tc>
                <w:tcPr>
                  <w:tcW w:w="1689" w:type="pct"/>
                  <w:vAlign w:val="center"/>
                </w:tcPr>
                <w:p>
                  <w:pPr>
                    <w:jc w:val="center"/>
                    <w:rPr>
                      <w:color w:val="auto"/>
                      <w:szCs w:val="21"/>
                      <w:highlight w:val="none"/>
                    </w:rPr>
                  </w:pPr>
                  <w:r>
                    <w:rPr>
                      <w:rFonts w:hint="eastAsia"/>
                      <w:color w:val="auto"/>
                      <w:szCs w:val="21"/>
                      <w:highlight w:val="none"/>
                    </w:rPr>
                    <w:t>亚硫酸</w:t>
                  </w:r>
                  <w:r>
                    <w:rPr>
                      <w:color w:val="auto"/>
                      <w:szCs w:val="21"/>
                      <w:highlight w:val="none"/>
                    </w:rPr>
                    <w:t>氢钠</w:t>
                  </w:r>
                  <w:r>
                    <w:rPr>
                      <w:rFonts w:hint="eastAsia"/>
                      <w:color w:val="auto"/>
                      <w:szCs w:val="21"/>
                      <w:highlight w:val="none"/>
                    </w:rPr>
                    <w:t>溶液（</w:t>
                  </w:r>
                  <w:r>
                    <w:rPr>
                      <w:color w:val="auto"/>
                      <w:szCs w:val="21"/>
                      <w:highlight w:val="none"/>
                    </w:rPr>
                    <w:t>10</w:t>
                  </w:r>
                  <w:r>
                    <w:rPr>
                      <w:rFonts w:hint="eastAsia"/>
                      <w:color w:val="auto"/>
                      <w:szCs w:val="21"/>
                      <w:highlight w:val="none"/>
                    </w:rPr>
                    <w:t>%）</w:t>
                  </w:r>
                </w:p>
              </w:tc>
              <w:tc>
                <w:tcPr>
                  <w:tcW w:w="1689" w:type="pct"/>
                  <w:vAlign w:val="center"/>
                </w:tcPr>
                <w:p>
                  <w:pPr>
                    <w:jc w:val="center"/>
                    <w:rPr>
                      <w:color w:val="auto"/>
                      <w:szCs w:val="21"/>
                      <w:highlight w:val="none"/>
                    </w:rPr>
                  </w:pPr>
                  <w:r>
                    <w:rPr>
                      <w:color w:val="auto"/>
                      <w:szCs w:val="21"/>
                      <w:highlight w:val="none"/>
                    </w:rPr>
                    <w:t>3m</w:t>
                  </w:r>
                  <w:r>
                    <w:rPr>
                      <w:color w:val="auto"/>
                      <w:szCs w:val="21"/>
                      <w:highlight w:val="none"/>
                      <w:vertAlign w:val="superscript"/>
                    </w:rPr>
                    <w:t>3</w:t>
                  </w:r>
                  <w:r>
                    <w:rPr>
                      <w:rFonts w:hint="eastAsia"/>
                      <w:color w:val="auto"/>
                      <w:szCs w:val="21"/>
                      <w:highlight w:val="none"/>
                    </w:rPr>
                    <w:t>溶液箱</w:t>
                  </w:r>
                </w:p>
              </w:tc>
            </w:tr>
          </w:tbl>
          <w:p>
            <w:pPr>
              <w:spacing w:line="500" w:lineRule="exact"/>
              <w:ind w:firstLine="422" w:firstLineChars="200"/>
              <w:jc w:val="center"/>
              <w:rPr>
                <w:b/>
                <w:color w:val="auto"/>
                <w:highlight w:val="none"/>
              </w:rPr>
            </w:pPr>
          </w:p>
          <w:p>
            <w:pPr>
              <w:pStyle w:val="4"/>
              <w:rPr>
                <w:color w:val="auto"/>
                <w:highlight w:val="none"/>
              </w:rPr>
            </w:pPr>
            <w:r>
              <w:rPr>
                <w:rFonts w:hint="eastAsia"/>
                <w:color w:val="auto"/>
                <w:highlight w:val="none"/>
              </w:rPr>
              <w:t>2.1.8</w:t>
            </w:r>
            <w:r>
              <w:rPr>
                <w:color w:val="auto"/>
                <w:highlight w:val="none"/>
              </w:rPr>
              <w:t>排污口设置情况</w:t>
            </w:r>
          </w:p>
          <w:p>
            <w:pPr>
              <w:pStyle w:val="8"/>
              <w:rPr>
                <w:color w:val="auto"/>
                <w:kern w:val="2"/>
                <w:highlight w:val="none"/>
              </w:rPr>
            </w:pPr>
            <w:r>
              <w:rPr>
                <w:color w:val="auto"/>
                <w:kern w:val="2"/>
                <w:highlight w:val="none"/>
              </w:rPr>
              <w:t>项目处理后的非</w:t>
            </w:r>
            <w:r>
              <w:rPr>
                <w:rFonts w:hint="eastAsia"/>
                <w:color w:val="auto"/>
                <w:kern w:val="2"/>
                <w:highlight w:val="none"/>
              </w:rPr>
              <w:t>放射性生产</w:t>
            </w:r>
            <w:r>
              <w:rPr>
                <w:color w:val="auto"/>
                <w:kern w:val="2"/>
                <w:highlight w:val="none"/>
              </w:rPr>
              <w:t>废水通过</w:t>
            </w:r>
            <w:r>
              <w:rPr>
                <w:rFonts w:hint="eastAsia"/>
                <w:color w:val="auto"/>
                <w:kern w:val="2"/>
                <w:highlight w:val="none"/>
              </w:rPr>
              <w:t>管廊</w:t>
            </w:r>
            <w:r>
              <w:rPr>
                <w:color w:val="auto"/>
                <w:kern w:val="2"/>
                <w:highlight w:val="none"/>
              </w:rPr>
              <w:t>排入排污</w:t>
            </w:r>
            <w:r>
              <w:rPr>
                <w:rFonts w:hint="eastAsia"/>
                <w:color w:val="auto"/>
                <w:highlight w:val="none"/>
              </w:rPr>
              <w:t>虹吸井</w:t>
            </w:r>
            <w:r>
              <w:rPr>
                <w:color w:val="auto"/>
                <w:highlight w:val="none"/>
              </w:rPr>
              <w:t>中（总排放渠混合井</w:t>
            </w:r>
            <w:r>
              <w:rPr>
                <w:rFonts w:hint="eastAsia"/>
                <w:color w:val="auto"/>
                <w:highlight w:val="none"/>
              </w:rPr>
              <w:t>8CC</w:t>
            </w:r>
            <w:r>
              <w:rPr>
                <w:color w:val="auto"/>
                <w:highlight w:val="none"/>
                <w:u w:val="single"/>
              </w:rPr>
              <w:t>）</w:t>
            </w:r>
            <w:r>
              <w:rPr>
                <w:rFonts w:hint="eastAsia"/>
                <w:color w:val="auto"/>
                <w:highlight w:val="none"/>
                <w:u w:val="single"/>
              </w:rPr>
              <w:t>（见附图11）</w:t>
            </w:r>
            <w:r>
              <w:rPr>
                <w:color w:val="auto"/>
                <w:highlight w:val="none"/>
              </w:rPr>
              <w:t>，</w:t>
            </w:r>
            <w:r>
              <w:rPr>
                <w:color w:val="auto"/>
                <w:kern w:val="2"/>
                <w:highlight w:val="none"/>
              </w:rPr>
              <w:t>依托现有工程</w:t>
            </w:r>
            <w:r>
              <w:rPr>
                <w:rFonts w:hint="eastAsia"/>
                <w:color w:val="auto"/>
                <w:kern w:val="2"/>
                <w:highlight w:val="none"/>
              </w:rPr>
              <w:t>排水渠</w:t>
            </w:r>
            <w:r>
              <w:rPr>
                <w:color w:val="auto"/>
                <w:kern w:val="2"/>
                <w:highlight w:val="none"/>
              </w:rPr>
              <w:t>排至</w:t>
            </w:r>
            <w:r>
              <w:rPr>
                <w:rFonts w:hint="eastAsia"/>
                <w:color w:val="auto"/>
                <w:highlight w:val="none"/>
              </w:rPr>
              <w:t>兴化湾</w:t>
            </w:r>
            <w:r>
              <w:rPr>
                <w:color w:val="auto"/>
                <w:highlight w:val="none"/>
              </w:rPr>
              <w:t>海域三类区排放</w:t>
            </w:r>
            <w:r>
              <w:rPr>
                <w:color w:val="auto"/>
                <w:kern w:val="2"/>
                <w:highlight w:val="none"/>
              </w:rPr>
              <w:t>。</w:t>
            </w:r>
            <w:r>
              <w:rPr>
                <w:rFonts w:hint="eastAsia"/>
                <w:color w:val="auto"/>
                <w:highlight w:val="none"/>
                <w:u w:val="single"/>
              </w:rPr>
              <w:t>全厂的入海排污口已完成备案，备案号</w:t>
            </w:r>
            <w:r>
              <w:rPr>
                <w:rFonts w:hint="eastAsia"/>
                <w:color w:val="auto"/>
                <w:highlight w:val="none"/>
                <w:u w:val="single"/>
                <w:lang w:val="en-US" w:eastAsia="zh-CN"/>
              </w:rPr>
              <w:t>*</w:t>
            </w:r>
            <w:r>
              <w:rPr>
                <w:rFonts w:hint="eastAsia"/>
                <w:color w:val="auto"/>
                <w:highlight w:val="none"/>
                <w:u w:val="single"/>
              </w:rPr>
              <w:t>入海排污口名称为：福州市福清市三山镇前薛村福清核电厂生产污水排污口，入海排污口编码为：</w:t>
            </w:r>
            <w:r>
              <w:rPr>
                <w:rFonts w:hint="eastAsia"/>
                <w:color w:val="auto"/>
                <w:highlight w:val="none"/>
                <w:u w:val="single"/>
                <w:lang w:val="en-US" w:eastAsia="zh-CN"/>
              </w:rPr>
              <w:t>*</w:t>
            </w:r>
            <w:r>
              <w:rPr>
                <w:rFonts w:hint="eastAsia"/>
                <w:color w:val="auto"/>
                <w:highlight w:val="none"/>
                <w:u w:val="single"/>
              </w:rPr>
              <w:t>，见附件16，入海排污口位于全厂的排水渠末端，位置见附图1</w:t>
            </w:r>
            <w:r>
              <w:rPr>
                <w:color w:val="auto"/>
                <w:highlight w:val="none"/>
              </w:rPr>
              <w:t>。</w:t>
            </w:r>
            <w:r>
              <w:rPr>
                <w:rFonts w:hint="eastAsia"/>
                <w:color w:val="auto"/>
                <w:highlight w:val="none"/>
                <w:u w:val="single"/>
              </w:rPr>
              <w:t>本项目新建非放射性废水处理站并改造现有的非放射性污水管网，不新增全厂的排污口数量。仅在8CC虹吸井前端增加了一条非放射性废水处理站尾水排放管道。生活污水处理设施及排放管道、雨水排放口等均不变</w:t>
            </w:r>
            <w:r>
              <w:rPr>
                <w:rFonts w:hint="eastAsia"/>
                <w:color w:val="auto"/>
                <w:highlight w:val="none"/>
              </w:rPr>
              <w:t>。</w:t>
            </w:r>
          </w:p>
          <w:p>
            <w:pPr>
              <w:pStyle w:val="4"/>
              <w:rPr>
                <w:color w:val="auto"/>
                <w:highlight w:val="none"/>
              </w:rPr>
            </w:pPr>
            <w:r>
              <w:rPr>
                <w:rFonts w:hint="eastAsia"/>
                <w:color w:val="auto"/>
                <w:highlight w:val="none"/>
              </w:rPr>
              <w:t>2.1.9</w:t>
            </w:r>
            <w:r>
              <w:rPr>
                <w:color w:val="auto"/>
                <w:highlight w:val="none"/>
              </w:rPr>
              <w:t>总平面布置</w:t>
            </w:r>
          </w:p>
          <w:p>
            <w:pPr>
              <w:pStyle w:val="8"/>
              <w:rPr>
                <w:color w:val="auto"/>
                <w:highlight w:val="none"/>
              </w:rPr>
            </w:pPr>
            <w:r>
              <w:rPr>
                <w:color w:val="auto"/>
                <w:highlight w:val="none"/>
              </w:rPr>
              <w:t>（1）本项目</w:t>
            </w:r>
            <w:r>
              <w:rPr>
                <w:rFonts w:hint="eastAsia"/>
                <w:color w:val="auto"/>
                <w:highlight w:val="none"/>
              </w:rPr>
              <w:t>废水处理站</w:t>
            </w:r>
            <w:r>
              <w:rPr>
                <w:color w:val="auto"/>
                <w:highlight w:val="none"/>
              </w:rPr>
              <w:t>均布置在福清核电厂已有场地上。</w:t>
            </w:r>
          </w:p>
          <w:p>
            <w:pPr>
              <w:pStyle w:val="8"/>
              <w:rPr>
                <w:color w:val="auto"/>
                <w:highlight w:val="none"/>
              </w:rPr>
            </w:pPr>
            <w:r>
              <w:rPr>
                <w:color w:val="auto"/>
                <w:highlight w:val="none"/>
              </w:rPr>
              <w:t>（2）根据项目工艺流程、场地现状及建设规模，</w:t>
            </w:r>
            <w:r>
              <w:rPr>
                <w:rFonts w:hint="eastAsia"/>
                <w:color w:val="auto"/>
                <w:highlight w:val="none"/>
              </w:rPr>
              <w:t>非放废水站</w:t>
            </w:r>
            <w:r>
              <w:rPr>
                <w:color w:val="auto"/>
                <w:highlight w:val="none"/>
              </w:rPr>
              <w:t>布置在核电厂8CC南侧场地上</w:t>
            </w:r>
            <w:r>
              <w:rPr>
                <w:rFonts w:hint="eastAsia"/>
                <w:color w:val="auto"/>
                <w:highlight w:val="none"/>
              </w:rPr>
              <w:t>，</w:t>
            </w:r>
            <w:r>
              <w:rPr>
                <w:color w:val="auto"/>
                <w:highlight w:val="none"/>
              </w:rPr>
              <w:t>厂区用地面积约为12291m</w:t>
            </w:r>
            <w:r>
              <w:rPr>
                <w:color w:val="auto"/>
                <w:highlight w:val="none"/>
                <w:vertAlign w:val="superscript"/>
              </w:rPr>
              <w:t>2</w:t>
            </w:r>
            <w:r>
              <w:rPr>
                <w:color w:val="auto"/>
                <w:highlight w:val="none"/>
              </w:rPr>
              <w:t>。</w:t>
            </w:r>
          </w:p>
          <w:p>
            <w:pPr>
              <w:pStyle w:val="8"/>
              <w:rPr>
                <w:color w:val="auto"/>
                <w:highlight w:val="none"/>
              </w:rPr>
            </w:pPr>
            <w:r>
              <w:rPr>
                <w:rFonts w:hint="eastAsia"/>
                <w:color w:val="auto"/>
                <w:highlight w:val="none"/>
              </w:rPr>
              <w:t>（3）</w:t>
            </w:r>
            <w:r>
              <w:rPr>
                <w:color w:val="auto"/>
                <w:highlight w:val="none"/>
              </w:rPr>
              <w:t>厂区地形平坦，地势北高南低，竖向布置采用平坡式的布置形式，场地雨水通过设在厂区道路上的雨水口收集后汇至厂区原有雨水系统。</w:t>
            </w:r>
          </w:p>
          <w:p>
            <w:pPr>
              <w:pStyle w:val="8"/>
              <w:rPr>
                <w:color w:val="auto"/>
                <w:highlight w:val="none"/>
              </w:rPr>
            </w:pPr>
            <w:r>
              <w:rPr>
                <w:rFonts w:hint="eastAsia"/>
                <w:color w:val="auto"/>
                <w:highlight w:val="none"/>
              </w:rPr>
              <w:t>（4）建设的</w:t>
            </w:r>
            <w:r>
              <w:rPr>
                <w:color w:val="auto"/>
                <w:highlight w:val="none"/>
              </w:rPr>
              <w:t>建筑物的零米标高需综合考虑场地周围路面标高、厂区原有</w:t>
            </w:r>
            <w:r>
              <w:rPr>
                <w:rFonts w:hint="eastAsia"/>
                <w:color w:val="auto"/>
                <w:highlight w:val="none"/>
              </w:rPr>
              <w:t>建筑</w:t>
            </w:r>
            <w:r>
              <w:rPr>
                <w:color w:val="auto"/>
                <w:highlight w:val="none"/>
              </w:rPr>
              <w:t>、构筑物的零米标高、厂区地形等因素进行确定，本项目</w:t>
            </w:r>
            <w:r>
              <w:rPr>
                <w:rFonts w:hint="eastAsia"/>
                <w:color w:val="auto"/>
                <w:highlight w:val="none"/>
              </w:rPr>
              <w:t>建设的</w:t>
            </w:r>
            <w:r>
              <w:rPr>
                <w:color w:val="auto"/>
                <w:highlight w:val="none"/>
              </w:rPr>
              <w:t>建筑物零米标高暂定为</w:t>
            </w:r>
            <w:r>
              <w:rPr>
                <w:rFonts w:hint="eastAsia"/>
                <w:color w:val="auto"/>
                <w:highlight w:val="none"/>
              </w:rPr>
              <w:t>11</w:t>
            </w:r>
            <w:r>
              <w:rPr>
                <w:color w:val="auto"/>
                <w:highlight w:val="none"/>
              </w:rPr>
              <w:t>m，最终零米标高在下一阶段收资后确定。</w:t>
            </w:r>
            <w:r>
              <w:rPr>
                <w:rFonts w:hint="eastAsia"/>
                <w:color w:val="auto"/>
                <w:highlight w:val="none"/>
              </w:rPr>
              <w:t>平面布置图见附图10。</w:t>
            </w:r>
          </w:p>
          <w:p>
            <w:pPr>
              <w:pStyle w:val="8"/>
              <w:rPr>
                <w:color w:val="auto"/>
                <w:highlight w:val="none"/>
                <w:u w:val="single"/>
              </w:rPr>
            </w:pPr>
            <w:r>
              <w:rPr>
                <w:rFonts w:hint="eastAsia"/>
                <w:color w:val="auto"/>
                <w:highlight w:val="none"/>
                <w:u w:val="single"/>
              </w:rPr>
              <w:t>（5）改造的管网主要集中分布在1-6号机组运行区内，见附图13。</w:t>
            </w:r>
          </w:p>
          <w:p>
            <w:pPr>
              <w:pStyle w:val="4"/>
              <w:rPr>
                <w:color w:val="auto"/>
                <w:highlight w:val="none"/>
              </w:rPr>
            </w:pPr>
            <w:r>
              <w:rPr>
                <w:rFonts w:hint="eastAsia"/>
                <w:color w:val="auto"/>
                <w:highlight w:val="none"/>
              </w:rPr>
              <w:t>2.1.10</w:t>
            </w:r>
            <w:r>
              <w:rPr>
                <w:color w:val="auto"/>
                <w:highlight w:val="none"/>
              </w:rPr>
              <w:t>劳动定员及工作制度</w:t>
            </w:r>
          </w:p>
          <w:p>
            <w:pPr>
              <w:spacing w:line="500" w:lineRule="exact"/>
              <w:ind w:firstLine="480" w:firstLineChars="200"/>
              <w:rPr>
                <w:color w:val="auto"/>
                <w:highlight w:val="none"/>
              </w:rPr>
            </w:pPr>
            <w:r>
              <w:rPr>
                <w:rStyle w:val="25"/>
                <w:color w:val="auto"/>
                <w:highlight w:val="none"/>
              </w:rPr>
              <w:t>本项目</w:t>
            </w:r>
            <w:r>
              <w:rPr>
                <w:rStyle w:val="25"/>
                <w:rFonts w:hint="eastAsia"/>
                <w:color w:val="auto"/>
                <w:highlight w:val="none"/>
              </w:rPr>
              <w:t>非放射性废水处理站</w:t>
            </w:r>
            <w:r>
              <w:rPr>
                <w:rStyle w:val="25"/>
                <w:rFonts w:hint="eastAsia"/>
                <w:color w:val="auto"/>
                <w:highlight w:val="none"/>
                <w:lang w:val="en-US"/>
              </w:rPr>
              <w:t>运行由现有工程人员调配</w:t>
            </w:r>
            <w:r>
              <w:rPr>
                <w:rStyle w:val="25"/>
                <w:rFonts w:hint="eastAsia"/>
                <w:color w:val="auto"/>
                <w:highlight w:val="none"/>
              </w:rPr>
              <w:t>，</w:t>
            </w:r>
            <w:r>
              <w:rPr>
                <w:rStyle w:val="25"/>
                <w:color w:val="auto"/>
                <w:highlight w:val="none"/>
              </w:rPr>
              <w:t>无新增工作人员</w:t>
            </w:r>
            <w:r>
              <w:rPr>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rPr>
                <w:color w:val="auto"/>
                <w:highlight w:val="none"/>
              </w:rPr>
            </w:pPr>
            <w:r>
              <w:rPr>
                <w:rFonts w:hint="eastAsia"/>
                <w:color w:val="auto"/>
                <w:highlight w:val="none"/>
              </w:rPr>
              <w:t>工艺流程和产排污环节</w:t>
            </w:r>
          </w:p>
        </w:tc>
        <w:tc>
          <w:tcPr>
            <w:tcW w:w="8161" w:type="dxa"/>
          </w:tcPr>
          <w:p>
            <w:pPr>
              <w:pStyle w:val="3"/>
              <w:rPr>
                <w:color w:val="auto"/>
                <w:highlight w:val="none"/>
              </w:rPr>
            </w:pPr>
            <w:bookmarkStart w:id="17" w:name="_Toc17919"/>
            <w:bookmarkStart w:id="18" w:name="_Toc506"/>
            <w:r>
              <w:rPr>
                <w:rFonts w:hint="eastAsia"/>
                <w:color w:val="auto"/>
                <w:highlight w:val="none"/>
              </w:rPr>
              <w:t>2.2工艺流程和产排污环节</w:t>
            </w:r>
            <w:bookmarkEnd w:id="17"/>
            <w:bookmarkEnd w:id="18"/>
          </w:p>
          <w:p>
            <w:pPr>
              <w:pStyle w:val="4"/>
              <w:rPr>
                <w:color w:val="auto"/>
                <w:highlight w:val="none"/>
              </w:rPr>
            </w:pPr>
            <w:r>
              <w:rPr>
                <w:rFonts w:hint="eastAsia"/>
                <w:color w:val="auto"/>
                <w:highlight w:val="none"/>
              </w:rPr>
              <w:t>2.2.1</w:t>
            </w:r>
            <w:r>
              <w:rPr>
                <w:color w:val="auto"/>
                <w:highlight w:val="none"/>
              </w:rPr>
              <w:t>施工期</w:t>
            </w:r>
          </w:p>
          <w:p>
            <w:pPr>
              <w:pStyle w:val="8"/>
              <w:rPr>
                <w:color w:val="auto"/>
                <w:highlight w:val="none"/>
              </w:rPr>
            </w:pPr>
            <w:r>
              <w:rPr>
                <w:rFonts w:hint="eastAsia"/>
                <w:color w:val="auto"/>
                <w:highlight w:val="none"/>
              </w:rPr>
              <w:t>项目施工内容主要包括管网改造工程和非放射性废水处理站建设工程。</w:t>
            </w:r>
            <w:r>
              <w:rPr>
                <w:color w:val="auto"/>
                <w:highlight w:val="none"/>
              </w:rPr>
              <w:t>施工期间的主要环境影响包括</w:t>
            </w:r>
            <w:r>
              <w:rPr>
                <w:rFonts w:hint="eastAsia"/>
                <w:color w:val="auto"/>
                <w:highlight w:val="none"/>
              </w:rPr>
              <w:t>生产</w:t>
            </w:r>
            <w:r>
              <w:rPr>
                <w:color w:val="auto"/>
                <w:highlight w:val="none"/>
              </w:rPr>
              <w:t>废水、废气、扬尘、施工噪声以及施工固体废弃物、土石方等。项目建筑施工主要施工工艺流程见图2-</w:t>
            </w:r>
            <w:r>
              <w:rPr>
                <w:rFonts w:hint="eastAsia"/>
                <w:color w:val="auto"/>
                <w:highlight w:val="none"/>
              </w:rPr>
              <w:t>4、图2-5</w:t>
            </w:r>
            <w:r>
              <w:rPr>
                <w:color w:val="auto"/>
                <w:highlight w:val="none"/>
              </w:rPr>
              <w:t>。</w:t>
            </w:r>
          </w:p>
          <w:p>
            <w:pPr>
              <w:pStyle w:val="16"/>
              <w:ind w:firstLine="0" w:firstLineChars="0"/>
              <w:jc w:val="center"/>
              <w:rPr>
                <w:color w:val="auto"/>
                <w:highlight w:val="none"/>
              </w:rPr>
            </w:pPr>
            <w:r>
              <w:rPr>
                <w:color w:val="auto"/>
                <w:highlight w:val="none"/>
              </w:rPr>
              <w:drawing>
                <wp:inline distT="0" distB="0" distL="114300" distR="114300">
                  <wp:extent cx="5433695" cy="1479550"/>
                  <wp:effectExtent l="0" t="0" r="6985" b="1397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0"/>
                          <a:stretch>
                            <a:fillRect/>
                          </a:stretch>
                        </pic:blipFill>
                        <pic:spPr>
                          <a:xfrm>
                            <a:off x="0" y="0"/>
                            <a:ext cx="5433695" cy="1479550"/>
                          </a:xfrm>
                          <a:prstGeom prst="rect">
                            <a:avLst/>
                          </a:prstGeom>
                          <a:noFill/>
                          <a:ln>
                            <a:noFill/>
                          </a:ln>
                        </pic:spPr>
                      </pic:pic>
                    </a:graphicData>
                  </a:graphic>
                </wp:inline>
              </w:drawing>
            </w:r>
          </w:p>
          <w:p>
            <w:pPr>
              <w:ind w:firstLine="422" w:firstLineChars="200"/>
              <w:jc w:val="center"/>
              <w:rPr>
                <w:b/>
                <w:bCs/>
                <w:color w:val="auto"/>
                <w:highlight w:val="none"/>
              </w:rPr>
            </w:pPr>
            <w:r>
              <w:rPr>
                <w:b/>
                <w:bCs/>
                <w:color w:val="auto"/>
                <w:highlight w:val="none"/>
              </w:rPr>
              <w:t>图2-</w:t>
            </w:r>
            <w:r>
              <w:rPr>
                <w:rFonts w:hint="eastAsia"/>
                <w:b/>
                <w:bCs/>
                <w:color w:val="auto"/>
                <w:highlight w:val="none"/>
              </w:rPr>
              <w:t>4非放射性废水处理站</w:t>
            </w:r>
            <w:r>
              <w:rPr>
                <w:b/>
                <w:bCs/>
                <w:color w:val="auto"/>
                <w:highlight w:val="none"/>
              </w:rPr>
              <w:t>施工期工艺流程图</w:t>
            </w:r>
          </w:p>
          <w:p>
            <w:pPr>
              <w:ind w:firstLine="422" w:firstLineChars="200"/>
              <w:jc w:val="center"/>
              <w:rPr>
                <w:b/>
                <w:bCs/>
                <w:color w:val="auto"/>
                <w:highlight w:val="none"/>
              </w:rPr>
            </w:pPr>
          </w:p>
          <w:p>
            <w:pPr>
              <w:jc w:val="center"/>
              <w:rPr>
                <w:b/>
                <w:bCs/>
                <w:color w:val="auto"/>
                <w:highlight w:val="none"/>
              </w:rPr>
            </w:pPr>
            <w:r>
              <w:rPr>
                <w:color w:val="auto"/>
                <w:highlight w:val="none"/>
              </w:rPr>
              <w:drawing>
                <wp:inline distT="0" distB="0" distL="114300" distR="114300">
                  <wp:extent cx="5469255" cy="844550"/>
                  <wp:effectExtent l="0" t="0" r="1905" b="889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5469255" cy="844550"/>
                          </a:xfrm>
                          <a:prstGeom prst="rect">
                            <a:avLst/>
                          </a:prstGeom>
                          <a:noFill/>
                          <a:ln>
                            <a:noFill/>
                          </a:ln>
                        </pic:spPr>
                      </pic:pic>
                    </a:graphicData>
                  </a:graphic>
                </wp:inline>
              </w:drawing>
            </w:r>
          </w:p>
          <w:p>
            <w:pPr>
              <w:ind w:firstLine="422" w:firstLineChars="200"/>
              <w:jc w:val="center"/>
              <w:rPr>
                <w:b/>
                <w:bCs/>
                <w:color w:val="auto"/>
                <w:highlight w:val="none"/>
              </w:rPr>
            </w:pPr>
            <w:r>
              <w:rPr>
                <w:b/>
                <w:bCs/>
                <w:color w:val="auto"/>
                <w:highlight w:val="none"/>
              </w:rPr>
              <w:t>图</w:t>
            </w:r>
            <w:r>
              <w:rPr>
                <w:rFonts w:hint="eastAsia"/>
                <w:b/>
                <w:bCs/>
                <w:color w:val="auto"/>
                <w:highlight w:val="none"/>
              </w:rPr>
              <w:t>2-5</w:t>
            </w:r>
            <w:r>
              <w:rPr>
                <w:b/>
                <w:bCs/>
                <w:color w:val="auto"/>
                <w:highlight w:val="none"/>
              </w:rPr>
              <w:t>管网工程施工工艺流程图及产污节点图</w:t>
            </w:r>
          </w:p>
          <w:p>
            <w:pPr>
              <w:pStyle w:val="8"/>
              <w:ind w:firstLine="482"/>
              <w:rPr>
                <w:b/>
                <w:bCs/>
                <w:color w:val="auto"/>
                <w:highlight w:val="none"/>
              </w:rPr>
            </w:pPr>
            <w:r>
              <w:rPr>
                <w:b/>
                <w:bCs/>
                <w:color w:val="auto"/>
                <w:highlight w:val="none"/>
              </w:rPr>
              <w:t>管网改造方案</w:t>
            </w:r>
          </w:p>
          <w:p>
            <w:pPr>
              <w:pStyle w:val="8"/>
              <w:rPr>
                <w:color w:val="auto"/>
                <w:highlight w:val="none"/>
              </w:rPr>
            </w:pPr>
            <w:r>
              <w:rPr>
                <w:color w:val="auto"/>
                <w:highlight w:val="none"/>
                <w:u w:val="single"/>
              </w:rPr>
              <w:t>雨水系统管道保持不变，厂区雨水通过原有雨水管道收集后排入外海</w:t>
            </w:r>
            <w:r>
              <w:rPr>
                <w:rFonts w:hint="eastAsia"/>
                <w:color w:val="auto"/>
                <w:highlight w:val="none"/>
                <w:u w:val="single"/>
              </w:rPr>
              <w:t>，</w:t>
            </w:r>
            <w:r>
              <w:rPr>
                <w:color w:val="auto"/>
                <w:highlight w:val="none"/>
              </w:rPr>
              <w:t>本次改造不需新建雨水管网，仅对雨水管网起端接废水的雨水检查井一侧的管道进行截断封堵，改接至新建的废水管网，不涉及雨水主管网的改动。所有生产废水管线拟采用直埋或提升后在GB沟内压力流敷设的方式。新敷设重力流废水管线，需充分利用各子项废水排出口设置的检查井，将其改接至新敷设的废水管网上，实现雨、废水分流。在生产废水管网的适当位置设置提升井（内设提升泵），以减少废水管道埋深，从而减少开挖量，降低施工难度。</w:t>
            </w:r>
          </w:p>
          <w:p>
            <w:pPr>
              <w:pStyle w:val="8"/>
              <w:rPr>
                <w:color w:val="auto"/>
                <w:highlight w:val="none"/>
              </w:rPr>
            </w:pPr>
            <w:r>
              <w:rPr>
                <w:rFonts w:hint="eastAsia"/>
                <w:color w:val="auto"/>
                <w:highlight w:val="none"/>
                <w:u w:val="single"/>
              </w:rPr>
              <w:t>管网</w:t>
            </w:r>
            <w:r>
              <w:rPr>
                <w:color w:val="auto"/>
                <w:highlight w:val="none"/>
                <w:u w:val="single"/>
              </w:rPr>
              <w:t>改造期间本项目非放射性生产废水排放的过渡性方案</w:t>
            </w:r>
            <w:r>
              <w:rPr>
                <w:rFonts w:hint="eastAsia"/>
                <w:color w:val="auto"/>
                <w:highlight w:val="none"/>
                <w:u w:val="single"/>
              </w:rPr>
              <w:t>：前文所述，本项目施工分步实施，先建设废水处理站，将正常生产过程中经常性的排水如除盐水厂房的管网集中建设接入新建废水处理站，由于1-6号机组主厂房的占地面积大，雨废分离管网覆盖范围较广，因此管网工程施工期较长，</w:t>
            </w:r>
            <w:r>
              <w:rPr>
                <w:color w:val="auto"/>
                <w:highlight w:val="none"/>
                <w:u w:val="single"/>
              </w:rPr>
              <w:t>需结合核电厂运行情况合理制定施工计划</w:t>
            </w:r>
            <w:r>
              <w:rPr>
                <w:rFonts w:hint="eastAsia"/>
                <w:color w:val="auto"/>
                <w:highlight w:val="none"/>
                <w:u w:val="single"/>
              </w:rPr>
              <w:t>。非放射废水大多数属于间歇性排放，在未完成改造前、</w:t>
            </w:r>
            <w:r>
              <w:rPr>
                <w:color w:val="auto"/>
                <w:highlight w:val="none"/>
                <w:u w:val="single"/>
              </w:rPr>
              <w:t>需要排水时，可通过临时管线和提升泵，</w:t>
            </w:r>
            <w:r>
              <w:rPr>
                <w:rFonts w:hint="eastAsia"/>
                <w:color w:val="auto"/>
                <w:highlight w:val="none"/>
                <w:u w:val="single"/>
              </w:rPr>
              <w:t>将接入原废水检查井内的废水临时转运至临近的雨水检查井。</w:t>
            </w:r>
          </w:p>
          <w:p>
            <w:pPr>
              <w:pStyle w:val="8"/>
              <w:rPr>
                <w:color w:val="auto"/>
                <w:highlight w:val="none"/>
              </w:rPr>
            </w:pPr>
            <w:r>
              <w:rPr>
                <w:color w:val="auto"/>
                <w:highlight w:val="none"/>
              </w:rPr>
              <w:t>福清核电厂区雨废分流改造范围为：汽轮机厂房、消防稳压间、第五柴油发电机房、除盐水生产厂房、除盐水贮存罐、辅助锅炉房、空气压缩机房、GB</w:t>
            </w:r>
            <w:r>
              <w:rPr>
                <w:rFonts w:hint="eastAsia"/>
                <w:color w:val="auto"/>
                <w:highlight w:val="none"/>
              </w:rPr>
              <w:t>/</w:t>
            </w:r>
            <w:r>
              <w:rPr>
                <w:color w:val="auto"/>
                <w:highlight w:val="none"/>
              </w:rPr>
              <w:t>GF等沟道、含油生产废水油水分离池等排放的非放射性生产废水</w:t>
            </w:r>
            <w:r>
              <w:rPr>
                <w:rFonts w:hint="eastAsia"/>
                <w:color w:val="auto"/>
                <w:highlight w:val="none"/>
                <w:u w:val="single"/>
              </w:rPr>
              <w:t>（见表2-3）</w:t>
            </w:r>
            <w:r>
              <w:rPr>
                <w:color w:val="auto"/>
                <w:highlight w:val="none"/>
              </w:rPr>
              <w:t>。</w:t>
            </w:r>
            <w:r>
              <w:rPr>
                <w:rFonts w:hint="eastAsia"/>
                <w:color w:val="auto"/>
                <w:highlight w:val="none"/>
              </w:rPr>
              <w:t>同时</w:t>
            </w:r>
            <w:r>
              <w:rPr>
                <w:color w:val="auto"/>
                <w:highlight w:val="none"/>
              </w:rPr>
              <w:t>，部分偏远子项废水量较少，排水时间短，排水频次低，可通过就地集中收集后，采用临时措施</w:t>
            </w:r>
            <w:r>
              <w:rPr>
                <w:rFonts w:hint="eastAsia"/>
                <w:color w:val="auto"/>
                <w:highlight w:val="none"/>
              </w:rPr>
              <w:t>（如储水罐转运）</w:t>
            </w:r>
            <w:r>
              <w:rPr>
                <w:color w:val="auto"/>
                <w:highlight w:val="none"/>
              </w:rPr>
              <w:t>排入废水管网后排至</w:t>
            </w:r>
            <w:r>
              <w:rPr>
                <w:rFonts w:hint="eastAsia"/>
                <w:color w:val="auto"/>
                <w:highlight w:val="none"/>
              </w:rPr>
              <w:t>新建</w:t>
            </w:r>
            <w:r>
              <w:rPr>
                <w:color w:val="auto"/>
                <w:highlight w:val="none"/>
              </w:rPr>
              <w:t>的废水处理站进行处理，不再新增废水管道。</w:t>
            </w:r>
            <w:r>
              <w:rPr>
                <w:rFonts w:hint="eastAsia"/>
                <w:color w:val="auto"/>
                <w:highlight w:val="none"/>
              </w:rPr>
              <w:t>下文针对前文表2-3内容进行详细介绍：</w:t>
            </w:r>
          </w:p>
          <w:p>
            <w:pPr>
              <w:pStyle w:val="8"/>
              <w:rPr>
                <w:color w:val="auto"/>
                <w:highlight w:val="none"/>
              </w:rPr>
            </w:pPr>
            <w:r>
              <w:rPr>
                <w:color w:val="auto"/>
                <w:highlight w:val="none"/>
              </w:rPr>
              <w:t>（1）除盐水生产厂房</w:t>
            </w:r>
            <w:r>
              <w:rPr>
                <w:rFonts w:hint="eastAsia"/>
                <w:color w:val="auto"/>
                <w:highlight w:val="none"/>
              </w:rPr>
              <w:t>排水</w:t>
            </w:r>
          </w:p>
          <w:p>
            <w:pPr>
              <w:pStyle w:val="8"/>
              <w:rPr>
                <w:color w:val="auto"/>
                <w:highlight w:val="none"/>
              </w:rPr>
            </w:pPr>
            <w:r>
              <w:rPr>
                <w:rFonts w:hint="eastAsia"/>
                <w:color w:val="auto"/>
                <w:highlight w:val="none"/>
              </w:rPr>
              <w:t>现状：</w:t>
            </w:r>
            <w:r>
              <w:rPr>
                <w:color w:val="auto"/>
                <w:highlight w:val="none"/>
              </w:rPr>
              <w:t>主要为反渗透浓盐水、地面疏水、双滤料过滤器反洗水、中和池废水（酸碱再生/正洗等排出的废水），以及室外除盐水水箱（SER/WCD、SED/WND水箱）检修排水。</w:t>
            </w:r>
            <w:r>
              <w:rPr>
                <w:rFonts w:hint="eastAsia"/>
                <w:color w:val="auto"/>
                <w:highlight w:val="none"/>
              </w:rPr>
              <w:t>现状</w:t>
            </w:r>
            <w:r>
              <w:rPr>
                <w:color w:val="auto"/>
                <w:highlight w:val="none"/>
              </w:rPr>
              <w:t>该部分废水排至室外雨水检查井，进入厂区雨水管网，最终排海。</w:t>
            </w:r>
          </w:p>
          <w:p>
            <w:pPr>
              <w:pStyle w:val="8"/>
              <w:rPr>
                <w:rFonts w:ascii="宋体" w:hAnsi="宋体"/>
                <w:color w:val="auto"/>
                <w:highlight w:val="none"/>
              </w:rPr>
            </w:pPr>
            <w:r>
              <w:rPr>
                <w:rFonts w:hint="eastAsia"/>
                <w:color w:val="auto"/>
                <w:highlight w:val="none"/>
              </w:rPr>
              <w:t>本次</w:t>
            </w:r>
            <w:r>
              <w:rPr>
                <w:color w:val="auto"/>
                <w:highlight w:val="none"/>
              </w:rPr>
              <w:t>改造方案：将排水点处检查井改接至新敷设的废水管网并断开与厂区雨水管网间的连接管。废水经收集后排入</w:t>
            </w:r>
            <w:r>
              <w:rPr>
                <w:rFonts w:hint="eastAsia"/>
                <w:color w:val="auto"/>
                <w:highlight w:val="none"/>
              </w:rPr>
              <w:t>新建</w:t>
            </w:r>
            <w:r>
              <w:rPr>
                <w:color w:val="auto"/>
                <w:highlight w:val="none"/>
              </w:rPr>
              <w:t>的非放射性生产废水处理站，进行监测、处理、排放至</w:t>
            </w:r>
            <w:r>
              <w:rPr>
                <w:rFonts w:hint="eastAsia"/>
                <w:color w:val="auto"/>
                <w:highlight w:val="none"/>
              </w:rPr>
              <w:t>8</w:t>
            </w:r>
            <w:r>
              <w:rPr>
                <w:color w:val="auto"/>
                <w:highlight w:val="none"/>
              </w:rPr>
              <w:t>CC井。</w:t>
            </w:r>
            <w:r>
              <w:rPr>
                <w:rFonts w:hint="eastAsia" w:ascii="宋体" w:hAnsi="宋体"/>
                <w:color w:val="auto"/>
                <w:highlight w:val="none"/>
              </w:rPr>
              <w:t>现有工程除盐水生产系统、循环水处理系统已建的酸碱中和处理流程如下图2-6。</w:t>
            </w:r>
          </w:p>
          <w:p>
            <w:pPr>
              <w:pStyle w:val="8"/>
              <w:rPr>
                <w:color w:val="auto"/>
                <w:highlight w:val="none"/>
              </w:rPr>
            </w:pPr>
            <w:r>
              <w:rPr>
                <w:color w:val="auto"/>
                <w:highlight w:val="none"/>
              </w:rPr>
              <w:drawing>
                <wp:inline distT="0" distB="0" distL="114300" distR="114300">
                  <wp:extent cx="4845685" cy="1837055"/>
                  <wp:effectExtent l="0" t="0" r="635" b="6985"/>
                  <wp:docPr id="2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
                          <pic:cNvPicPr>
                            <a:picLocks noChangeAspect="1"/>
                          </pic:cNvPicPr>
                        </pic:nvPicPr>
                        <pic:blipFill>
                          <a:blip r:embed="rId12"/>
                          <a:stretch>
                            <a:fillRect/>
                          </a:stretch>
                        </pic:blipFill>
                        <pic:spPr>
                          <a:xfrm>
                            <a:off x="0" y="0"/>
                            <a:ext cx="4845685" cy="1837055"/>
                          </a:xfrm>
                          <a:prstGeom prst="rect">
                            <a:avLst/>
                          </a:prstGeom>
                          <a:noFill/>
                          <a:ln>
                            <a:noFill/>
                          </a:ln>
                        </pic:spPr>
                      </pic:pic>
                    </a:graphicData>
                  </a:graphic>
                </wp:inline>
              </w:drawing>
            </w:r>
          </w:p>
          <w:p>
            <w:pPr>
              <w:pStyle w:val="8"/>
              <w:ind w:firstLine="0" w:firstLineChars="0"/>
              <w:jc w:val="center"/>
              <w:rPr>
                <w:color w:val="auto"/>
                <w:highlight w:val="none"/>
                <w:u w:val="single"/>
              </w:rPr>
            </w:pPr>
            <w:r>
              <w:rPr>
                <w:rFonts w:hint="eastAsia" w:ascii="宋体" w:hAnsi="宋体" w:cs="宋体"/>
                <w:b/>
                <w:bCs/>
                <w:color w:val="auto"/>
                <w:spacing w:val="-2"/>
                <w:highlight w:val="none"/>
                <w:u w:val="single"/>
              </w:rPr>
              <w:t>图2-6</w:t>
            </w:r>
            <w:r>
              <w:rPr>
                <w:rFonts w:hint="eastAsia" w:ascii="宋体" w:hAnsi="宋体"/>
                <w:b/>
                <w:bCs/>
                <w:color w:val="auto"/>
                <w:highlight w:val="none"/>
                <w:u w:val="single"/>
              </w:rPr>
              <w:t>现有工程除盐水生产系统已建的酸碱中和处理流程及改造去向</w:t>
            </w:r>
          </w:p>
          <w:p>
            <w:pPr>
              <w:pStyle w:val="8"/>
              <w:rPr>
                <w:color w:val="auto"/>
                <w:highlight w:val="none"/>
              </w:rPr>
            </w:pPr>
            <w:r>
              <w:rPr>
                <w:color w:val="auto"/>
                <w:highlight w:val="none"/>
              </w:rPr>
              <w:t>（2）含油生产废水油水分离池（7/8/9FS子项）</w:t>
            </w:r>
          </w:p>
          <w:p>
            <w:pPr>
              <w:pStyle w:val="8"/>
              <w:rPr>
                <w:color w:val="auto"/>
                <w:highlight w:val="none"/>
                <w:u w:val="single"/>
              </w:rPr>
            </w:pPr>
            <w:r>
              <w:rPr>
                <w:rFonts w:hint="eastAsia"/>
                <w:color w:val="auto"/>
                <w:highlight w:val="none"/>
                <w:u w:val="single"/>
              </w:rPr>
              <w:t>现状：</w:t>
            </w:r>
            <w:r>
              <w:rPr>
                <w:color w:val="auto"/>
                <w:highlight w:val="none"/>
                <w:u w:val="single"/>
              </w:rPr>
              <w:t>FS子项接收厂区非放射性的含油废水管网汇集过来的各子项排出的非放射性的含油废水</w:t>
            </w:r>
            <w:r>
              <w:rPr>
                <w:rFonts w:hint="eastAsia"/>
                <w:color w:val="auto"/>
                <w:highlight w:val="none"/>
                <w:u w:val="single"/>
              </w:rPr>
              <w:t>（由于大部分属于室外沟渠汇流，会混入沾染油污的雨水）</w:t>
            </w:r>
            <w:r>
              <w:rPr>
                <w:color w:val="auto"/>
                <w:highlight w:val="none"/>
                <w:u w:val="single"/>
              </w:rPr>
              <w:t>，</w:t>
            </w:r>
            <w:r>
              <w:rPr>
                <w:rFonts w:hint="eastAsia"/>
                <w:color w:val="auto"/>
                <w:highlight w:val="none"/>
                <w:u w:val="single"/>
              </w:rPr>
              <w:t>现状经FS厂房内配备的</w:t>
            </w:r>
            <w:r>
              <w:rPr>
                <w:color w:val="auto"/>
                <w:highlight w:val="none"/>
                <w:u w:val="single"/>
              </w:rPr>
              <w:t>油水分离器处理</w:t>
            </w:r>
            <w:r>
              <w:rPr>
                <w:rFonts w:hint="eastAsia"/>
                <w:color w:val="auto"/>
                <w:highlight w:val="none"/>
                <w:u w:val="single"/>
              </w:rPr>
              <w:t>，上清液</w:t>
            </w:r>
            <w:r>
              <w:rPr>
                <w:color w:val="auto"/>
                <w:highlight w:val="none"/>
                <w:u w:val="single"/>
              </w:rPr>
              <w:t>排入厂区的雨水管网，最终排海</w:t>
            </w:r>
            <w:r>
              <w:rPr>
                <w:rFonts w:hint="eastAsia"/>
                <w:color w:val="auto"/>
                <w:highlight w:val="none"/>
                <w:u w:val="single"/>
                <w:lang w:eastAsia="zh-CN"/>
              </w:rPr>
              <w:t>。</w:t>
            </w:r>
          </w:p>
          <w:p>
            <w:pPr>
              <w:pStyle w:val="8"/>
              <w:rPr>
                <w:color w:val="auto"/>
                <w:highlight w:val="none"/>
                <w:u w:val="single"/>
              </w:rPr>
            </w:pPr>
            <w:r>
              <w:rPr>
                <w:color w:val="auto"/>
                <w:highlight w:val="none"/>
                <w:u w:val="single"/>
              </w:rPr>
              <w:t>改造方案：</w:t>
            </w:r>
            <w:r>
              <w:rPr>
                <w:rFonts w:hint="eastAsia"/>
                <w:color w:val="auto"/>
                <w:highlight w:val="none"/>
                <w:u w:val="single"/>
              </w:rPr>
              <w:t>由于现有的含油废水仅进行油水分离设备处理，为进一步处理含油污水中的悬浮物、COD等污染物，</w:t>
            </w:r>
            <w:r>
              <w:rPr>
                <w:color w:val="auto"/>
                <w:highlight w:val="none"/>
                <w:u w:val="single"/>
              </w:rPr>
              <w:t>将</w:t>
            </w:r>
            <w:r>
              <w:rPr>
                <w:rFonts w:hint="eastAsia"/>
                <w:color w:val="auto"/>
                <w:highlight w:val="none"/>
                <w:u w:val="single"/>
              </w:rPr>
              <w:t>油水分离后的废水</w:t>
            </w:r>
            <w:r>
              <w:rPr>
                <w:color w:val="auto"/>
                <w:highlight w:val="none"/>
                <w:u w:val="single"/>
              </w:rPr>
              <w:t>排水点处检查井改接至新敷设的废水管网并断开与厂区雨水管网间的连接管。</w:t>
            </w:r>
            <w:r>
              <w:rPr>
                <w:rFonts w:hint="eastAsia"/>
                <w:color w:val="auto"/>
                <w:highlight w:val="none"/>
                <w:u w:val="single"/>
              </w:rPr>
              <w:t>经油水分离处理后的</w:t>
            </w:r>
            <w:r>
              <w:rPr>
                <w:color w:val="auto"/>
                <w:highlight w:val="none"/>
                <w:u w:val="single"/>
              </w:rPr>
              <w:t>废水排入</w:t>
            </w:r>
            <w:r>
              <w:rPr>
                <w:rFonts w:hint="eastAsia"/>
                <w:color w:val="auto"/>
                <w:highlight w:val="none"/>
                <w:u w:val="single"/>
              </w:rPr>
              <w:t>新建</w:t>
            </w:r>
            <w:r>
              <w:rPr>
                <w:color w:val="auto"/>
                <w:highlight w:val="none"/>
                <w:u w:val="single"/>
              </w:rPr>
              <w:t>的非放射性生产废水处理站，进行监测、处理、排放至</w:t>
            </w:r>
            <w:r>
              <w:rPr>
                <w:rFonts w:hint="eastAsia"/>
                <w:color w:val="auto"/>
                <w:highlight w:val="none"/>
                <w:u w:val="single"/>
              </w:rPr>
              <w:t>8</w:t>
            </w:r>
            <w:r>
              <w:rPr>
                <w:color w:val="auto"/>
                <w:highlight w:val="none"/>
                <w:u w:val="single"/>
              </w:rPr>
              <w:t>CC井。</w:t>
            </w:r>
          </w:p>
          <w:p>
            <w:pPr>
              <w:pStyle w:val="34"/>
              <w:rPr>
                <w:color w:val="auto"/>
                <w:highlight w:val="none"/>
              </w:rPr>
            </w:pPr>
            <w:r>
              <w:rPr>
                <w:color w:val="auto"/>
                <w:highlight w:val="none"/>
              </w:rPr>
              <w:drawing>
                <wp:inline distT="0" distB="0" distL="114300" distR="114300">
                  <wp:extent cx="5434965" cy="1793875"/>
                  <wp:effectExtent l="0" t="0" r="5715" b="4445"/>
                  <wp:docPr id="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
                          <pic:cNvPicPr>
                            <a:picLocks noChangeAspect="1"/>
                          </pic:cNvPicPr>
                        </pic:nvPicPr>
                        <pic:blipFill>
                          <a:blip r:embed="rId13"/>
                          <a:stretch>
                            <a:fillRect/>
                          </a:stretch>
                        </pic:blipFill>
                        <pic:spPr>
                          <a:xfrm>
                            <a:off x="0" y="0"/>
                            <a:ext cx="5434965" cy="1793875"/>
                          </a:xfrm>
                          <a:prstGeom prst="rect">
                            <a:avLst/>
                          </a:prstGeom>
                          <a:noFill/>
                          <a:ln>
                            <a:noFill/>
                          </a:ln>
                        </pic:spPr>
                      </pic:pic>
                    </a:graphicData>
                  </a:graphic>
                </wp:inline>
              </w:drawing>
            </w:r>
          </w:p>
          <w:p>
            <w:pPr>
              <w:pStyle w:val="36"/>
              <w:rPr>
                <w:rFonts w:cs="Times New Roman"/>
                <w:color w:val="auto"/>
                <w:highlight w:val="none"/>
                <w:u w:val="single"/>
              </w:rPr>
            </w:pPr>
            <w:r>
              <w:rPr>
                <w:rFonts w:hint="eastAsia"/>
                <w:color w:val="auto"/>
                <w:highlight w:val="none"/>
                <w:u w:val="single"/>
              </w:rPr>
              <w:t>图2-7现有工程非放射性含油废水处理工艺流程</w:t>
            </w:r>
          </w:p>
          <w:p>
            <w:pPr>
              <w:pStyle w:val="8"/>
              <w:rPr>
                <w:color w:val="auto"/>
                <w:highlight w:val="none"/>
              </w:rPr>
            </w:pPr>
            <w:r>
              <w:rPr>
                <w:color w:val="auto"/>
                <w:highlight w:val="none"/>
              </w:rPr>
              <w:t>FS子项非放射性生产废水排水点主要有以下几个位置：</w:t>
            </w:r>
          </w:p>
          <w:p>
            <w:pPr>
              <w:pStyle w:val="8"/>
              <w:rPr>
                <w:color w:val="auto"/>
                <w:highlight w:val="none"/>
              </w:rPr>
            </w:pPr>
            <w:r>
              <w:rPr>
                <w:color w:val="auto"/>
                <w:highlight w:val="none"/>
              </w:rPr>
              <w:t>1）子项处理出水：设有排水泵，水泵流量10m</w:t>
            </w:r>
            <w:r>
              <w:rPr>
                <w:color w:val="auto"/>
                <w:highlight w:val="none"/>
                <w:vertAlign w:val="superscript"/>
              </w:rPr>
              <w:t>3</w:t>
            </w:r>
            <w:r>
              <w:rPr>
                <w:color w:val="auto"/>
                <w:highlight w:val="none"/>
              </w:rPr>
              <w:t>/h，接管管径DN50。</w:t>
            </w:r>
          </w:p>
          <w:p>
            <w:pPr>
              <w:pStyle w:val="8"/>
              <w:rPr>
                <w:color w:val="auto"/>
                <w:highlight w:val="none"/>
              </w:rPr>
            </w:pPr>
            <w:r>
              <w:rPr>
                <w:color w:val="auto"/>
                <w:highlight w:val="none"/>
              </w:rPr>
              <w:t>2）事故池排水：设有排水泵，水泵流量350m</w:t>
            </w:r>
            <w:r>
              <w:rPr>
                <w:rFonts w:hint="eastAsia"/>
                <w:color w:val="auto"/>
                <w:highlight w:val="none"/>
                <w:vertAlign w:val="superscript"/>
              </w:rPr>
              <w:t>3</w:t>
            </w:r>
            <w:r>
              <w:rPr>
                <w:color w:val="auto"/>
                <w:highlight w:val="none"/>
              </w:rPr>
              <w:t>/h，接管管径DN350，改造时经压力流敷设一段后根据实际情况转为重力流排放，接管管径DN400。</w:t>
            </w:r>
          </w:p>
          <w:p>
            <w:pPr>
              <w:pStyle w:val="8"/>
              <w:rPr>
                <w:color w:val="auto"/>
                <w:highlight w:val="none"/>
              </w:rPr>
            </w:pPr>
            <w:r>
              <w:rPr>
                <w:color w:val="auto"/>
                <w:highlight w:val="none"/>
              </w:rPr>
              <w:t>以上废水管道改造后经一路DN400废水管接入新增的废水干管，干管管径DN500。</w:t>
            </w:r>
          </w:p>
          <w:p>
            <w:pPr>
              <w:pStyle w:val="8"/>
              <w:rPr>
                <w:color w:val="auto"/>
                <w:highlight w:val="none"/>
              </w:rPr>
            </w:pPr>
            <w:r>
              <w:rPr>
                <w:color w:val="auto"/>
                <w:highlight w:val="none"/>
              </w:rPr>
              <w:t>（</w:t>
            </w:r>
            <w:r>
              <w:rPr>
                <w:rFonts w:hint="eastAsia"/>
                <w:color w:val="auto"/>
                <w:highlight w:val="none"/>
              </w:rPr>
              <w:t>3</w:t>
            </w:r>
            <w:r>
              <w:rPr>
                <w:color w:val="auto"/>
                <w:highlight w:val="none"/>
              </w:rPr>
              <w:t>）ATE/（TFC）精处理除盐水箱（PB子项）</w:t>
            </w:r>
          </w:p>
          <w:p>
            <w:pPr>
              <w:pStyle w:val="8"/>
              <w:rPr>
                <w:color w:val="auto"/>
                <w:highlight w:val="none"/>
              </w:rPr>
            </w:pPr>
            <w:r>
              <w:rPr>
                <w:rFonts w:hint="eastAsia"/>
                <w:color w:val="auto"/>
                <w:highlight w:val="none"/>
              </w:rPr>
              <w:t>现状：</w:t>
            </w:r>
            <w:r>
              <w:rPr>
                <w:color w:val="auto"/>
                <w:highlight w:val="none"/>
              </w:rPr>
              <w:t>PB子项排水主要为ATE/（TFC）精处理系统检修排水和溢流水，废水排入厂区雨水管网，最终排海。</w:t>
            </w:r>
          </w:p>
          <w:p>
            <w:pPr>
              <w:pStyle w:val="8"/>
              <w:rPr>
                <w:color w:val="auto"/>
                <w:highlight w:val="none"/>
              </w:rPr>
            </w:pPr>
            <w:r>
              <w:rPr>
                <w:color w:val="auto"/>
                <w:highlight w:val="none"/>
              </w:rPr>
              <w:t>改造方案：将出口检查井改接入新增废水管道上的检查井，排水</w:t>
            </w:r>
            <w:r>
              <w:rPr>
                <w:rFonts w:hint="eastAsia"/>
                <w:color w:val="auto"/>
                <w:highlight w:val="none"/>
              </w:rPr>
              <w:t>至</w:t>
            </w:r>
            <w:r>
              <w:rPr>
                <w:color w:val="auto"/>
                <w:highlight w:val="none"/>
              </w:rPr>
              <w:t>非放射性废水处理站，处理达标后排入</w:t>
            </w:r>
            <w:r>
              <w:rPr>
                <w:rFonts w:hint="eastAsia"/>
                <w:color w:val="auto"/>
                <w:highlight w:val="none"/>
              </w:rPr>
              <w:t>8</w:t>
            </w:r>
            <w:r>
              <w:rPr>
                <w:color w:val="auto"/>
                <w:highlight w:val="none"/>
              </w:rPr>
              <w:t>CC井。</w:t>
            </w:r>
          </w:p>
          <w:p>
            <w:pPr>
              <w:pStyle w:val="8"/>
              <w:rPr>
                <w:color w:val="auto"/>
                <w:highlight w:val="none"/>
              </w:rPr>
            </w:pPr>
            <w:r>
              <w:rPr>
                <w:color w:val="auto"/>
                <w:highlight w:val="none"/>
              </w:rPr>
              <w:t>（4）常规岛汽轮机厂房排水（1~6MX）</w:t>
            </w:r>
          </w:p>
          <w:p>
            <w:pPr>
              <w:pStyle w:val="8"/>
              <w:rPr>
                <w:color w:val="auto"/>
                <w:highlight w:val="none"/>
              </w:rPr>
            </w:pPr>
            <w:r>
              <w:rPr>
                <w:rFonts w:hint="eastAsia"/>
                <w:color w:val="auto"/>
                <w:highlight w:val="none"/>
              </w:rPr>
              <w:t>现状：</w:t>
            </w:r>
            <w:r>
              <w:rPr>
                <w:color w:val="auto"/>
                <w:highlight w:val="none"/>
              </w:rPr>
              <w:t>MX厂房排水主要有三部分，第一部分废水为常规岛排水</w:t>
            </w:r>
            <w:r>
              <w:rPr>
                <w:rFonts w:hint="eastAsia"/>
                <w:color w:val="auto"/>
                <w:highlight w:val="none"/>
              </w:rPr>
              <w:t>，例如消防水检修排水等</w:t>
            </w:r>
            <w:r>
              <w:rPr>
                <w:color w:val="auto"/>
                <w:highlight w:val="none"/>
              </w:rPr>
              <w:t>；第二部分废水为常规岛循环水排污坑SEN（WUC）/SRI（WCI）的海水侧排水；第三部分废水为SRI（WCI）等含磷废水。</w:t>
            </w:r>
          </w:p>
          <w:p>
            <w:pPr>
              <w:pStyle w:val="8"/>
              <w:rPr>
                <w:color w:val="auto"/>
                <w:highlight w:val="none"/>
              </w:rPr>
            </w:pPr>
            <w:r>
              <w:rPr>
                <w:color w:val="auto"/>
                <w:highlight w:val="none"/>
              </w:rPr>
              <w:t>改造方案：针对第一部分废水，将出口检查井改接入新增废水管道上的检查井，排入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CC井。针对第二部分废水，收集后排向海水</w:t>
            </w:r>
            <w:r>
              <w:rPr>
                <w:rFonts w:hint="eastAsia"/>
                <w:color w:val="auto"/>
                <w:highlight w:val="none"/>
                <w:u w:val="single"/>
              </w:rPr>
              <w:t>（见附图13）</w:t>
            </w:r>
            <w:r>
              <w:rPr>
                <w:color w:val="auto"/>
                <w:highlight w:val="none"/>
              </w:rPr>
              <w:t>。针对第三部分废水，排入</w:t>
            </w:r>
            <w:r>
              <w:rPr>
                <w:rFonts w:hint="eastAsia"/>
                <w:color w:val="auto"/>
                <w:highlight w:val="none"/>
              </w:rPr>
              <w:t>新建的</w:t>
            </w:r>
            <w:r>
              <w:rPr>
                <w:color w:val="auto"/>
                <w:highlight w:val="none"/>
              </w:rPr>
              <w:t>废水处理站处理，处理达标后排入</w:t>
            </w:r>
            <w:r>
              <w:rPr>
                <w:rFonts w:hint="eastAsia"/>
                <w:color w:val="auto"/>
                <w:highlight w:val="none"/>
              </w:rPr>
              <w:t>8</w:t>
            </w:r>
            <w:r>
              <w:rPr>
                <w:color w:val="auto"/>
                <w:highlight w:val="none"/>
              </w:rPr>
              <w:t>CC井。</w:t>
            </w:r>
          </w:p>
          <w:p>
            <w:pPr>
              <w:pStyle w:val="8"/>
              <w:rPr>
                <w:color w:val="auto"/>
                <w:highlight w:val="none"/>
              </w:rPr>
            </w:pPr>
            <w:r>
              <w:rPr>
                <w:color w:val="auto"/>
                <w:highlight w:val="none"/>
              </w:rPr>
              <w:t>（5）ASG/TFA辅助给水箱排水</w:t>
            </w:r>
          </w:p>
          <w:p>
            <w:pPr>
              <w:pStyle w:val="8"/>
              <w:rPr>
                <w:color w:val="auto"/>
                <w:highlight w:val="none"/>
              </w:rPr>
            </w:pPr>
            <w:r>
              <w:rPr>
                <w:rFonts w:hint="eastAsia"/>
                <w:color w:val="auto"/>
                <w:highlight w:val="none"/>
              </w:rPr>
              <w:t>现状：</w:t>
            </w:r>
            <w:r>
              <w:rPr>
                <w:color w:val="auto"/>
                <w:highlight w:val="none"/>
              </w:rPr>
              <w:t>1~4号机组的ASG辅助给水箱排水经核岛厂房内的SEO管网收集后排入厂区的雨水管网或污水管网，最终排海。5/6号机组的TFA辅助给水箱排水经核岛厂房内的WSS管网收集后排入厂区的污水管网，最终排海。</w:t>
            </w:r>
          </w:p>
          <w:p>
            <w:pPr>
              <w:pStyle w:val="8"/>
              <w:rPr>
                <w:color w:val="auto"/>
                <w:highlight w:val="none"/>
              </w:rPr>
            </w:pPr>
            <w:r>
              <w:rPr>
                <w:color w:val="auto"/>
                <w:highlight w:val="none"/>
              </w:rPr>
              <w:t>改造方案：辅助给水箱ASG/TFA001BA排水主要为大修期间水箱排水。由于ASG/TFA001BA的补水为CEX/TFE凝汽器补水，在厂房内单独改造排至SEL/WQB系统。</w:t>
            </w:r>
          </w:p>
          <w:p>
            <w:pPr>
              <w:pStyle w:val="8"/>
              <w:rPr>
                <w:color w:val="auto"/>
                <w:highlight w:val="none"/>
              </w:rPr>
            </w:pPr>
            <w:r>
              <w:rPr>
                <w:color w:val="auto"/>
                <w:highlight w:val="none"/>
              </w:rPr>
              <w:t>（6）制氯站排水（7/8/9HX子项）</w:t>
            </w:r>
          </w:p>
          <w:p>
            <w:pPr>
              <w:pStyle w:val="8"/>
              <w:rPr>
                <w:color w:val="auto"/>
                <w:highlight w:val="none"/>
              </w:rPr>
            </w:pPr>
            <w:r>
              <w:rPr>
                <w:rFonts w:hint="eastAsia"/>
                <w:color w:val="auto"/>
                <w:highlight w:val="none"/>
              </w:rPr>
              <w:t>现状：</w:t>
            </w:r>
            <w:r>
              <w:rPr>
                <w:color w:val="auto"/>
                <w:highlight w:val="none"/>
              </w:rPr>
              <w:t>HX子项排水包含三部分，第一部分为室内管沟排水/室内地面疏水</w:t>
            </w:r>
            <w:r>
              <w:rPr>
                <w:rFonts w:hint="eastAsia"/>
                <w:color w:val="auto"/>
                <w:highlight w:val="none"/>
              </w:rPr>
              <w:t>，</w:t>
            </w:r>
            <w:r>
              <w:rPr>
                <w:color w:val="auto"/>
                <w:highlight w:val="none"/>
              </w:rPr>
              <w:t>通过GB沟排放到</w:t>
            </w:r>
            <w:r>
              <w:rPr>
                <w:rFonts w:hint="eastAsia"/>
                <w:color w:val="auto"/>
                <w:highlight w:val="none"/>
              </w:rPr>
              <w:t>雨水管网或污水管网</w:t>
            </w:r>
            <w:r>
              <w:rPr>
                <w:color w:val="auto"/>
                <w:highlight w:val="none"/>
              </w:rPr>
              <w:t>；第二部分为室外酸/碱废液中和池排水到取水明渠；第三部分为室外次氯酸钠储罐排污水、单列运行时旁路排水流量70m</w:t>
            </w:r>
            <w:r>
              <w:rPr>
                <w:color w:val="auto"/>
                <w:highlight w:val="none"/>
                <w:vertAlign w:val="superscript"/>
              </w:rPr>
              <w:t>3</w:t>
            </w:r>
            <w:r>
              <w:rPr>
                <w:color w:val="auto"/>
                <w:highlight w:val="none"/>
              </w:rPr>
              <w:t>/h，排到取水明渠。目前制氯站排出的废水排入厂区雨水管网，最终排海。</w:t>
            </w:r>
          </w:p>
          <w:p>
            <w:pPr>
              <w:pStyle w:val="8"/>
              <w:rPr>
                <w:color w:val="auto"/>
                <w:highlight w:val="none"/>
              </w:rPr>
            </w:pPr>
            <w:r>
              <w:rPr>
                <w:color w:val="auto"/>
                <w:highlight w:val="none"/>
              </w:rPr>
              <w:t>改造方案：针对第一部分废水保持现状，排至取水明渠；针对第二部分废水，雨废分离后排入废水管网；针对第三部分废水，保持现状，排至取水明渠。在此基础上在酸碱平台处增加防雨遮挡，防止雨水进入。</w:t>
            </w:r>
          </w:p>
          <w:p>
            <w:pPr>
              <w:pStyle w:val="8"/>
              <w:rPr>
                <w:color w:val="auto"/>
                <w:highlight w:val="none"/>
              </w:rPr>
            </w:pPr>
            <w:r>
              <w:rPr>
                <w:color w:val="auto"/>
                <w:highlight w:val="none"/>
              </w:rPr>
              <w:t>HX子项非放射性生产废水排水点主要为中和池内设有潜污泵，水泵流量10 m</w:t>
            </w:r>
            <w:r>
              <w:rPr>
                <w:color w:val="auto"/>
                <w:highlight w:val="none"/>
                <w:vertAlign w:val="superscript"/>
              </w:rPr>
              <w:t>3</w:t>
            </w:r>
            <w:r>
              <w:rPr>
                <w:color w:val="auto"/>
                <w:highlight w:val="none"/>
              </w:rPr>
              <w:t>/h，1用1备，接管管径DN80，废水就近排入附近生产废水检查井。</w:t>
            </w:r>
          </w:p>
          <w:p>
            <w:pPr>
              <w:pStyle w:val="8"/>
              <w:rPr>
                <w:color w:val="auto"/>
                <w:highlight w:val="none"/>
              </w:rPr>
            </w:pPr>
            <w:r>
              <w:rPr>
                <w:color w:val="auto"/>
                <w:highlight w:val="none"/>
              </w:rPr>
              <w:t>（7）厂区附加电源柴油发电机厂房（0/7DY子项）</w:t>
            </w:r>
          </w:p>
          <w:p>
            <w:pPr>
              <w:pStyle w:val="8"/>
              <w:rPr>
                <w:color w:val="auto"/>
                <w:highlight w:val="none"/>
              </w:rPr>
            </w:pPr>
            <w:r>
              <w:rPr>
                <w:rFonts w:hint="eastAsia"/>
                <w:color w:val="auto"/>
                <w:highlight w:val="none"/>
              </w:rPr>
              <w:t>现状：</w:t>
            </w:r>
            <w:r>
              <w:rPr>
                <w:color w:val="auto"/>
                <w:highlight w:val="none"/>
              </w:rPr>
              <w:t>DY子项排水主要为电缆间、消防设备间排水、蓄电池洗眼器等的排水。废水排入厂区雨水管网，最终排海。</w:t>
            </w:r>
          </w:p>
          <w:p>
            <w:pPr>
              <w:pStyle w:val="8"/>
              <w:rPr>
                <w:color w:val="auto"/>
                <w:highlight w:val="none"/>
              </w:rPr>
            </w:pPr>
            <w:r>
              <w:rPr>
                <w:color w:val="auto"/>
                <w:highlight w:val="none"/>
              </w:rPr>
              <w:t>改造方案：洗眼器排水，改接室外污水管，将排水点处检查井改接至新敷设的废水管网并断开与厂区雨水管网间的连接管。废水经收集后排入</w:t>
            </w:r>
            <w:r>
              <w:rPr>
                <w:rFonts w:hint="eastAsia"/>
                <w:color w:val="auto"/>
                <w:highlight w:val="none"/>
              </w:rPr>
              <w:t>新建</w:t>
            </w:r>
            <w:r>
              <w:rPr>
                <w:color w:val="auto"/>
                <w:highlight w:val="none"/>
              </w:rPr>
              <w:t>的非放射性生产废水处理站，进行监测、处理、排放至8CC井。DY子项非放射性生产废水排水点主要为消防设备间排水，重力流排出，接管管径DN100。与ZC、VA子项汇集成同一根废水管（DN300）后接入厂区废水干管（DN500）。</w:t>
            </w:r>
          </w:p>
          <w:p>
            <w:pPr>
              <w:pStyle w:val="8"/>
              <w:rPr>
                <w:color w:val="auto"/>
                <w:highlight w:val="none"/>
              </w:rPr>
            </w:pPr>
            <w:r>
              <w:rPr>
                <w:color w:val="auto"/>
                <w:highlight w:val="none"/>
              </w:rPr>
              <w:t>（8）辅助锅炉房（0VA子项）</w:t>
            </w:r>
          </w:p>
          <w:p>
            <w:pPr>
              <w:pStyle w:val="8"/>
              <w:rPr>
                <w:color w:val="auto"/>
                <w:highlight w:val="none"/>
              </w:rPr>
            </w:pPr>
            <w:r>
              <w:rPr>
                <w:rFonts w:hint="eastAsia"/>
                <w:color w:val="auto"/>
                <w:highlight w:val="none"/>
              </w:rPr>
              <w:t>现状：</w:t>
            </w:r>
            <w:r>
              <w:rPr>
                <w:color w:val="auto"/>
                <w:highlight w:val="none"/>
              </w:rPr>
              <w:t>VA子项排水主要为锅炉间、设备间、除氧间排水，以及通过室外降温池降温后的排水。废水排入厂区雨水管网，最终排海。最高日废水排放量56.24m</w:t>
            </w:r>
            <w:r>
              <w:rPr>
                <w:color w:val="auto"/>
                <w:highlight w:val="none"/>
                <w:vertAlign w:val="superscript"/>
              </w:rPr>
              <w:t>3</w:t>
            </w:r>
            <w:r>
              <w:rPr>
                <w:color w:val="auto"/>
                <w:highlight w:val="none"/>
              </w:rPr>
              <w:t>/d。</w:t>
            </w:r>
          </w:p>
          <w:p>
            <w:pPr>
              <w:pStyle w:val="8"/>
              <w:rPr>
                <w:color w:val="auto"/>
                <w:highlight w:val="none"/>
              </w:rPr>
            </w:pPr>
            <w:r>
              <w:rPr>
                <w:color w:val="auto"/>
                <w:highlight w:val="none"/>
              </w:rPr>
              <w:t>改造方案：将排水点处检查井改接至新敷设的废水管网并断开与厂区雨水管网间的连接管。废水经收集后排入</w:t>
            </w:r>
            <w:r>
              <w:rPr>
                <w:rFonts w:hint="eastAsia"/>
                <w:color w:val="auto"/>
                <w:highlight w:val="none"/>
              </w:rPr>
              <w:t>新建</w:t>
            </w:r>
            <w:r>
              <w:rPr>
                <w:color w:val="auto"/>
                <w:highlight w:val="none"/>
              </w:rPr>
              <w:t>的非放射性生产废水处理站，进行监测、处理、排放至CC井。</w:t>
            </w:r>
          </w:p>
          <w:p>
            <w:pPr>
              <w:pStyle w:val="8"/>
              <w:rPr>
                <w:color w:val="auto"/>
                <w:highlight w:val="none"/>
              </w:rPr>
            </w:pPr>
            <w:r>
              <w:rPr>
                <w:color w:val="auto"/>
                <w:highlight w:val="none"/>
              </w:rPr>
              <w:t>（9）空气压缩机房（0/7ZC子项）</w:t>
            </w:r>
          </w:p>
          <w:p>
            <w:pPr>
              <w:pStyle w:val="8"/>
              <w:rPr>
                <w:color w:val="auto"/>
                <w:highlight w:val="none"/>
              </w:rPr>
            </w:pPr>
            <w:r>
              <w:rPr>
                <w:rFonts w:hint="eastAsia"/>
                <w:color w:val="auto"/>
                <w:highlight w:val="none"/>
              </w:rPr>
              <w:t>现状：</w:t>
            </w:r>
            <w:r>
              <w:rPr>
                <w:color w:val="auto"/>
                <w:highlight w:val="none"/>
              </w:rPr>
              <w:t>ZC子项排水主要为冷却水管沟以及室内排水沟排水、402/404AF排水、602BA排水。废水排入厂区雨水管网，最终排海。</w:t>
            </w:r>
          </w:p>
          <w:p>
            <w:pPr>
              <w:pStyle w:val="8"/>
              <w:rPr>
                <w:color w:val="auto"/>
                <w:highlight w:val="none"/>
              </w:rPr>
            </w:pPr>
            <w:r>
              <w:rPr>
                <w:color w:val="auto"/>
                <w:highlight w:val="none"/>
              </w:rPr>
              <w:t>改造方案：将排水点处检查井改接至新敷设的废水管网并断开与厂区雨水管网间的连接管。废水经收集后排入</w:t>
            </w:r>
            <w:r>
              <w:rPr>
                <w:rFonts w:hint="eastAsia"/>
                <w:color w:val="auto"/>
                <w:highlight w:val="none"/>
              </w:rPr>
              <w:t>新建</w:t>
            </w:r>
            <w:r>
              <w:rPr>
                <w:color w:val="auto"/>
                <w:highlight w:val="none"/>
              </w:rPr>
              <w:t>的非放射性生产废水处理站，进行监测、处理、排放至</w:t>
            </w:r>
            <w:r>
              <w:rPr>
                <w:rFonts w:hint="eastAsia"/>
                <w:color w:val="auto"/>
                <w:highlight w:val="none"/>
              </w:rPr>
              <w:t>8</w:t>
            </w:r>
            <w:r>
              <w:rPr>
                <w:color w:val="auto"/>
                <w:highlight w:val="none"/>
              </w:rPr>
              <w:t>CC井。</w:t>
            </w:r>
          </w:p>
          <w:p>
            <w:pPr>
              <w:pStyle w:val="8"/>
              <w:rPr>
                <w:color w:val="auto"/>
                <w:highlight w:val="none"/>
              </w:rPr>
            </w:pPr>
            <w:r>
              <w:rPr>
                <w:color w:val="auto"/>
                <w:highlight w:val="none"/>
              </w:rPr>
              <w:t>（10）消防稳压间（8/9PA）及厂区消防泵房（7PF）</w:t>
            </w:r>
          </w:p>
          <w:p>
            <w:pPr>
              <w:pStyle w:val="8"/>
              <w:rPr>
                <w:color w:val="auto"/>
                <w:highlight w:val="none"/>
              </w:rPr>
            </w:pPr>
            <w:r>
              <w:rPr>
                <w:rFonts w:hint="eastAsia"/>
                <w:color w:val="auto"/>
                <w:highlight w:val="none"/>
              </w:rPr>
              <w:t>现状：</w:t>
            </w:r>
            <w:r>
              <w:rPr>
                <w:color w:val="auto"/>
                <w:highlight w:val="none"/>
              </w:rPr>
              <w:t>PA和PF子项排水主要为系统检修排水，废水排入厂区雨水管网，最终排海。</w:t>
            </w:r>
          </w:p>
          <w:p>
            <w:pPr>
              <w:pStyle w:val="8"/>
              <w:rPr>
                <w:color w:val="auto"/>
                <w:highlight w:val="none"/>
              </w:rPr>
            </w:pPr>
            <w:r>
              <w:rPr>
                <w:color w:val="auto"/>
                <w:highlight w:val="none"/>
              </w:rPr>
              <w:t>改造方案：将排水点处检查井改接至新敷设的废水管网并断开与厂区雨水管网间的连接管。废水经收集后排入</w:t>
            </w:r>
            <w:r>
              <w:rPr>
                <w:rFonts w:hint="eastAsia"/>
                <w:color w:val="auto"/>
                <w:highlight w:val="none"/>
              </w:rPr>
              <w:t>新建</w:t>
            </w:r>
            <w:r>
              <w:rPr>
                <w:color w:val="auto"/>
                <w:highlight w:val="none"/>
              </w:rPr>
              <w:t>的非放射性生产废水处理站，进行监测、处理、排放至</w:t>
            </w:r>
            <w:r>
              <w:rPr>
                <w:rFonts w:hint="eastAsia"/>
                <w:color w:val="auto"/>
                <w:highlight w:val="none"/>
              </w:rPr>
              <w:t>8</w:t>
            </w:r>
            <w:r>
              <w:rPr>
                <w:color w:val="auto"/>
                <w:highlight w:val="none"/>
              </w:rPr>
              <w:t>CC井。PA和PF子项非放射性生产废水排水点主要为系统检</w:t>
            </w:r>
            <w:r>
              <w:rPr>
                <w:rFonts w:hint="eastAsia"/>
                <w:color w:val="auto"/>
                <w:highlight w:val="none"/>
              </w:rPr>
              <w:t>修设</w:t>
            </w:r>
            <w:r>
              <w:rPr>
                <w:color w:val="auto"/>
                <w:highlight w:val="none"/>
              </w:rPr>
              <w:t>备时的设备排水，重力流排出。PF子项废水经排水泵排水，流量36m</w:t>
            </w:r>
            <w:r>
              <w:rPr>
                <w:color w:val="auto"/>
                <w:highlight w:val="none"/>
                <w:vertAlign w:val="superscript"/>
              </w:rPr>
              <w:t>3</w:t>
            </w:r>
            <w:r>
              <w:rPr>
                <w:color w:val="auto"/>
                <w:highlight w:val="none"/>
              </w:rPr>
              <w:t>/h，2台。</w:t>
            </w:r>
          </w:p>
          <w:p>
            <w:pPr>
              <w:pStyle w:val="8"/>
              <w:numPr>
                <w:ilvl w:val="0"/>
                <w:numId w:val="5"/>
              </w:numPr>
              <w:rPr>
                <w:color w:val="auto"/>
                <w:highlight w:val="none"/>
              </w:rPr>
            </w:pPr>
            <w:r>
              <w:rPr>
                <w:color w:val="auto"/>
                <w:highlight w:val="none"/>
              </w:rPr>
              <w:t>综合技术廊道（7/8/9GB沟）、TA-SL电缆沟（5/6GF1沟）、SL-NX电缆沟（5/6GF2沟）GB沟内排水主要为地面疏水、地坑排水（消防排水）；辅助蒸汽疏水（此疏水不用考虑7GB部分）。</w:t>
            </w:r>
          </w:p>
          <w:p>
            <w:pPr>
              <w:pStyle w:val="8"/>
              <w:rPr>
                <w:color w:val="auto"/>
                <w:highlight w:val="none"/>
              </w:rPr>
            </w:pPr>
            <w:r>
              <w:rPr>
                <w:rFonts w:hint="eastAsia"/>
                <w:color w:val="auto"/>
                <w:highlight w:val="none"/>
              </w:rPr>
              <w:t>现状：</w:t>
            </w:r>
            <w:r>
              <w:rPr>
                <w:color w:val="auto"/>
                <w:highlight w:val="none"/>
              </w:rPr>
              <w:t>GF1/GF2沟排水主要为地面疏水、地坑排水（消防排水）等。GB沟和GF1/GF2沟内废水经潜水排污泵提升至室外雨水检查井后经厂区雨水管网，最终排海。</w:t>
            </w:r>
          </w:p>
          <w:p>
            <w:pPr>
              <w:pStyle w:val="8"/>
              <w:rPr>
                <w:color w:val="auto"/>
                <w:highlight w:val="none"/>
              </w:rPr>
            </w:pPr>
            <w:r>
              <w:rPr>
                <w:color w:val="auto"/>
                <w:highlight w:val="none"/>
              </w:rPr>
              <w:t>改造方案：将沟道排出管改接至新敷设的废水管网检查井。废水经收集后排入</w:t>
            </w:r>
            <w:r>
              <w:rPr>
                <w:rFonts w:hint="eastAsia"/>
                <w:color w:val="auto"/>
                <w:highlight w:val="none"/>
              </w:rPr>
              <w:t>新建</w:t>
            </w:r>
            <w:r>
              <w:rPr>
                <w:color w:val="auto"/>
                <w:highlight w:val="none"/>
              </w:rPr>
              <w:t>的非放射性生产废水处理站，进行监测、处理、排放至CC井。</w:t>
            </w:r>
          </w:p>
          <w:p>
            <w:pPr>
              <w:pStyle w:val="8"/>
              <w:rPr>
                <w:color w:val="auto"/>
                <w:highlight w:val="none"/>
              </w:rPr>
            </w:pPr>
            <w:r>
              <w:rPr>
                <w:color w:val="auto"/>
                <w:highlight w:val="none"/>
              </w:rPr>
              <w:t>GB/GF1/GF2子项非放射性生产废水主要通过沟道内集水坑内潜水排污泵排出，单泵流量18 m</w:t>
            </w:r>
            <w:r>
              <w:rPr>
                <w:color w:val="auto"/>
                <w:highlight w:val="none"/>
                <w:vertAlign w:val="superscript"/>
              </w:rPr>
              <w:t>3</w:t>
            </w:r>
            <w:r>
              <w:rPr>
                <w:color w:val="auto"/>
                <w:highlight w:val="none"/>
              </w:rPr>
              <w:t>/h，每个集水坑设2台，接管管径DN100。排水就近接入附近生产废水检查井。</w:t>
            </w:r>
          </w:p>
          <w:p>
            <w:pPr>
              <w:pStyle w:val="8"/>
              <w:rPr>
                <w:color w:val="auto"/>
                <w:highlight w:val="none"/>
              </w:rPr>
            </w:pPr>
            <w:r>
              <w:rPr>
                <w:color w:val="auto"/>
                <w:highlight w:val="none"/>
              </w:rPr>
              <w:t>（12）柴油发电机厂房（1~6DU）</w:t>
            </w:r>
          </w:p>
          <w:p>
            <w:pPr>
              <w:pStyle w:val="8"/>
              <w:rPr>
                <w:color w:val="auto"/>
                <w:highlight w:val="none"/>
              </w:rPr>
            </w:pPr>
            <w:r>
              <w:rPr>
                <w:rFonts w:hint="eastAsia"/>
                <w:color w:val="auto"/>
                <w:highlight w:val="none"/>
              </w:rPr>
              <w:t>现状：</w:t>
            </w:r>
            <w:r>
              <w:rPr>
                <w:color w:val="auto"/>
                <w:highlight w:val="none"/>
              </w:rPr>
              <w:t>DU厂房排水主要</w:t>
            </w:r>
            <w:r>
              <w:rPr>
                <w:color w:val="auto"/>
                <w:spacing w:val="-7"/>
                <w:highlight w:val="none"/>
              </w:rPr>
              <w:t>为消防设备间排水，废水排入厂区雨水管网，管径</w:t>
            </w:r>
            <w:r>
              <w:rPr>
                <w:rFonts w:eastAsia="Times New Roman"/>
                <w:color w:val="auto"/>
                <w:spacing w:val="-7"/>
                <w:highlight w:val="none"/>
              </w:rPr>
              <w:t>DN80</w:t>
            </w:r>
            <w:r>
              <w:rPr>
                <w:color w:val="auto"/>
                <w:spacing w:val="-7"/>
                <w:highlight w:val="none"/>
              </w:rPr>
              <w:t>，</w:t>
            </w:r>
            <w:r>
              <w:rPr>
                <w:color w:val="auto"/>
                <w:spacing w:val="-3"/>
                <w:highlight w:val="none"/>
              </w:rPr>
              <w:t>最终排海。</w:t>
            </w:r>
          </w:p>
          <w:p>
            <w:pPr>
              <w:pStyle w:val="8"/>
              <w:spacing w:before="56" w:line="351" w:lineRule="auto"/>
              <w:ind w:left="45" w:firstLine="468"/>
              <w:rPr>
                <w:color w:val="auto"/>
                <w:highlight w:val="none"/>
              </w:rPr>
            </w:pPr>
            <w:r>
              <w:rPr>
                <w:color w:val="auto"/>
                <w:spacing w:val="-3"/>
                <w:highlight w:val="none"/>
              </w:rPr>
              <w:t>改造方案：将排水点处检查井改接至新敷设</w:t>
            </w:r>
            <w:r>
              <w:rPr>
                <w:color w:val="auto"/>
                <w:spacing w:val="-4"/>
                <w:highlight w:val="none"/>
              </w:rPr>
              <w:t>的废水管网并断开与厂区雨水管</w:t>
            </w:r>
            <w:r>
              <w:rPr>
                <w:color w:val="auto"/>
                <w:spacing w:val="-1"/>
                <w:highlight w:val="none"/>
              </w:rPr>
              <w:t>网间的连接管。废水经收集后排入</w:t>
            </w:r>
            <w:r>
              <w:rPr>
                <w:rFonts w:hint="eastAsia"/>
                <w:color w:val="auto"/>
                <w:spacing w:val="-1"/>
                <w:highlight w:val="none"/>
              </w:rPr>
              <w:t>新建</w:t>
            </w:r>
            <w:r>
              <w:rPr>
                <w:color w:val="auto"/>
                <w:spacing w:val="-1"/>
                <w:highlight w:val="none"/>
              </w:rPr>
              <w:t>的非放射性生产废水处理站，进行监测、</w:t>
            </w:r>
            <w:r>
              <w:rPr>
                <w:color w:val="auto"/>
                <w:spacing w:val="-2"/>
                <w:highlight w:val="none"/>
              </w:rPr>
              <w:t>处理、排放至</w:t>
            </w:r>
            <w:r>
              <w:rPr>
                <w:rFonts w:eastAsia="Times New Roman"/>
                <w:color w:val="auto"/>
                <w:spacing w:val="-2"/>
                <w:highlight w:val="none"/>
              </w:rPr>
              <w:t>CC</w:t>
            </w:r>
            <w:r>
              <w:rPr>
                <w:color w:val="auto"/>
                <w:spacing w:val="-2"/>
                <w:highlight w:val="none"/>
              </w:rPr>
              <w:t>井。</w:t>
            </w:r>
          </w:p>
          <w:p>
            <w:pPr>
              <w:pStyle w:val="8"/>
              <w:rPr>
                <w:color w:val="auto"/>
                <w:highlight w:val="none"/>
              </w:rPr>
            </w:pPr>
            <w:r>
              <w:rPr>
                <w:color w:val="auto"/>
                <w:highlight w:val="none"/>
              </w:rPr>
              <w:t>（13）电气厂房（1~6LX）</w:t>
            </w:r>
          </w:p>
          <w:p>
            <w:pPr>
              <w:pStyle w:val="8"/>
              <w:rPr>
                <w:color w:val="auto"/>
                <w:highlight w:val="none"/>
              </w:rPr>
            </w:pPr>
            <w:r>
              <w:rPr>
                <w:rFonts w:hint="eastAsia"/>
                <w:color w:val="auto"/>
                <w:highlight w:val="none"/>
              </w:rPr>
              <w:t>现状：</w:t>
            </w:r>
            <w:r>
              <w:rPr>
                <w:color w:val="auto"/>
                <w:highlight w:val="none"/>
              </w:rPr>
              <w:t>LX厂房排水主要为设备冷凝水、房间地漏排水、消防排水，废水排入厂区雨水管网，最终排海。</w:t>
            </w:r>
          </w:p>
          <w:p>
            <w:pPr>
              <w:pStyle w:val="8"/>
              <w:rPr>
                <w:color w:val="auto"/>
                <w:highlight w:val="none"/>
              </w:rPr>
            </w:pPr>
            <w:r>
              <w:rPr>
                <w:color w:val="auto"/>
                <w:highlight w:val="none"/>
              </w:rPr>
              <w:t>改造方案：排放到</w:t>
            </w:r>
            <w:r>
              <w:rPr>
                <w:rFonts w:hint="eastAsia"/>
                <w:color w:val="auto"/>
                <w:highlight w:val="none"/>
              </w:rPr>
              <w:t>污水管网的</w:t>
            </w:r>
            <w:r>
              <w:rPr>
                <w:color w:val="auto"/>
                <w:highlight w:val="none"/>
              </w:rPr>
              <w:t>废水不进行改造；2.排放到</w:t>
            </w:r>
            <w:r>
              <w:rPr>
                <w:rFonts w:hint="eastAsia"/>
                <w:color w:val="auto"/>
                <w:highlight w:val="none"/>
              </w:rPr>
              <w:t>雨水管网</w:t>
            </w:r>
            <w:r>
              <w:rPr>
                <w:color w:val="auto"/>
                <w:highlight w:val="none"/>
              </w:rPr>
              <w:t>的废水进行雨废分离改造，排入</w:t>
            </w:r>
            <w:r>
              <w:rPr>
                <w:rFonts w:hint="eastAsia"/>
                <w:color w:val="auto"/>
                <w:highlight w:val="none"/>
              </w:rPr>
              <w:t>新建</w:t>
            </w:r>
            <w:r>
              <w:rPr>
                <w:color w:val="auto"/>
                <w:highlight w:val="none"/>
              </w:rPr>
              <w:t>废水处理站，处理达标后排入</w:t>
            </w:r>
            <w:r>
              <w:rPr>
                <w:rFonts w:hint="eastAsia"/>
                <w:color w:val="auto"/>
                <w:highlight w:val="none"/>
              </w:rPr>
              <w:t>8</w:t>
            </w:r>
            <w:r>
              <w:rPr>
                <w:color w:val="auto"/>
                <w:highlight w:val="none"/>
              </w:rPr>
              <w:t>CC井。</w:t>
            </w:r>
          </w:p>
          <w:p>
            <w:pPr>
              <w:pStyle w:val="8"/>
              <w:rPr>
                <w:color w:val="auto"/>
                <w:highlight w:val="none"/>
              </w:rPr>
            </w:pPr>
            <w:r>
              <w:rPr>
                <w:color w:val="auto"/>
                <w:highlight w:val="none"/>
              </w:rPr>
              <w:t>（14）</w:t>
            </w:r>
            <w:r>
              <w:rPr>
                <w:rFonts w:hint="eastAsia"/>
                <w:color w:val="auto"/>
                <w:highlight w:val="none"/>
              </w:rPr>
              <w:t>淡水厂</w:t>
            </w:r>
            <w:r>
              <w:rPr>
                <w:color w:val="auto"/>
                <w:highlight w:val="none"/>
              </w:rPr>
              <w:t>（0OF子项）</w:t>
            </w:r>
          </w:p>
          <w:p>
            <w:pPr>
              <w:pStyle w:val="8"/>
              <w:rPr>
                <w:color w:val="auto"/>
                <w:highlight w:val="none"/>
              </w:rPr>
            </w:pPr>
            <w:r>
              <w:rPr>
                <w:rFonts w:hint="eastAsia"/>
                <w:color w:val="auto"/>
                <w:highlight w:val="none"/>
              </w:rPr>
              <w:t>现状：</w:t>
            </w:r>
            <w:r>
              <w:rPr>
                <w:color w:val="auto"/>
                <w:highlight w:val="none"/>
              </w:rPr>
              <w:t>配水井溢流、清水池溢流、滤池出水溢流、排水池溢流排水排入雨水管网，最终排海。</w:t>
            </w:r>
          </w:p>
          <w:p>
            <w:pPr>
              <w:pStyle w:val="8"/>
              <w:spacing w:before="4" w:line="357" w:lineRule="auto"/>
              <w:ind w:left="39" w:right="80" w:firstLine="472"/>
              <w:rPr>
                <w:color w:val="auto"/>
                <w:highlight w:val="none"/>
              </w:rPr>
            </w:pPr>
            <w:r>
              <w:rPr>
                <w:color w:val="auto"/>
                <w:spacing w:val="-2"/>
                <w:highlight w:val="none"/>
              </w:rPr>
              <w:t>改造方案：①淡水厂原水管配水井溢流排水通过一路</w:t>
            </w:r>
            <w:r>
              <w:rPr>
                <w:rFonts w:eastAsia="Times New Roman"/>
                <w:color w:val="auto"/>
                <w:spacing w:val="-2"/>
                <w:highlight w:val="none"/>
              </w:rPr>
              <w:t>DN500</w:t>
            </w:r>
            <w:r>
              <w:rPr>
                <w:color w:val="auto"/>
                <w:spacing w:val="-2"/>
                <w:highlight w:val="none"/>
              </w:rPr>
              <w:t>的独立管线接入</w:t>
            </w:r>
            <w:r>
              <w:rPr>
                <w:rFonts w:eastAsia="Times New Roman"/>
                <w:color w:val="auto"/>
                <w:spacing w:val="-2"/>
                <w:highlight w:val="none"/>
              </w:rPr>
              <w:t>7CC</w:t>
            </w:r>
            <w:r>
              <w:rPr>
                <w:color w:val="auto"/>
                <w:spacing w:val="-2"/>
                <w:highlight w:val="none"/>
              </w:rPr>
              <w:t>井前的检查井后排入</w:t>
            </w:r>
            <w:r>
              <w:rPr>
                <w:rFonts w:eastAsia="Times New Roman"/>
                <w:color w:val="auto"/>
                <w:spacing w:val="-2"/>
                <w:highlight w:val="none"/>
              </w:rPr>
              <w:t>7CC</w:t>
            </w:r>
            <w:r>
              <w:rPr>
                <w:color w:val="auto"/>
                <w:spacing w:val="-2"/>
                <w:highlight w:val="none"/>
              </w:rPr>
              <w:t>后排海。②清水池溢流水通过一</w:t>
            </w:r>
            <w:r>
              <w:rPr>
                <w:color w:val="auto"/>
                <w:spacing w:val="-3"/>
                <w:highlight w:val="none"/>
              </w:rPr>
              <w:t>路</w:t>
            </w:r>
            <w:r>
              <w:rPr>
                <w:rFonts w:eastAsia="Times New Roman"/>
                <w:color w:val="auto"/>
                <w:spacing w:val="-3"/>
                <w:highlight w:val="none"/>
              </w:rPr>
              <w:t>DN450</w:t>
            </w:r>
            <w:r>
              <w:rPr>
                <w:color w:val="auto"/>
                <w:spacing w:val="-3"/>
                <w:highlight w:val="none"/>
              </w:rPr>
              <w:t>的</w:t>
            </w:r>
            <w:r>
              <w:rPr>
                <w:color w:val="auto"/>
                <w:spacing w:val="-1"/>
                <w:highlight w:val="none"/>
              </w:rPr>
              <w:t>废水管排至生产废水检查井后经一路</w:t>
            </w:r>
            <w:r>
              <w:rPr>
                <w:rFonts w:eastAsia="Times New Roman"/>
                <w:color w:val="auto"/>
                <w:spacing w:val="-1"/>
                <w:highlight w:val="none"/>
              </w:rPr>
              <w:t>DN600</w:t>
            </w:r>
            <w:r>
              <w:rPr>
                <w:color w:val="auto"/>
                <w:spacing w:val="-1"/>
                <w:highlight w:val="none"/>
              </w:rPr>
              <w:t>的废水干管排至</w:t>
            </w:r>
            <w:r>
              <w:rPr>
                <w:color w:val="auto"/>
                <w:spacing w:val="-2"/>
                <w:highlight w:val="none"/>
              </w:rPr>
              <w:t>排水池，截断清水池排空管（</w:t>
            </w:r>
            <w:r>
              <w:rPr>
                <w:rFonts w:eastAsia="Times New Roman"/>
                <w:color w:val="auto"/>
                <w:spacing w:val="-2"/>
                <w:highlight w:val="none"/>
              </w:rPr>
              <w:t>DN200</w:t>
            </w:r>
            <w:r>
              <w:rPr>
                <w:color w:val="auto"/>
                <w:spacing w:val="-2"/>
                <w:highlight w:val="none"/>
              </w:rPr>
              <w:t>）排至雨水检查井的管</w:t>
            </w:r>
            <w:r>
              <w:rPr>
                <w:color w:val="auto"/>
                <w:spacing w:val="-3"/>
                <w:highlight w:val="none"/>
              </w:rPr>
              <w:t>路，将其接入上述清水池溢流的排水总</w:t>
            </w:r>
            <w:r>
              <w:rPr>
                <w:color w:val="auto"/>
                <w:spacing w:val="-2"/>
                <w:highlight w:val="none"/>
              </w:rPr>
              <w:t>管（</w:t>
            </w:r>
            <w:r>
              <w:rPr>
                <w:rFonts w:eastAsia="Times New Roman"/>
                <w:color w:val="auto"/>
                <w:spacing w:val="-2"/>
                <w:highlight w:val="none"/>
              </w:rPr>
              <w:t>DN450</w:t>
            </w:r>
            <w:r>
              <w:rPr>
                <w:color w:val="auto"/>
                <w:spacing w:val="-2"/>
                <w:highlight w:val="none"/>
              </w:rPr>
              <w:t>）上。③排水池保持现有回用功能，由原来</w:t>
            </w:r>
            <w:r>
              <w:rPr>
                <w:rFonts w:eastAsia="Times New Roman"/>
                <w:color w:val="auto"/>
                <w:spacing w:val="-2"/>
                <w:highlight w:val="none"/>
              </w:rPr>
              <w:t>3</w:t>
            </w:r>
            <w:r>
              <w:rPr>
                <w:color w:val="auto"/>
                <w:spacing w:val="-2"/>
                <w:highlight w:val="none"/>
              </w:rPr>
              <w:t>台</w:t>
            </w:r>
            <w:r>
              <w:rPr>
                <w:rFonts w:eastAsia="Times New Roman"/>
                <w:color w:val="auto"/>
                <w:spacing w:val="-2"/>
                <w:highlight w:val="none"/>
              </w:rPr>
              <w:t>40m</w:t>
            </w:r>
            <w:r>
              <w:rPr>
                <w:rFonts w:eastAsia="Times New Roman"/>
                <w:color w:val="auto"/>
                <w:spacing w:val="-2"/>
                <w:position w:val="8"/>
                <w:sz w:val="16"/>
                <w:szCs w:val="16"/>
                <w:highlight w:val="none"/>
              </w:rPr>
              <w:t>3</w:t>
            </w:r>
            <w:r>
              <w:rPr>
                <w:rFonts w:eastAsia="Times New Roman"/>
                <w:color w:val="auto"/>
                <w:spacing w:val="-2"/>
                <w:highlight w:val="none"/>
              </w:rPr>
              <w:t>/h</w:t>
            </w:r>
            <w:r>
              <w:rPr>
                <w:color w:val="auto"/>
                <w:spacing w:val="-2"/>
                <w:highlight w:val="none"/>
              </w:rPr>
              <w:t>的潜水泵改造为</w:t>
            </w:r>
            <w:r>
              <w:rPr>
                <w:rFonts w:eastAsia="Times New Roman"/>
                <w:color w:val="auto"/>
                <w:spacing w:val="-2"/>
                <w:highlight w:val="none"/>
              </w:rPr>
              <w:t>2</w:t>
            </w:r>
            <w:r>
              <w:rPr>
                <w:color w:val="auto"/>
                <w:spacing w:val="-2"/>
                <w:highlight w:val="none"/>
              </w:rPr>
              <w:t>台</w:t>
            </w:r>
            <w:r>
              <w:rPr>
                <w:rFonts w:eastAsia="Times New Roman"/>
                <w:color w:val="auto"/>
                <w:spacing w:val="-2"/>
                <w:highlight w:val="none"/>
              </w:rPr>
              <w:t>200m</w:t>
            </w:r>
            <w:r>
              <w:rPr>
                <w:rFonts w:eastAsia="Times New Roman"/>
                <w:color w:val="auto"/>
                <w:spacing w:val="-2"/>
                <w:position w:val="8"/>
                <w:sz w:val="16"/>
                <w:szCs w:val="16"/>
                <w:highlight w:val="none"/>
              </w:rPr>
              <w:t>3</w:t>
            </w:r>
            <w:r>
              <w:rPr>
                <w:rFonts w:eastAsia="Times New Roman"/>
                <w:color w:val="auto"/>
                <w:spacing w:val="-2"/>
                <w:highlight w:val="none"/>
              </w:rPr>
              <w:t>/h</w:t>
            </w:r>
            <w:r>
              <w:rPr>
                <w:color w:val="auto"/>
                <w:spacing w:val="-2"/>
                <w:highlight w:val="none"/>
              </w:rPr>
              <w:t>的潜水泵以提升回收能力，可同时满足重复利用和溢流的需</w:t>
            </w:r>
            <w:r>
              <w:rPr>
                <w:color w:val="auto"/>
                <w:spacing w:val="-7"/>
                <w:highlight w:val="none"/>
              </w:rPr>
              <w:t>求。④取消排水池溢流至雨水井的功能。⑤</w:t>
            </w:r>
            <w:r>
              <w:rPr>
                <w:rFonts w:eastAsia="Times New Roman"/>
                <w:color w:val="auto"/>
                <w:spacing w:val="-7"/>
                <w:highlight w:val="none"/>
              </w:rPr>
              <w:t>OF</w:t>
            </w:r>
            <w:r>
              <w:rPr>
                <w:rFonts w:eastAsia="Times New Roman"/>
                <w:color w:val="auto"/>
                <w:spacing w:val="-8"/>
                <w:highlight w:val="none"/>
              </w:rPr>
              <w:t>02</w:t>
            </w:r>
            <w:r>
              <w:rPr>
                <w:color w:val="auto"/>
                <w:spacing w:val="-8"/>
                <w:highlight w:val="none"/>
              </w:rPr>
              <w:t>集水坑排水及清洁室用水、</w:t>
            </w:r>
            <w:r>
              <w:rPr>
                <w:rFonts w:eastAsia="Times New Roman"/>
                <w:color w:val="auto"/>
                <w:spacing w:val="-8"/>
                <w:highlight w:val="none"/>
              </w:rPr>
              <w:t>OF04</w:t>
            </w:r>
            <w:r>
              <w:rPr>
                <w:color w:val="auto"/>
                <w:spacing w:val="-1"/>
                <w:highlight w:val="none"/>
              </w:rPr>
              <w:t>集水坑排水及清洁室排水、</w:t>
            </w:r>
            <w:r>
              <w:rPr>
                <w:rFonts w:eastAsia="Times New Roman"/>
                <w:color w:val="auto"/>
                <w:spacing w:val="-1"/>
                <w:highlight w:val="none"/>
              </w:rPr>
              <w:t>OF08</w:t>
            </w:r>
            <w:r>
              <w:rPr>
                <w:color w:val="auto"/>
                <w:spacing w:val="-1"/>
                <w:highlight w:val="none"/>
              </w:rPr>
              <w:t>污泥脱水后出水、</w:t>
            </w:r>
            <w:r>
              <w:rPr>
                <w:rFonts w:eastAsia="Times New Roman"/>
                <w:color w:val="auto"/>
                <w:spacing w:val="-1"/>
                <w:highlight w:val="none"/>
              </w:rPr>
              <w:t>OF09</w:t>
            </w:r>
            <w:r>
              <w:rPr>
                <w:color w:val="auto"/>
                <w:spacing w:val="-1"/>
                <w:highlight w:val="none"/>
              </w:rPr>
              <w:t>清洁室排水经</w:t>
            </w:r>
            <w:r>
              <w:rPr>
                <w:rFonts w:eastAsia="Times New Roman"/>
                <w:color w:val="auto"/>
                <w:spacing w:val="-1"/>
                <w:highlight w:val="none"/>
              </w:rPr>
              <w:t>DN300</w:t>
            </w:r>
            <w:r>
              <w:rPr>
                <w:color w:val="auto"/>
                <w:highlight w:val="none"/>
              </w:rPr>
              <w:t>的废水管路改排至生活污水管线，送至生活</w:t>
            </w:r>
            <w:r>
              <w:rPr>
                <w:color w:val="auto"/>
                <w:spacing w:val="-1"/>
                <w:highlight w:val="none"/>
              </w:rPr>
              <w:t>污水处理站进行处理。</w:t>
            </w:r>
          </w:p>
          <w:p>
            <w:pPr>
              <w:pStyle w:val="8"/>
              <w:numPr>
                <w:ilvl w:val="0"/>
                <w:numId w:val="6"/>
              </w:numPr>
              <w:rPr>
                <w:color w:val="auto"/>
                <w:highlight w:val="none"/>
              </w:rPr>
            </w:pPr>
            <w:r>
              <w:rPr>
                <w:color w:val="auto"/>
                <w:highlight w:val="none"/>
              </w:rPr>
              <w:t>备品备件仓库（9AB1子项）、化学试剂库（AX1子项）、化学危险品库（AX2子项）、润滑油和油脂库（FC子项）9AB1、AX1、AX2、FC子项排水</w:t>
            </w:r>
          </w:p>
          <w:p>
            <w:pPr>
              <w:pStyle w:val="8"/>
              <w:numPr>
                <w:ilvl w:val="255"/>
                <w:numId w:val="0"/>
              </w:numPr>
              <w:ind w:left="420" w:leftChars="200"/>
              <w:rPr>
                <w:color w:val="auto"/>
                <w:highlight w:val="none"/>
              </w:rPr>
            </w:pPr>
            <w:r>
              <w:rPr>
                <w:rFonts w:hint="eastAsia"/>
                <w:color w:val="auto"/>
                <w:highlight w:val="none"/>
              </w:rPr>
              <w:t>现状：</w:t>
            </w:r>
            <w:r>
              <w:rPr>
                <w:color w:val="auto"/>
                <w:highlight w:val="none"/>
              </w:rPr>
              <w:t>主要为地面疏水，废水排入厂区雨水管网，最终排海。</w:t>
            </w:r>
          </w:p>
          <w:p>
            <w:pPr>
              <w:pStyle w:val="8"/>
              <w:rPr>
                <w:color w:val="auto"/>
                <w:highlight w:val="none"/>
              </w:rPr>
            </w:pPr>
            <w:r>
              <w:rPr>
                <w:color w:val="auto"/>
                <w:highlight w:val="none"/>
              </w:rPr>
              <w:t>改造方案：9AB1、AX1、AX2、FC子项排水量较少</w:t>
            </w:r>
            <w:r>
              <w:rPr>
                <w:rFonts w:hint="eastAsia"/>
                <w:color w:val="auto"/>
                <w:highlight w:val="none"/>
                <w:lang w:eastAsia="zh-CN"/>
              </w:rPr>
              <w:t>且</w:t>
            </w:r>
            <w:r>
              <w:rPr>
                <w:color w:val="auto"/>
                <w:highlight w:val="none"/>
              </w:rPr>
              <w:t>距离新建废水干管较远。本次改造</w:t>
            </w:r>
            <w:r>
              <w:rPr>
                <w:rFonts w:hint="eastAsia"/>
                <w:color w:val="auto"/>
                <w:highlight w:val="none"/>
              </w:rPr>
              <w:t>新建</w:t>
            </w:r>
            <w:r>
              <w:rPr>
                <w:color w:val="auto"/>
                <w:highlight w:val="none"/>
              </w:rPr>
              <w:t>一座集水池（10m×10m），收集1、2号机组AB1、AX1、AX2、FC地面疏水汇入集水池后采用临时措施排入生产废水检查井后汇入废水</w:t>
            </w:r>
            <w:r>
              <w:rPr>
                <w:color w:val="auto"/>
                <w:spacing w:val="-3"/>
                <w:highlight w:val="none"/>
              </w:rPr>
              <w:t>处理站处理达标后排放。分别将</w:t>
            </w:r>
            <w:r>
              <w:rPr>
                <w:rFonts w:eastAsia="Times New Roman"/>
                <w:color w:val="auto"/>
                <w:spacing w:val="-3"/>
                <w:highlight w:val="none"/>
              </w:rPr>
              <w:t>9AB1</w:t>
            </w:r>
            <w:r>
              <w:rPr>
                <w:color w:val="auto"/>
                <w:spacing w:val="-3"/>
                <w:highlight w:val="none"/>
              </w:rPr>
              <w:t>、</w:t>
            </w:r>
            <w:r>
              <w:rPr>
                <w:rFonts w:eastAsia="Times New Roman"/>
                <w:color w:val="auto"/>
                <w:spacing w:val="-3"/>
                <w:highlight w:val="none"/>
              </w:rPr>
              <w:t>AX1</w:t>
            </w:r>
            <w:r>
              <w:rPr>
                <w:color w:val="auto"/>
                <w:spacing w:val="-3"/>
                <w:highlight w:val="none"/>
              </w:rPr>
              <w:t>、</w:t>
            </w:r>
            <w:r>
              <w:rPr>
                <w:rFonts w:eastAsia="Times New Roman"/>
                <w:color w:val="auto"/>
                <w:spacing w:val="-3"/>
                <w:highlight w:val="none"/>
              </w:rPr>
              <w:t>AX2</w:t>
            </w:r>
            <w:r>
              <w:rPr>
                <w:color w:val="auto"/>
                <w:spacing w:val="-3"/>
                <w:highlight w:val="none"/>
              </w:rPr>
              <w:t>、</w:t>
            </w:r>
            <w:r>
              <w:rPr>
                <w:rFonts w:eastAsia="Times New Roman"/>
                <w:color w:val="auto"/>
                <w:spacing w:val="-3"/>
                <w:highlight w:val="none"/>
              </w:rPr>
              <w:t>FC</w:t>
            </w:r>
            <w:r>
              <w:rPr>
                <w:color w:val="auto"/>
                <w:spacing w:val="-3"/>
                <w:highlight w:val="none"/>
              </w:rPr>
              <w:t>子项的废水管（</w:t>
            </w:r>
            <w:r>
              <w:rPr>
                <w:rFonts w:eastAsia="Times New Roman"/>
                <w:color w:val="auto"/>
                <w:spacing w:val="-3"/>
                <w:highlight w:val="none"/>
              </w:rPr>
              <w:t>FC</w:t>
            </w:r>
            <w:r>
              <w:rPr>
                <w:color w:val="auto"/>
                <w:spacing w:val="-3"/>
                <w:highlight w:val="none"/>
              </w:rPr>
              <w:t>子</w:t>
            </w:r>
            <w:r>
              <w:rPr>
                <w:color w:val="auto"/>
                <w:spacing w:val="-4"/>
                <w:highlight w:val="none"/>
              </w:rPr>
              <w:t>项：</w:t>
            </w:r>
            <w:r>
              <w:rPr>
                <w:rFonts w:eastAsia="Times New Roman"/>
                <w:color w:val="auto"/>
                <w:spacing w:val="-4"/>
                <w:highlight w:val="none"/>
              </w:rPr>
              <w:t>DN150</w:t>
            </w:r>
            <w:r>
              <w:rPr>
                <w:color w:val="auto"/>
                <w:spacing w:val="-4"/>
                <w:highlight w:val="none"/>
              </w:rPr>
              <w:t>，</w:t>
            </w:r>
            <w:r>
              <w:rPr>
                <w:rFonts w:eastAsia="Times New Roman"/>
                <w:color w:val="auto"/>
                <w:spacing w:val="-4"/>
                <w:highlight w:val="none"/>
              </w:rPr>
              <w:t>AB1</w:t>
            </w:r>
            <w:r>
              <w:rPr>
                <w:color w:val="auto"/>
                <w:spacing w:val="-4"/>
                <w:highlight w:val="none"/>
              </w:rPr>
              <w:t>子项</w:t>
            </w:r>
            <w:r>
              <w:rPr>
                <w:rFonts w:eastAsia="Times New Roman"/>
                <w:color w:val="auto"/>
                <w:spacing w:val="-4"/>
                <w:highlight w:val="none"/>
              </w:rPr>
              <w:t>DN200</w:t>
            </w:r>
            <w:r>
              <w:rPr>
                <w:color w:val="auto"/>
                <w:spacing w:val="-4"/>
                <w:highlight w:val="none"/>
              </w:rPr>
              <w:t>和</w:t>
            </w:r>
            <w:r>
              <w:rPr>
                <w:rFonts w:eastAsia="Times New Roman"/>
                <w:color w:val="auto"/>
                <w:spacing w:val="-4"/>
                <w:highlight w:val="none"/>
              </w:rPr>
              <w:t>DN50</w:t>
            </w:r>
            <w:r>
              <w:rPr>
                <w:color w:val="auto"/>
                <w:spacing w:val="-4"/>
                <w:highlight w:val="none"/>
              </w:rPr>
              <w:t>）接入</w:t>
            </w:r>
            <w:r>
              <w:rPr>
                <w:rFonts w:hint="eastAsia"/>
                <w:color w:val="auto"/>
                <w:spacing w:val="-4"/>
                <w:highlight w:val="none"/>
              </w:rPr>
              <w:t>新建</w:t>
            </w:r>
            <w:r>
              <w:rPr>
                <w:color w:val="auto"/>
                <w:spacing w:val="-4"/>
                <w:highlight w:val="none"/>
              </w:rPr>
              <w:t>的集水池后，采用临时措施排</w:t>
            </w:r>
            <w:r>
              <w:rPr>
                <w:color w:val="auto"/>
                <w:spacing w:val="-1"/>
                <w:highlight w:val="none"/>
              </w:rPr>
              <w:t>入附近的生产废水检查井。</w:t>
            </w:r>
          </w:p>
          <w:p>
            <w:pPr>
              <w:pStyle w:val="8"/>
              <w:numPr>
                <w:ilvl w:val="0"/>
                <w:numId w:val="6"/>
              </w:numPr>
              <w:rPr>
                <w:color w:val="auto"/>
                <w:highlight w:val="none"/>
              </w:rPr>
            </w:pPr>
            <w:r>
              <w:rPr>
                <w:color w:val="auto"/>
                <w:highlight w:val="none"/>
              </w:rPr>
              <w:t>化学品库1（7AX3子项）、气体库1（7AX4子项）、化学品库2（7AX5子项）、气体库2（7AX6子项）AX3、AX4、AX5、AX6子项排水</w:t>
            </w:r>
          </w:p>
          <w:p>
            <w:pPr>
              <w:pStyle w:val="8"/>
              <w:numPr>
                <w:ilvl w:val="255"/>
                <w:numId w:val="0"/>
              </w:numPr>
              <w:ind w:left="420" w:leftChars="200"/>
              <w:rPr>
                <w:color w:val="auto"/>
                <w:highlight w:val="none"/>
              </w:rPr>
            </w:pPr>
            <w:r>
              <w:rPr>
                <w:rFonts w:hint="eastAsia"/>
                <w:color w:val="auto"/>
                <w:highlight w:val="none"/>
              </w:rPr>
              <w:t>现状：</w:t>
            </w:r>
            <w:r>
              <w:rPr>
                <w:color w:val="auto"/>
                <w:highlight w:val="none"/>
              </w:rPr>
              <w:t>主要为洗眼器排水，废水排入厂区雨水管网，最终排海。</w:t>
            </w:r>
          </w:p>
          <w:p>
            <w:pPr>
              <w:pStyle w:val="8"/>
              <w:rPr>
                <w:color w:val="auto"/>
                <w:highlight w:val="none"/>
              </w:rPr>
            </w:pPr>
            <w:r>
              <w:rPr>
                <w:color w:val="auto"/>
                <w:highlight w:val="none"/>
              </w:rPr>
              <w:t>改造方案：AX3、AX4、AX5、AX6子项位于福清核电厂区的西南角，距离主厂区较远。本次改造将AX3~AX6子项的洗眼器通过</w:t>
            </w:r>
            <w:r>
              <w:rPr>
                <w:rFonts w:hint="eastAsia"/>
                <w:color w:val="auto"/>
                <w:highlight w:val="none"/>
              </w:rPr>
              <w:t>改造</w:t>
            </w:r>
            <w:r>
              <w:rPr>
                <w:color w:val="auto"/>
                <w:highlight w:val="none"/>
              </w:rPr>
              <w:t>后的废水管网（DN300）排至</w:t>
            </w:r>
            <w:r>
              <w:rPr>
                <w:rFonts w:hint="eastAsia"/>
                <w:color w:val="auto"/>
                <w:highlight w:val="none"/>
              </w:rPr>
              <w:t>新建</w:t>
            </w:r>
            <w:r>
              <w:rPr>
                <w:color w:val="auto"/>
                <w:highlight w:val="none"/>
              </w:rPr>
              <w:t>的两座集水池（3m×3m）后采用临时措施排入生产废水检查井后排入</w:t>
            </w:r>
            <w:r>
              <w:rPr>
                <w:rFonts w:hint="eastAsia"/>
                <w:color w:val="auto"/>
                <w:highlight w:val="none"/>
              </w:rPr>
              <w:t>新建</w:t>
            </w:r>
            <w:r>
              <w:rPr>
                <w:color w:val="auto"/>
                <w:highlight w:val="none"/>
              </w:rPr>
              <w:t>的非放射性生产废水处理站，进行监测、处理、排放至CC井。</w:t>
            </w:r>
          </w:p>
          <w:p>
            <w:pPr>
              <w:pStyle w:val="8"/>
              <w:rPr>
                <w:b/>
                <w:bCs/>
                <w:color w:val="auto"/>
                <w:highlight w:val="none"/>
              </w:rPr>
            </w:pPr>
            <w:r>
              <w:rPr>
                <w:color w:val="auto"/>
                <w:highlight w:val="none"/>
              </w:rPr>
              <w:t>综上（1）</w:t>
            </w:r>
            <w:r>
              <w:rPr>
                <w:rFonts w:hint="eastAsia"/>
                <w:color w:val="auto"/>
                <w:highlight w:val="none"/>
              </w:rPr>
              <w:t>～</w:t>
            </w:r>
            <w:r>
              <w:rPr>
                <w:color w:val="auto"/>
                <w:highlight w:val="none"/>
              </w:rPr>
              <w:t>（1</w:t>
            </w:r>
            <w:r>
              <w:rPr>
                <w:rFonts w:hint="eastAsia"/>
                <w:color w:val="auto"/>
                <w:highlight w:val="none"/>
              </w:rPr>
              <w:t>6</w:t>
            </w:r>
            <w:r>
              <w:rPr>
                <w:color w:val="auto"/>
                <w:highlight w:val="none"/>
              </w:rPr>
              <w:t>）所述，目前需要进行雨废分离改造的生产废水来源及改造方式如表</w:t>
            </w:r>
            <w:r>
              <w:rPr>
                <w:rFonts w:hint="eastAsia"/>
                <w:color w:val="auto"/>
                <w:highlight w:val="none"/>
              </w:rPr>
              <w:t>2-3</w:t>
            </w:r>
            <w:r>
              <w:rPr>
                <w:color w:val="auto"/>
                <w:highlight w:val="none"/>
              </w:rPr>
              <w:t>所示</w:t>
            </w:r>
            <w:r>
              <w:rPr>
                <w:color w:val="auto"/>
                <w:spacing w:val="-2"/>
                <w:highlight w:val="none"/>
              </w:rPr>
              <w:t>。</w:t>
            </w:r>
          </w:p>
          <w:p>
            <w:pPr>
              <w:pStyle w:val="4"/>
              <w:rPr>
                <w:color w:val="auto"/>
                <w:highlight w:val="none"/>
              </w:rPr>
            </w:pPr>
            <w:r>
              <w:rPr>
                <w:rFonts w:hint="eastAsia"/>
                <w:color w:val="auto"/>
                <w:highlight w:val="none"/>
              </w:rPr>
              <w:t>2.2.2运营期</w:t>
            </w:r>
          </w:p>
          <w:p>
            <w:pPr>
              <w:pStyle w:val="8"/>
              <w:rPr>
                <w:color w:val="auto"/>
                <w:highlight w:val="none"/>
              </w:rPr>
            </w:pPr>
            <w:r>
              <w:rPr>
                <w:rFonts w:hint="eastAsia"/>
                <w:color w:val="auto"/>
                <w:highlight w:val="none"/>
              </w:rPr>
              <w:t>福清核电厂区雨废分离项目非放射性废水处理站的总处理规模6800m³/d，分为两条工艺路线，其中工艺路线一为FS子项（含油废水处理站出水）及其他非放射性废水的处理，处理规模4700m</w:t>
            </w:r>
            <w:r>
              <w:rPr>
                <w:rFonts w:hint="eastAsia"/>
                <w:color w:val="auto"/>
                <w:highlight w:val="none"/>
                <w:vertAlign w:val="superscript"/>
              </w:rPr>
              <w:t>3</w:t>
            </w:r>
            <w:r>
              <w:rPr>
                <w:rFonts w:hint="eastAsia"/>
                <w:color w:val="auto"/>
                <w:highlight w:val="none"/>
              </w:rPr>
              <w:t>/d。工艺路线二为除盐水厂房过滤器反洗水、浓水反渗透浓水、地面冲洗水等废水的处理，处理规模2100m</w:t>
            </w:r>
            <w:r>
              <w:rPr>
                <w:rFonts w:hint="eastAsia"/>
                <w:color w:val="auto"/>
                <w:highlight w:val="none"/>
                <w:vertAlign w:val="superscript"/>
              </w:rPr>
              <w:t>3</w:t>
            </w:r>
            <w:r>
              <w:rPr>
                <w:rFonts w:hint="eastAsia"/>
                <w:color w:val="auto"/>
                <w:highlight w:val="none"/>
              </w:rPr>
              <w:t>/d。</w:t>
            </w:r>
            <w:r>
              <w:rPr>
                <w:color w:val="auto"/>
                <w:highlight w:val="none"/>
              </w:rPr>
              <w:t>废水处理站的设计充分考虑</w:t>
            </w:r>
            <w:r>
              <w:rPr>
                <w:rFonts w:hint="eastAsia"/>
                <w:color w:val="auto"/>
                <w:highlight w:val="none"/>
              </w:rPr>
              <w:t>两条工艺</w:t>
            </w:r>
            <w:r>
              <w:rPr>
                <w:color w:val="auto"/>
                <w:highlight w:val="none"/>
              </w:rPr>
              <w:t>路线在后期实际运行时能独立运行或联合运行的可行性。</w:t>
            </w:r>
          </w:p>
          <w:p>
            <w:pPr>
              <w:rPr>
                <w:color w:val="auto"/>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959485</wp:posOffset>
                      </wp:positionH>
                      <wp:positionV relativeFrom="paragraph">
                        <wp:posOffset>1399540</wp:posOffset>
                      </wp:positionV>
                      <wp:extent cx="3613785" cy="969010"/>
                      <wp:effectExtent l="0" t="0" r="13335" b="6350"/>
                      <wp:wrapNone/>
                      <wp:docPr id="41" name="矩形 72"/>
                      <wp:cNvGraphicFramePr/>
                      <a:graphic xmlns:a="http://schemas.openxmlformats.org/drawingml/2006/main">
                        <a:graphicData uri="http://schemas.microsoft.com/office/word/2010/wordprocessingShape">
                          <wps:wsp>
                            <wps:cNvSpPr/>
                            <wps:spPr>
                              <a:xfrm>
                                <a:off x="0" y="0"/>
                                <a:ext cx="3613785" cy="969010"/>
                              </a:xfrm>
                              <a:prstGeom prst="rect">
                                <a:avLst/>
                              </a:prstGeom>
                              <a:solidFill>
                                <a:srgbClr val="CE292F">
                                  <a:alpha val="9999"/>
                                </a:srgbClr>
                              </a:solidFill>
                              <a:ln>
                                <a:noFill/>
                              </a:ln>
                            </wps:spPr>
                            <wps:txbx>
                              <w:txbxContent>
                                <w:p>
                                  <w:r>
                                    <w:rPr>
                                      <w:rFonts w:hint="eastAsia"/>
                                    </w:rPr>
                                    <w:t>工艺路线</w:t>
                                  </w:r>
                                </w:p>
                              </w:txbxContent>
                            </wps:txbx>
                            <wps:bodyPr wrap="square" upright="1"/>
                          </wps:wsp>
                        </a:graphicData>
                      </a:graphic>
                    </wp:anchor>
                  </w:drawing>
                </mc:Choice>
                <mc:Fallback>
                  <w:pict>
                    <v:rect id="矩形 72" o:spid="_x0000_s1026" o:spt="1" style="position:absolute;left:0pt;margin-left:75.55pt;margin-top:110.2pt;height:76.3pt;width:284.55pt;z-index:251663360;mso-width-relative:page;mso-height-relative:page;" fillcolor="#CE292F" filled="t" stroked="f" coordsize="21600,21600" o:gfxdata="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3psN2QAAAAsBAAAPAAAAAAAAAAEAIAAA&#10;ACIAAABkcnMvZG93bnJldi54bWxQSwECFAAUAAAACACHTuJA4O6p99IBAACaAwAADgAAAAAAAAAB&#10;ACAAAAAoAQAAZHJzL2Uyb0RvYy54bWxQSwUGAAAAAAYABgBZAQAAbAUAAAAA&#10;">
                      <v:fill on="t" opacity="6552f" focussize="0,0"/>
                      <v:stroke on="f"/>
                      <v:imagedata o:title=""/>
                      <o:lock v:ext="edit" aspectratio="f"/>
                      <v:textbox>
                        <w:txbxContent>
                          <w:p>
                            <w:r>
                              <w:rPr>
                                <w:rFonts w:hint="eastAsia"/>
                              </w:rPr>
                              <w:t>工艺路线</w:t>
                            </w:r>
                          </w:p>
                        </w:txbxContent>
                      </v:textbox>
                    </v:rect>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-32385</wp:posOffset>
                      </wp:positionH>
                      <wp:positionV relativeFrom="paragraph">
                        <wp:posOffset>9525</wp:posOffset>
                      </wp:positionV>
                      <wp:extent cx="5227955" cy="1509395"/>
                      <wp:effectExtent l="0" t="0" r="14605" b="14605"/>
                      <wp:wrapNone/>
                      <wp:docPr id="42" name="矩形 73"/>
                      <wp:cNvGraphicFramePr/>
                      <a:graphic xmlns:a="http://schemas.openxmlformats.org/drawingml/2006/main">
                        <a:graphicData uri="http://schemas.microsoft.com/office/word/2010/wordprocessingShape">
                          <wps:wsp>
                            <wps:cNvSpPr/>
                            <wps:spPr>
                              <a:xfrm>
                                <a:off x="0" y="0"/>
                                <a:ext cx="5227955" cy="1509395"/>
                              </a:xfrm>
                              <a:prstGeom prst="rect">
                                <a:avLst/>
                              </a:prstGeom>
                              <a:solidFill>
                                <a:srgbClr val="7CDB05">
                                  <a:alpha val="12999"/>
                                </a:srgbClr>
                              </a:solidFill>
                              <a:ln>
                                <a:noFill/>
                              </a:ln>
                            </wps:spPr>
                            <wps:txbx>
                              <w:txbxContent>
                                <w:p>
                                  <w:r>
                                    <w:rPr>
                                      <w:rFonts w:hint="eastAsia"/>
                                    </w:rPr>
                                    <w:t>工艺路线一</w:t>
                                  </w:r>
                                </w:p>
                              </w:txbxContent>
                            </wps:txbx>
                            <wps:bodyPr vert="horz" wrap="square" anchor="t" anchorCtr="0" upright="1"/>
                          </wps:wsp>
                        </a:graphicData>
                      </a:graphic>
                    </wp:anchor>
                  </w:drawing>
                </mc:Choice>
                <mc:Fallback>
                  <w:pict>
                    <v:rect id="矩形 73" o:spid="_x0000_s1026" o:spt="1" style="position:absolute;left:0pt;margin-left:-2.55pt;margin-top:0.75pt;height:118.85pt;width:411.65pt;z-index:251664384;mso-width-relative:page;mso-height-relative:page;" fillcolor="#7CDB05" filled="t" stroked="f" coordsize="21600,21600" o:gfxdata="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WbNBDW&#10;AAAACAEAAA8AAAAAAAAAAQAgAAAAIgAAAGRycy9kb3ducmV2LnhtbFBLAQIUABQAAAAIAIdO4kCW&#10;xo4l6QEAAMEDAAAOAAAAAAAAAAEAIAAAACUBAABkcnMvZTJvRG9jLnhtbFBLBQYAAAAABgAGAFkB&#10;AACABQAAAAA=&#10;">
                      <v:fill on="t" opacity="8519f" focussize="0,0"/>
                      <v:stroke on="f"/>
                      <v:imagedata o:title=""/>
                      <o:lock v:ext="edit" aspectratio="f"/>
                      <v:textbox>
                        <w:txbxContent>
                          <w:p>
                            <w:r>
                              <w:rPr>
                                <w:rFonts w:hint="eastAsia"/>
                              </w:rPr>
                              <w:t>工艺路线一</w:t>
                            </w:r>
                          </w:p>
                        </w:txbxContent>
                      </v:textbox>
                    </v:rect>
                  </w:pict>
                </mc:Fallback>
              </mc:AlternateContent>
            </w:r>
            <w:r>
              <w:rPr>
                <w:rFonts w:hint="eastAsia"/>
                <w:color w:val="auto"/>
                <w:highlight w:val="none"/>
              </w:rPr>
              <w:drawing>
                <wp:inline distT="0" distB="0" distL="114300" distR="114300">
                  <wp:extent cx="5041265" cy="2303145"/>
                  <wp:effectExtent l="0" t="0" r="3175" b="13335"/>
                  <wp:docPr id="49" name="图片 105" descr="工艺流程图福清核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5" descr="工艺流程图福清核电"/>
                          <pic:cNvPicPr>
                            <a:picLocks noChangeAspect="1"/>
                          </pic:cNvPicPr>
                        </pic:nvPicPr>
                        <pic:blipFill>
                          <a:blip r:embed="rId14"/>
                          <a:stretch>
                            <a:fillRect/>
                          </a:stretch>
                        </pic:blipFill>
                        <pic:spPr>
                          <a:xfrm>
                            <a:off x="0" y="0"/>
                            <a:ext cx="5041265" cy="2303145"/>
                          </a:xfrm>
                          <a:prstGeom prst="rect">
                            <a:avLst/>
                          </a:prstGeom>
                          <a:noFill/>
                          <a:ln>
                            <a:noFill/>
                          </a:ln>
                        </pic:spPr>
                      </pic:pic>
                    </a:graphicData>
                  </a:graphic>
                </wp:inline>
              </w:drawing>
            </w:r>
          </w:p>
          <w:p>
            <w:pPr>
              <w:pStyle w:val="36"/>
              <w:rPr>
                <w:color w:val="auto"/>
                <w:highlight w:val="none"/>
              </w:rPr>
            </w:pPr>
          </w:p>
          <w:p>
            <w:pPr>
              <w:pStyle w:val="8"/>
              <w:ind w:firstLine="470"/>
              <w:jc w:val="center"/>
              <w:rPr>
                <w:rFonts w:ascii="宋体" w:hAnsi="宋体" w:cs="宋体"/>
                <w:b/>
                <w:bCs/>
                <w:color w:val="auto"/>
                <w:highlight w:val="none"/>
              </w:rPr>
            </w:pPr>
            <w:r>
              <w:rPr>
                <w:rFonts w:ascii="宋体" w:hAnsi="宋体" w:cs="宋体"/>
                <w:b/>
                <w:bCs/>
                <w:color w:val="auto"/>
                <w:spacing w:val="-3"/>
                <w:highlight w:val="none"/>
              </w:rPr>
              <w:t>图</w:t>
            </w:r>
            <w:r>
              <w:rPr>
                <w:rFonts w:hint="eastAsia" w:ascii="宋体" w:hAnsi="宋体" w:cs="宋体"/>
                <w:b/>
                <w:bCs/>
                <w:color w:val="auto"/>
                <w:spacing w:val="-3"/>
                <w:highlight w:val="none"/>
                <w:lang w:eastAsia="zh"/>
              </w:rPr>
              <w:t>2-</w:t>
            </w:r>
            <w:r>
              <w:rPr>
                <w:rFonts w:hint="eastAsia" w:ascii="宋体" w:hAnsi="宋体" w:cs="宋体"/>
                <w:b/>
                <w:bCs/>
                <w:color w:val="auto"/>
                <w:spacing w:val="-3"/>
                <w:highlight w:val="none"/>
              </w:rPr>
              <w:t>8非放射性废水处理站工艺</w:t>
            </w:r>
            <w:r>
              <w:rPr>
                <w:rFonts w:ascii="宋体" w:hAnsi="宋体" w:cs="宋体"/>
                <w:b/>
                <w:bCs/>
                <w:color w:val="auto"/>
                <w:spacing w:val="-3"/>
                <w:highlight w:val="none"/>
              </w:rPr>
              <w:t>流程图</w:t>
            </w:r>
          </w:p>
          <w:p>
            <w:pPr>
              <w:pStyle w:val="8"/>
              <w:ind w:firstLine="482"/>
              <w:rPr>
                <w:color w:val="auto"/>
                <w:highlight w:val="none"/>
              </w:rPr>
            </w:pPr>
            <w:r>
              <w:rPr>
                <w:rFonts w:hint="eastAsia"/>
                <w:b/>
                <w:bCs/>
                <w:color w:val="auto"/>
                <w:highlight w:val="none"/>
                <w:lang w:eastAsia="zh"/>
              </w:rPr>
              <w:t>（</w:t>
            </w:r>
            <w:r>
              <w:rPr>
                <w:rFonts w:hint="eastAsia"/>
                <w:b/>
                <w:bCs/>
                <w:color w:val="auto"/>
                <w:highlight w:val="none"/>
              </w:rPr>
              <w:t>1）含油废水处理站出水及其他非放射性废水</w:t>
            </w:r>
            <w:r>
              <w:rPr>
                <w:rFonts w:hint="eastAsia"/>
                <w:b/>
                <w:bCs/>
                <w:color w:val="auto"/>
                <w:highlight w:val="none"/>
                <w:lang w:eastAsia="zh"/>
              </w:rPr>
              <w:t>处理</w:t>
            </w:r>
            <w:r>
              <w:rPr>
                <w:b/>
                <w:bCs/>
                <w:color w:val="auto"/>
                <w:highlight w:val="none"/>
              </w:rPr>
              <w:t>工艺</w:t>
            </w:r>
            <w:r>
              <w:rPr>
                <w:rFonts w:hint="eastAsia"/>
                <w:b/>
                <w:bCs/>
                <w:color w:val="auto"/>
                <w:highlight w:val="none"/>
              </w:rPr>
              <w:t>（工艺路线一）</w:t>
            </w:r>
          </w:p>
          <w:p>
            <w:pPr>
              <w:pStyle w:val="8"/>
              <w:ind w:firstLine="464"/>
              <w:rPr>
                <w:rFonts w:ascii="宋体" w:hAnsi="宋体" w:cs="宋体"/>
                <w:color w:val="auto"/>
                <w:spacing w:val="-7"/>
                <w:highlight w:val="none"/>
              </w:rPr>
            </w:pPr>
            <w:r>
              <w:rPr>
                <w:rFonts w:hint="eastAsia" w:ascii="宋体" w:hAnsi="宋体" w:cs="宋体"/>
                <w:color w:val="auto"/>
                <w:spacing w:val="-4"/>
                <w:highlight w:val="none"/>
              </w:rPr>
              <w:t>工艺路线一的废水</w:t>
            </w:r>
            <w:r>
              <w:rPr>
                <w:rFonts w:ascii="宋体" w:hAnsi="宋体" w:cs="宋体"/>
                <w:color w:val="auto"/>
                <w:spacing w:val="-4"/>
                <w:highlight w:val="none"/>
              </w:rPr>
              <w:t>处理工艺采用物化法：折点加氯</w:t>
            </w:r>
            <w:r>
              <w:rPr>
                <w:rFonts w:eastAsia="Times New Roman"/>
                <w:color w:val="auto"/>
                <w:spacing w:val="-4"/>
                <w:highlight w:val="none"/>
              </w:rPr>
              <w:t>+</w:t>
            </w:r>
            <w:r>
              <w:rPr>
                <w:rFonts w:ascii="宋体" w:hAnsi="宋体" w:cs="宋体"/>
                <w:color w:val="auto"/>
                <w:spacing w:val="-4"/>
                <w:highlight w:val="none"/>
              </w:rPr>
              <w:t>深度处理的方式进行处理。工艺流程图如</w:t>
            </w:r>
            <w:r>
              <w:rPr>
                <w:rFonts w:ascii="宋体" w:hAnsi="宋体" w:cs="宋体"/>
                <w:color w:val="auto"/>
                <w:spacing w:val="-7"/>
                <w:highlight w:val="none"/>
              </w:rPr>
              <w:t>图</w:t>
            </w:r>
            <w:r>
              <w:rPr>
                <w:rFonts w:hint="eastAsia" w:ascii="宋体" w:hAnsi="宋体" w:cs="宋体"/>
                <w:color w:val="auto"/>
                <w:spacing w:val="-7"/>
                <w:highlight w:val="none"/>
                <w:lang w:eastAsia="zh"/>
              </w:rPr>
              <w:t>2-</w:t>
            </w:r>
            <w:r>
              <w:rPr>
                <w:rFonts w:hint="eastAsia" w:ascii="宋体" w:hAnsi="宋体" w:cs="宋体"/>
                <w:color w:val="auto"/>
                <w:spacing w:val="-7"/>
                <w:highlight w:val="none"/>
              </w:rPr>
              <w:t>8。</w:t>
            </w:r>
          </w:p>
          <w:p>
            <w:pPr>
              <w:pStyle w:val="8"/>
              <w:rPr>
                <w:color w:val="auto"/>
                <w:highlight w:val="none"/>
              </w:rPr>
            </w:pPr>
            <w:r>
              <w:rPr>
                <w:color w:val="auto"/>
                <w:highlight w:val="none"/>
              </w:rPr>
              <w:t>工艺流程简介：</w:t>
            </w:r>
          </w:p>
          <w:p>
            <w:pPr>
              <w:pStyle w:val="8"/>
              <w:rPr>
                <w:color w:val="auto"/>
                <w:highlight w:val="none"/>
              </w:rPr>
            </w:pPr>
            <w:r>
              <w:rPr>
                <w:color w:val="auto"/>
                <w:highlight w:val="none"/>
              </w:rPr>
              <w:t>废水经调节池（调节池内设有循环加空气搅拌）收集暂存均质、均量后进入pH调整池，通过投加酸或碱调整废水的pH，然后依次进入混合池、反应池、浮沉池、中间水池、过滤器，监测达标后排至8CC后排海。通过向混合池中投加次氯酸钠、混凝剂，向反应池中投加助凝剂，通过化学反应及浮沉池的沉淀作用去除废水中的COD、氨氮、石油类、总磷等污染物。此外，浮沉池在沉淀的同时还可去除废水中剩余的石油类物质。浮沉池出水进入中间水池，投加酸或碱、还原剂后经过滤器过滤后，排至清水池</w:t>
            </w:r>
            <w:r>
              <w:rPr>
                <w:rFonts w:hint="eastAsia"/>
                <w:color w:val="auto"/>
                <w:highlight w:val="none"/>
              </w:rPr>
              <w:t>。若达到</w:t>
            </w:r>
            <w:r>
              <w:rPr>
                <w:color w:val="auto"/>
                <w:highlight w:val="none"/>
              </w:rPr>
              <w:t>排放标准，则经清水泵提升至8CC排放；若不达标则回流至前端调节池重新处理至达标后排放。在中间水泵出水管上设置超越管，若中间水池出水达到排放标准，则直接</w:t>
            </w:r>
            <w:r>
              <w:rPr>
                <w:rFonts w:hint="eastAsia"/>
                <w:color w:val="auto"/>
                <w:highlight w:val="none"/>
              </w:rPr>
              <w:t>排至清水</w:t>
            </w:r>
            <w:r>
              <w:rPr>
                <w:color w:val="auto"/>
                <w:highlight w:val="none"/>
              </w:rPr>
              <w:t>池后经清水泵提升至</w:t>
            </w:r>
            <w:r>
              <w:rPr>
                <w:rFonts w:hint="eastAsia"/>
                <w:color w:val="auto"/>
                <w:highlight w:val="none"/>
              </w:rPr>
              <w:t>8CC后</w:t>
            </w:r>
            <w:r>
              <w:rPr>
                <w:color w:val="auto"/>
                <w:highlight w:val="none"/>
              </w:rPr>
              <w:t>排</w:t>
            </w:r>
            <w:r>
              <w:rPr>
                <w:rFonts w:hint="eastAsia"/>
                <w:color w:val="auto"/>
                <w:highlight w:val="none"/>
              </w:rPr>
              <w:t>海</w:t>
            </w:r>
            <w:r>
              <w:rPr>
                <w:color w:val="auto"/>
                <w:highlight w:val="none"/>
              </w:rPr>
              <w:t>。</w:t>
            </w:r>
          </w:p>
          <w:p>
            <w:pPr>
              <w:pStyle w:val="8"/>
              <w:rPr>
                <w:color w:val="auto"/>
                <w:highlight w:val="none"/>
              </w:rPr>
            </w:pPr>
            <w:r>
              <w:rPr>
                <w:color w:val="auto"/>
                <w:highlight w:val="none"/>
              </w:rPr>
              <w:t>当过滤器持续运行一段时间后，可将合格的中间水池/过滤器出水排至清水池作为过滤器反洗用水。过滤器反洗后剩余合格水可通过清水池内的清水泵提升排至8CC井后排海。</w:t>
            </w:r>
          </w:p>
          <w:p>
            <w:pPr>
              <w:pStyle w:val="8"/>
              <w:rPr>
                <w:color w:val="auto"/>
                <w:highlight w:val="none"/>
              </w:rPr>
            </w:pPr>
            <w:r>
              <w:rPr>
                <w:color w:val="auto"/>
                <w:highlight w:val="none"/>
              </w:rPr>
              <w:t>废水处理过程中产生的污泥经脱水后外运处置。</w:t>
            </w:r>
          </w:p>
          <w:p>
            <w:pPr>
              <w:pStyle w:val="8"/>
              <w:rPr>
                <w:rFonts w:ascii="宋体" w:hAnsi="宋体" w:cs="宋体"/>
                <w:color w:val="auto"/>
                <w:highlight w:val="none"/>
              </w:rPr>
            </w:pPr>
            <w:r>
              <w:rPr>
                <w:color w:val="auto"/>
                <w:highlight w:val="none"/>
              </w:rPr>
              <w:t>污泥浓缩池上清液、污泥脱水间、水泵</w:t>
            </w:r>
            <w:r>
              <w:rPr>
                <w:rFonts w:ascii="宋体" w:hAnsi="宋体" w:cs="宋体"/>
                <w:color w:val="auto"/>
                <w:highlight w:val="none"/>
              </w:rPr>
              <w:t>间以及加药间等产生的废水经废水管网排</w:t>
            </w:r>
            <w:r>
              <w:rPr>
                <w:rFonts w:ascii="宋体" w:hAnsi="宋体" w:cs="宋体"/>
                <w:color w:val="auto"/>
                <w:spacing w:val="-3"/>
                <w:highlight w:val="none"/>
              </w:rPr>
              <w:t>至调节池后进入后续处理系统进行处理。</w:t>
            </w:r>
          </w:p>
          <w:p>
            <w:pPr>
              <w:pStyle w:val="8"/>
              <w:ind w:firstLine="482"/>
              <w:rPr>
                <w:rFonts w:ascii="宋体" w:hAnsi="宋体" w:cs="宋体"/>
                <w:color w:val="auto"/>
                <w:highlight w:val="none"/>
                <w:lang w:bidi="ar"/>
              </w:rPr>
            </w:pPr>
            <w:r>
              <w:rPr>
                <w:rFonts w:hint="eastAsia" w:ascii="宋体" w:hAnsi="宋体" w:cs="宋体"/>
                <w:b/>
                <w:bCs/>
                <w:color w:val="auto"/>
                <w:highlight w:val="none"/>
                <w:lang w:bidi="ar"/>
              </w:rPr>
              <w:t>（2）除盐水厂房排水处理工艺（工艺路线二）</w:t>
            </w:r>
          </w:p>
          <w:p>
            <w:pPr>
              <w:pStyle w:val="8"/>
              <w:rPr>
                <w:color w:val="auto"/>
                <w:highlight w:val="none"/>
              </w:rPr>
            </w:pPr>
            <w:r>
              <w:rPr>
                <w:rFonts w:hint="eastAsia"/>
                <w:color w:val="auto"/>
                <w:highlight w:val="none"/>
              </w:rPr>
              <w:t>除盐水厂房排水水质相对洁净，</w:t>
            </w:r>
            <w:r>
              <w:rPr>
                <w:color w:val="auto"/>
                <w:spacing w:val="-3"/>
                <w:highlight w:val="none"/>
              </w:rPr>
              <w:t>大部分废水具备监测达标直接排放的条件。因此，配套简单的处理工艺</w:t>
            </w:r>
            <w:r>
              <w:rPr>
                <w:color w:val="auto"/>
                <w:spacing w:val="-1"/>
                <w:highlight w:val="none"/>
              </w:rPr>
              <w:t>同时设置超越管即可满足达标排放的要求</w:t>
            </w:r>
            <w:r>
              <w:rPr>
                <w:rFonts w:hint="eastAsia"/>
                <w:color w:val="auto"/>
                <w:spacing w:val="-1"/>
                <w:highlight w:val="none"/>
              </w:rPr>
              <w:t>。</w:t>
            </w:r>
            <w:r>
              <w:rPr>
                <w:color w:val="auto"/>
                <w:highlight w:val="none"/>
              </w:rPr>
              <w:t>废水经重力流排至</w:t>
            </w:r>
            <w:r>
              <w:rPr>
                <w:rFonts w:eastAsia="Times New Roman"/>
                <w:color w:val="auto"/>
                <w:highlight w:val="none"/>
              </w:rPr>
              <w:t>1#</w:t>
            </w:r>
            <w:r>
              <w:rPr>
                <w:color w:val="auto"/>
                <w:highlight w:val="none"/>
              </w:rPr>
              <w:t>调节池均匀水质、水量后，检测废水水质达</w:t>
            </w:r>
            <w:r>
              <w:rPr>
                <w:color w:val="auto"/>
                <w:spacing w:val="-1"/>
                <w:highlight w:val="none"/>
              </w:rPr>
              <w:t>到排放标准时，直接排至清水池后经清水泵提升至</w:t>
            </w:r>
            <w:r>
              <w:rPr>
                <w:rFonts w:eastAsia="Times New Roman"/>
                <w:color w:val="auto"/>
                <w:spacing w:val="-2"/>
                <w:highlight w:val="none"/>
              </w:rPr>
              <w:t>8CC</w:t>
            </w:r>
            <w:r>
              <w:rPr>
                <w:color w:val="auto"/>
                <w:spacing w:val="-2"/>
                <w:highlight w:val="none"/>
              </w:rPr>
              <w:t>井后排海。当检测调节</w:t>
            </w:r>
            <w:r>
              <w:rPr>
                <w:color w:val="auto"/>
                <w:spacing w:val="-3"/>
                <w:highlight w:val="none"/>
              </w:rPr>
              <w:t>池出水的水质达不到排放标准时，经调节池内潜污泵提升至深度处理间进行过滤</w:t>
            </w:r>
            <w:r>
              <w:rPr>
                <w:color w:val="auto"/>
                <w:spacing w:val="-4"/>
                <w:highlight w:val="none"/>
              </w:rPr>
              <w:t>处理。当过滤器处理出水达标时排至清水池后经清水泵提升</w:t>
            </w:r>
            <w:r>
              <w:rPr>
                <w:rFonts w:hint="eastAsia"/>
                <w:color w:val="auto"/>
                <w:spacing w:val="-4"/>
                <w:highlight w:val="none"/>
              </w:rPr>
              <w:t>至</w:t>
            </w:r>
            <w:r>
              <w:rPr>
                <w:rFonts w:eastAsia="Times New Roman"/>
                <w:color w:val="auto"/>
                <w:spacing w:val="-5"/>
                <w:highlight w:val="none"/>
              </w:rPr>
              <w:t>8CC</w:t>
            </w:r>
            <w:r>
              <w:rPr>
                <w:color w:val="auto"/>
                <w:spacing w:val="-5"/>
                <w:highlight w:val="none"/>
              </w:rPr>
              <w:t>井后排海，</w:t>
            </w:r>
            <w:r>
              <w:rPr>
                <w:color w:val="auto"/>
                <w:spacing w:val="-1"/>
                <w:highlight w:val="none"/>
              </w:rPr>
              <w:t>当出水不达标</w:t>
            </w:r>
            <w:r>
              <w:rPr>
                <w:color w:val="auto"/>
                <w:highlight w:val="none"/>
              </w:rPr>
              <w:t>时，回流至前端的调节池再进行一次循环处理。调节池内设有空气搅拌，引入次氯酸钠和</w:t>
            </w:r>
            <w:r>
              <w:rPr>
                <w:rFonts w:hint="eastAsia"/>
                <w:color w:val="auto"/>
                <w:highlight w:val="none"/>
                <w:lang w:val="en-US" w:eastAsia="zh-CN"/>
              </w:rPr>
              <w:t>混凝</w:t>
            </w:r>
            <w:r>
              <w:rPr>
                <w:color w:val="auto"/>
                <w:highlight w:val="none"/>
              </w:rPr>
              <w:t>剂至调节池内，作为进水水质较差时的应急处理措施。</w:t>
            </w:r>
          </w:p>
          <w:p>
            <w:pPr>
              <w:pStyle w:val="8"/>
              <w:ind w:firstLine="482"/>
              <w:rPr>
                <w:b/>
                <w:bCs/>
                <w:color w:val="auto"/>
                <w:highlight w:val="none"/>
              </w:rPr>
            </w:pPr>
            <w:r>
              <w:rPr>
                <w:rFonts w:hint="eastAsia"/>
                <w:b/>
                <w:bCs/>
                <w:color w:val="auto"/>
                <w:highlight w:val="none"/>
              </w:rPr>
              <w:t>（3）主要污染源及污染因子</w:t>
            </w:r>
          </w:p>
          <w:p>
            <w:pPr>
              <w:pStyle w:val="8"/>
              <w:rPr>
                <w:color w:val="auto"/>
                <w:highlight w:val="none"/>
              </w:rPr>
            </w:pPr>
            <w:r>
              <w:rPr>
                <w:rFonts w:hint="eastAsia"/>
                <w:color w:val="auto"/>
                <w:highlight w:val="none"/>
              </w:rPr>
              <w:t>本项目主要污染源及污染因子汇总见表</w:t>
            </w:r>
            <w:r>
              <w:rPr>
                <w:color w:val="auto"/>
                <w:highlight w:val="none"/>
              </w:rPr>
              <w:t>2-9</w:t>
            </w:r>
            <w:r>
              <w:rPr>
                <w:rFonts w:hint="eastAsia"/>
                <w:color w:val="auto"/>
                <w:highlight w:val="none"/>
              </w:rPr>
              <w:t>。</w:t>
            </w:r>
          </w:p>
          <w:p>
            <w:pPr>
              <w:spacing w:line="500" w:lineRule="exact"/>
              <w:ind w:firstLine="482" w:firstLineChars="200"/>
              <w:jc w:val="center"/>
              <w:rPr>
                <w:b/>
                <w:color w:val="auto"/>
                <w:sz w:val="24"/>
                <w:highlight w:val="none"/>
              </w:rPr>
            </w:pPr>
            <w:r>
              <w:rPr>
                <w:rFonts w:hint="eastAsia" w:ascii="宋体" w:hAnsi="宋体" w:cs="宋体"/>
                <w:b/>
                <w:color w:val="auto"/>
                <w:sz w:val="24"/>
                <w:highlight w:val="none"/>
                <w:lang w:bidi="ar"/>
              </w:rPr>
              <w:t>表</w:t>
            </w:r>
            <w:r>
              <w:rPr>
                <w:b/>
                <w:color w:val="auto"/>
                <w:sz w:val="24"/>
                <w:highlight w:val="none"/>
                <w:lang w:bidi="ar"/>
              </w:rPr>
              <w:t>2-</w:t>
            </w:r>
            <w:r>
              <w:rPr>
                <w:rFonts w:hint="eastAsia"/>
                <w:b/>
                <w:color w:val="auto"/>
                <w:sz w:val="24"/>
                <w:highlight w:val="none"/>
                <w:lang w:eastAsia="zh" w:bidi="ar"/>
              </w:rPr>
              <w:t>9</w:t>
            </w:r>
            <w:r>
              <w:rPr>
                <w:rFonts w:hint="eastAsia" w:ascii="宋体" w:hAnsi="宋体" w:cs="宋体"/>
                <w:b/>
                <w:color w:val="auto"/>
                <w:sz w:val="24"/>
                <w:highlight w:val="none"/>
                <w:lang w:bidi="ar"/>
              </w:rPr>
              <w:t>本项目主要污染源及污染因子识别表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8"/>
              <w:gridCol w:w="784"/>
              <w:gridCol w:w="1883"/>
              <w:gridCol w:w="331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类别</w:t>
                  </w: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编号</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污染物</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产生环节、装置</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废水</w:t>
                  </w: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W1</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处理后的非放射性生产废水</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非放</w:t>
                  </w:r>
                  <w:r>
                    <w:rPr>
                      <w:rFonts w:hint="eastAsia" w:ascii="宋体" w:hAnsi="宋体" w:cs="宋体"/>
                      <w:color w:val="auto"/>
                      <w:kern w:val="0"/>
                      <w:szCs w:val="21"/>
                      <w:highlight w:val="none"/>
                      <w:lang w:val="en-US" w:eastAsia="zh-CN" w:bidi="ar"/>
                    </w:rPr>
                    <w:t>射性生产废水</w:t>
                  </w:r>
                  <w:r>
                    <w:rPr>
                      <w:rFonts w:hint="eastAsia" w:ascii="宋体" w:hAnsi="宋体" w:cs="宋体"/>
                      <w:color w:val="auto"/>
                      <w:kern w:val="0"/>
                      <w:szCs w:val="21"/>
                      <w:highlight w:val="none"/>
                      <w:lang w:bidi="ar"/>
                    </w:rPr>
                    <w:t>处理站</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SS</w:t>
                  </w:r>
                  <w:r>
                    <w:rPr>
                      <w:rFonts w:hint="eastAsia" w:ascii="宋体" w:hAnsi="宋体" w:cs="宋体"/>
                      <w:color w:val="auto"/>
                      <w:kern w:val="0"/>
                      <w:szCs w:val="21"/>
                      <w:highlight w:val="none"/>
                      <w:lang w:bidi="ar"/>
                    </w:rPr>
                    <w:t>、总磷、</w:t>
                  </w:r>
                  <w:r>
                    <w:rPr>
                      <w:rFonts w:hint="eastAsia" w:ascii="宋体" w:hAnsi="宋体" w:cs="宋体"/>
                      <w:color w:val="auto"/>
                      <w:kern w:val="0"/>
                      <w:szCs w:val="21"/>
                      <w:highlight w:val="none"/>
                      <w:lang w:eastAsia="zh" w:bidi="ar"/>
                    </w:rPr>
                    <w:t>COD、</w:t>
                  </w:r>
                  <w:r>
                    <w:rPr>
                      <w:rFonts w:hint="eastAsia" w:ascii="宋体" w:hAnsi="宋体" w:cs="宋体"/>
                      <w:color w:val="auto"/>
                      <w:kern w:val="0"/>
                      <w:szCs w:val="21"/>
                      <w:highlight w:val="none"/>
                      <w:lang w:bidi="ar"/>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噪声</w:t>
                  </w: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N</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设备噪声</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水泵</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768" w:type="dxa"/>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固废</w:t>
                  </w: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S1-1</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污泥</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非放</w:t>
                  </w:r>
                  <w:r>
                    <w:rPr>
                      <w:rFonts w:hint="eastAsia" w:ascii="宋体" w:hAnsi="宋体" w:cs="宋体"/>
                      <w:color w:val="auto"/>
                      <w:kern w:val="0"/>
                      <w:szCs w:val="21"/>
                      <w:highlight w:val="none"/>
                      <w:lang w:val="en-US" w:eastAsia="zh-CN" w:bidi="ar"/>
                    </w:rPr>
                    <w:t>射性生产废水</w:t>
                  </w:r>
                  <w:r>
                    <w:rPr>
                      <w:rFonts w:hint="eastAsia" w:ascii="宋体" w:hAnsi="宋体" w:cs="宋体"/>
                      <w:color w:val="auto"/>
                      <w:kern w:val="0"/>
                      <w:szCs w:val="21"/>
                      <w:highlight w:val="none"/>
                      <w:lang w:bidi="ar"/>
                    </w:rPr>
                    <w:t>处理站</w:t>
                  </w:r>
                  <w:r>
                    <w:rPr>
                      <w:rFonts w:hint="eastAsia" w:ascii="宋体" w:hAnsi="宋体" w:cs="宋体"/>
                      <w:color w:val="auto"/>
                      <w:kern w:val="0"/>
                      <w:szCs w:val="21"/>
                      <w:highlight w:val="none"/>
                      <w:lang w:val="en-US" w:eastAsia="zh-CN" w:bidi="ar"/>
                    </w:rPr>
                    <w:t>浮沉池1#</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768" w:type="dxa"/>
                  <w:vMerge w:val="continue"/>
                  <w:tcBorders>
                    <w:top w:val="nil"/>
                    <w:left w:val="single" w:color="auto" w:sz="4" w:space="0"/>
                    <w:bottom w:val="single" w:color="auto" w:sz="4" w:space="0"/>
                    <w:right w:val="single" w:color="auto" w:sz="4" w:space="0"/>
                  </w:tcBorders>
                  <w:vAlign w:val="center"/>
                </w:tcPr>
                <w:p>
                  <w:pPr>
                    <w:rPr>
                      <w:color w:val="auto"/>
                      <w:sz w:val="20"/>
                      <w:szCs w:val="20"/>
                      <w:highlight w:val="none"/>
                    </w:rPr>
                  </w:pP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S1-2</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污泥</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非放</w:t>
                  </w:r>
                  <w:r>
                    <w:rPr>
                      <w:rFonts w:hint="eastAsia" w:ascii="宋体" w:hAnsi="宋体" w:cs="宋体"/>
                      <w:color w:val="auto"/>
                      <w:kern w:val="0"/>
                      <w:szCs w:val="21"/>
                      <w:highlight w:val="none"/>
                      <w:lang w:val="en-US" w:eastAsia="zh-CN" w:bidi="ar"/>
                    </w:rPr>
                    <w:t>射性生产废水</w:t>
                  </w:r>
                  <w:r>
                    <w:rPr>
                      <w:rFonts w:hint="eastAsia" w:ascii="宋体" w:hAnsi="宋体" w:cs="宋体"/>
                      <w:color w:val="auto"/>
                      <w:kern w:val="0"/>
                      <w:szCs w:val="21"/>
                      <w:highlight w:val="none"/>
                      <w:lang w:bidi="ar"/>
                    </w:rPr>
                    <w:t>处理站</w:t>
                  </w:r>
                  <w:r>
                    <w:rPr>
                      <w:rFonts w:hint="eastAsia" w:ascii="宋体" w:hAnsi="宋体" w:cs="宋体"/>
                      <w:color w:val="auto"/>
                      <w:kern w:val="0"/>
                      <w:szCs w:val="21"/>
                      <w:highlight w:val="none"/>
                      <w:lang w:val="en-US" w:eastAsia="zh-CN" w:bidi="ar"/>
                    </w:rPr>
                    <w:t>浮沉池2#</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0" w:hRule="atLeast"/>
                <w:jc w:val="center"/>
              </w:trPr>
              <w:tc>
                <w:tcPr>
                  <w:tcW w:w="768" w:type="dxa"/>
                  <w:vMerge w:val="continue"/>
                  <w:tcBorders>
                    <w:top w:val="nil"/>
                    <w:left w:val="single" w:color="auto" w:sz="4" w:space="0"/>
                    <w:bottom w:val="single" w:color="auto" w:sz="4" w:space="0"/>
                    <w:right w:val="single" w:color="auto" w:sz="4" w:space="0"/>
                  </w:tcBorders>
                  <w:vAlign w:val="center"/>
                </w:tcPr>
                <w:p>
                  <w:pPr>
                    <w:rPr>
                      <w:color w:val="auto"/>
                      <w:sz w:val="20"/>
                      <w:szCs w:val="20"/>
                      <w:highlight w:val="none"/>
                    </w:rPr>
                  </w:pP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S3-1</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废活性炭</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非放</w:t>
                  </w:r>
                  <w:r>
                    <w:rPr>
                      <w:rFonts w:hint="eastAsia" w:ascii="宋体" w:hAnsi="宋体" w:cs="宋体"/>
                      <w:color w:val="auto"/>
                      <w:kern w:val="0"/>
                      <w:szCs w:val="21"/>
                      <w:highlight w:val="none"/>
                      <w:lang w:val="en-US" w:eastAsia="zh-CN" w:bidi="ar"/>
                    </w:rPr>
                    <w:t>射性生产废水</w:t>
                  </w:r>
                  <w:r>
                    <w:rPr>
                      <w:rFonts w:hint="eastAsia" w:ascii="宋体" w:hAnsi="宋体" w:cs="宋体"/>
                      <w:color w:val="auto"/>
                      <w:kern w:val="0"/>
                      <w:szCs w:val="21"/>
                      <w:highlight w:val="none"/>
                      <w:lang w:bidi="ar"/>
                    </w:rPr>
                    <w:t>处理站活性炭过滤器</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杂质、废活性炭等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0" w:hRule="atLeast"/>
                <w:jc w:val="center"/>
              </w:trPr>
              <w:tc>
                <w:tcPr>
                  <w:tcW w:w="768" w:type="dxa"/>
                  <w:vMerge w:val="continue"/>
                  <w:tcBorders>
                    <w:top w:val="nil"/>
                    <w:left w:val="single" w:color="auto" w:sz="4" w:space="0"/>
                    <w:bottom w:val="single" w:color="auto" w:sz="4" w:space="0"/>
                    <w:right w:val="single" w:color="auto" w:sz="4" w:space="0"/>
                  </w:tcBorders>
                  <w:vAlign w:val="center"/>
                </w:tcPr>
                <w:p>
                  <w:pPr>
                    <w:rPr>
                      <w:color w:val="auto"/>
                      <w:sz w:val="20"/>
                      <w:szCs w:val="20"/>
                      <w:highlight w:val="none"/>
                    </w:rPr>
                  </w:pPr>
                </w:p>
              </w:tc>
              <w:tc>
                <w:tcPr>
                  <w:tcW w:w="78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color w:val="auto"/>
                      <w:kern w:val="0"/>
                      <w:szCs w:val="21"/>
                      <w:highlight w:val="none"/>
                      <w:lang w:bidi="ar"/>
                    </w:rPr>
                    <w:t>S3-2</w:t>
                  </w:r>
                </w:p>
              </w:tc>
              <w:tc>
                <w:tcPr>
                  <w:tcW w:w="188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废活性炭</w:t>
                  </w:r>
                </w:p>
              </w:tc>
              <w:tc>
                <w:tcPr>
                  <w:tcW w:w="33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非放</w:t>
                  </w:r>
                  <w:r>
                    <w:rPr>
                      <w:rFonts w:hint="eastAsia" w:ascii="宋体" w:hAnsi="宋体" w:cs="宋体"/>
                      <w:color w:val="auto"/>
                      <w:kern w:val="0"/>
                      <w:szCs w:val="21"/>
                      <w:highlight w:val="none"/>
                      <w:lang w:val="en-US" w:eastAsia="zh-CN" w:bidi="ar"/>
                    </w:rPr>
                    <w:t>射性生产废水</w:t>
                  </w:r>
                  <w:r>
                    <w:rPr>
                      <w:rFonts w:hint="eastAsia" w:ascii="宋体" w:hAnsi="宋体" w:cs="宋体"/>
                      <w:color w:val="auto"/>
                      <w:kern w:val="0"/>
                      <w:szCs w:val="21"/>
                      <w:highlight w:val="none"/>
                      <w:lang w:bidi="ar"/>
                    </w:rPr>
                    <w:t>处理站活性炭过滤器</w:t>
                  </w:r>
                </w:p>
              </w:tc>
              <w:tc>
                <w:tcPr>
                  <w:tcW w:w="165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auto"/>
                      <w:szCs w:val="21"/>
                      <w:highlight w:val="none"/>
                    </w:rPr>
                  </w:pPr>
                  <w:r>
                    <w:rPr>
                      <w:rFonts w:hint="eastAsia" w:ascii="宋体" w:hAnsi="宋体" w:cs="宋体"/>
                      <w:color w:val="auto"/>
                      <w:kern w:val="0"/>
                      <w:szCs w:val="21"/>
                      <w:highlight w:val="none"/>
                      <w:lang w:bidi="ar"/>
                    </w:rPr>
                    <w:t>杂质、废活性炭等</w:t>
                  </w:r>
                </w:p>
              </w:tc>
            </w:tr>
          </w:tbl>
          <w:p>
            <w:pPr>
              <w:pStyle w:val="4"/>
              <w:rPr>
                <w:color w:val="auto"/>
                <w:highlight w:val="none"/>
              </w:rPr>
            </w:pPr>
            <w:r>
              <w:rPr>
                <w:rFonts w:hint="eastAsia"/>
                <w:color w:val="auto"/>
                <w:highlight w:val="none"/>
              </w:rPr>
              <w:t>2.2.3工艺设备主要参数</w:t>
            </w:r>
          </w:p>
          <w:p>
            <w:pPr>
              <w:pStyle w:val="8"/>
              <w:ind w:firstLine="482"/>
              <w:rPr>
                <w:b/>
                <w:bCs/>
                <w:color w:val="auto"/>
                <w:highlight w:val="none"/>
              </w:rPr>
            </w:pPr>
            <w:r>
              <w:rPr>
                <w:rFonts w:hint="eastAsia"/>
                <w:b/>
                <w:bCs/>
                <w:color w:val="auto"/>
                <w:highlight w:val="none"/>
              </w:rPr>
              <w:t>（一）含油废水处理站出水及其他非放射性废水处理工艺参数</w:t>
            </w:r>
          </w:p>
          <w:p>
            <w:pPr>
              <w:pStyle w:val="8"/>
              <w:spacing w:before="18" w:line="347" w:lineRule="auto"/>
              <w:ind w:left="46" w:firstLine="460"/>
              <w:rPr>
                <w:color w:val="auto"/>
                <w:spacing w:val="-5"/>
                <w:highlight w:val="none"/>
              </w:rPr>
            </w:pPr>
            <w:r>
              <w:rPr>
                <w:rFonts w:hint="eastAsia"/>
                <w:color w:val="auto"/>
                <w:spacing w:val="-5"/>
                <w:highlight w:val="none"/>
              </w:rPr>
              <w:t>设计流量4700m</w:t>
            </w:r>
            <w:r>
              <w:rPr>
                <w:rFonts w:hint="eastAsia"/>
                <w:color w:val="auto"/>
                <w:spacing w:val="-5"/>
                <w:highlight w:val="none"/>
                <w:vertAlign w:val="superscript"/>
              </w:rPr>
              <w:t>3</w:t>
            </w:r>
            <w:r>
              <w:rPr>
                <w:rFonts w:hint="eastAsia"/>
                <w:color w:val="auto"/>
                <w:spacing w:val="-5"/>
                <w:highlight w:val="none"/>
              </w:rPr>
              <w:t>/d。</w:t>
            </w:r>
            <w:r>
              <w:rPr>
                <w:rStyle w:val="53"/>
                <w:rFonts w:hint="eastAsia"/>
                <w:color w:val="auto"/>
                <w:highlight w:val="none"/>
              </w:rPr>
              <w:t>设计分为</w:t>
            </w:r>
            <w:r>
              <w:rPr>
                <w:rStyle w:val="53"/>
                <w:color w:val="auto"/>
                <w:highlight w:val="none"/>
              </w:rPr>
              <w:t>两列，</w:t>
            </w:r>
            <w:r>
              <w:rPr>
                <w:rStyle w:val="53"/>
                <w:rFonts w:hint="eastAsia"/>
                <w:color w:val="auto"/>
                <w:highlight w:val="none"/>
              </w:rPr>
              <w:t>单列最大处理</w:t>
            </w:r>
            <w:r>
              <w:rPr>
                <w:rStyle w:val="53"/>
                <w:color w:val="auto"/>
                <w:highlight w:val="none"/>
              </w:rPr>
              <w:t>能力100m</w:t>
            </w:r>
            <w:r>
              <w:rPr>
                <w:rStyle w:val="53"/>
                <w:color w:val="auto"/>
                <w:highlight w:val="none"/>
                <w:vertAlign w:val="superscript"/>
              </w:rPr>
              <w:t>3</w:t>
            </w:r>
            <w:r>
              <w:rPr>
                <w:rStyle w:val="53"/>
                <w:color w:val="auto"/>
                <w:highlight w:val="none"/>
              </w:rPr>
              <w:t>/h</w:t>
            </w:r>
            <w:r>
              <w:rPr>
                <w:rStyle w:val="53"/>
                <w:rFonts w:hint="eastAsia"/>
                <w:color w:val="auto"/>
                <w:highlight w:val="none"/>
              </w:rPr>
              <w:t>。</w:t>
            </w:r>
          </w:p>
          <w:p>
            <w:pPr>
              <w:pStyle w:val="8"/>
              <w:spacing w:before="18" w:line="347" w:lineRule="auto"/>
              <w:ind w:left="46" w:firstLine="460"/>
              <w:rPr>
                <w:color w:val="auto"/>
                <w:highlight w:val="none"/>
              </w:rPr>
            </w:pPr>
            <w:r>
              <w:rPr>
                <w:color w:val="auto"/>
                <w:spacing w:val="-5"/>
                <w:highlight w:val="none"/>
              </w:rPr>
              <w:t>设置</w:t>
            </w:r>
            <w:r>
              <w:rPr>
                <w:rFonts w:eastAsia="Times New Roman"/>
                <w:color w:val="auto"/>
                <w:spacing w:val="-5"/>
                <w:highlight w:val="none"/>
              </w:rPr>
              <w:t>1</w:t>
            </w:r>
            <w:r>
              <w:rPr>
                <w:color w:val="auto"/>
                <w:spacing w:val="-5"/>
                <w:highlight w:val="none"/>
              </w:rPr>
              <w:t>座调节池，</w:t>
            </w:r>
            <w:r>
              <w:rPr>
                <w:rFonts w:eastAsia="Times New Roman"/>
                <w:color w:val="auto"/>
                <w:spacing w:val="-5"/>
                <w:highlight w:val="none"/>
              </w:rPr>
              <w:t>2</w:t>
            </w:r>
            <w:r>
              <w:rPr>
                <w:color w:val="auto"/>
                <w:spacing w:val="-5"/>
                <w:highlight w:val="none"/>
              </w:rPr>
              <w:t>套废水处</w:t>
            </w:r>
            <w:r>
              <w:rPr>
                <w:color w:val="auto"/>
                <w:spacing w:val="-6"/>
                <w:highlight w:val="none"/>
              </w:rPr>
              <w:t>理系统（成套设备）。</w:t>
            </w:r>
            <w:r>
              <w:rPr>
                <w:rFonts w:hint="eastAsia"/>
                <w:color w:val="auto"/>
                <w:spacing w:val="-6"/>
                <w:highlight w:val="none"/>
              </w:rPr>
              <w:t>针对工艺路线一收集废水的处理工艺：</w:t>
            </w:r>
            <w:r>
              <w:rPr>
                <w:color w:val="auto"/>
                <w:spacing w:val="-3"/>
                <w:highlight w:val="none"/>
              </w:rPr>
              <w:t>包含</w:t>
            </w:r>
            <w:r>
              <w:rPr>
                <w:rFonts w:eastAsia="Times New Roman"/>
                <w:color w:val="auto"/>
                <w:spacing w:val="-3"/>
                <w:highlight w:val="none"/>
              </w:rPr>
              <w:t>2</w:t>
            </w:r>
            <w:r>
              <w:rPr>
                <w:color w:val="auto"/>
                <w:spacing w:val="-3"/>
                <w:highlight w:val="none"/>
              </w:rPr>
              <w:t>套</w:t>
            </w:r>
            <w:r>
              <w:rPr>
                <w:rFonts w:eastAsia="Times New Roman"/>
                <w:color w:val="auto"/>
                <w:spacing w:val="-3"/>
                <w:highlight w:val="none"/>
              </w:rPr>
              <w:t>pH</w:t>
            </w:r>
            <w:r>
              <w:rPr>
                <w:color w:val="auto"/>
                <w:spacing w:val="-3"/>
                <w:highlight w:val="none"/>
              </w:rPr>
              <w:t>调整池、</w:t>
            </w:r>
            <w:r>
              <w:rPr>
                <w:rFonts w:eastAsia="Times New Roman"/>
                <w:color w:val="auto"/>
                <w:spacing w:val="-3"/>
                <w:highlight w:val="none"/>
              </w:rPr>
              <w:t>2</w:t>
            </w:r>
            <w:r>
              <w:rPr>
                <w:color w:val="auto"/>
                <w:spacing w:val="-3"/>
                <w:highlight w:val="none"/>
              </w:rPr>
              <w:t>套混合池、</w:t>
            </w:r>
            <w:r>
              <w:rPr>
                <w:rFonts w:eastAsia="Times New Roman"/>
                <w:color w:val="auto"/>
                <w:spacing w:val="-3"/>
                <w:highlight w:val="none"/>
              </w:rPr>
              <w:t>2</w:t>
            </w:r>
            <w:r>
              <w:rPr>
                <w:color w:val="auto"/>
                <w:spacing w:val="-3"/>
                <w:highlight w:val="none"/>
              </w:rPr>
              <w:t>套反应池、</w:t>
            </w:r>
            <w:r>
              <w:rPr>
                <w:rFonts w:eastAsia="Times New Roman"/>
                <w:color w:val="auto"/>
                <w:spacing w:val="-3"/>
                <w:highlight w:val="none"/>
              </w:rPr>
              <w:t>2</w:t>
            </w:r>
            <w:r>
              <w:rPr>
                <w:color w:val="auto"/>
                <w:spacing w:val="-4"/>
                <w:highlight w:val="none"/>
              </w:rPr>
              <w:t>套浮沉池、</w:t>
            </w:r>
            <w:r>
              <w:rPr>
                <w:rFonts w:eastAsia="Times New Roman"/>
                <w:color w:val="auto"/>
                <w:spacing w:val="-4"/>
                <w:highlight w:val="none"/>
              </w:rPr>
              <w:t>1</w:t>
            </w:r>
            <w:r>
              <w:rPr>
                <w:color w:val="auto"/>
                <w:spacing w:val="-4"/>
                <w:highlight w:val="none"/>
              </w:rPr>
              <w:t>座中间水池、</w:t>
            </w:r>
            <w:r>
              <w:rPr>
                <w:rFonts w:eastAsia="Times New Roman"/>
                <w:color w:val="auto"/>
                <w:spacing w:val="-4"/>
                <w:highlight w:val="none"/>
              </w:rPr>
              <w:t>2</w:t>
            </w:r>
            <w:r>
              <w:rPr>
                <w:color w:val="auto"/>
                <w:spacing w:val="-4"/>
                <w:highlight w:val="none"/>
              </w:rPr>
              <w:t>座污泥池、</w:t>
            </w:r>
            <w:r>
              <w:rPr>
                <w:rFonts w:eastAsia="Times New Roman"/>
                <w:color w:val="auto"/>
                <w:spacing w:val="-4"/>
                <w:highlight w:val="none"/>
              </w:rPr>
              <w:t>1</w:t>
            </w:r>
            <w:r>
              <w:rPr>
                <w:color w:val="auto"/>
                <w:spacing w:val="-4"/>
                <w:highlight w:val="none"/>
              </w:rPr>
              <w:t>座清水池</w:t>
            </w:r>
            <w:r>
              <w:rPr>
                <w:color w:val="auto"/>
                <w:spacing w:val="-5"/>
                <w:highlight w:val="none"/>
              </w:rPr>
              <w:t>、</w:t>
            </w:r>
            <w:r>
              <w:rPr>
                <w:rFonts w:eastAsia="Times New Roman"/>
                <w:color w:val="auto"/>
                <w:spacing w:val="-5"/>
                <w:highlight w:val="none"/>
              </w:rPr>
              <w:t>2</w:t>
            </w:r>
            <w:r>
              <w:rPr>
                <w:color w:val="auto"/>
                <w:spacing w:val="-5"/>
                <w:highlight w:val="none"/>
              </w:rPr>
              <w:t>套污泥浓缩池、</w:t>
            </w:r>
            <w:r>
              <w:rPr>
                <w:rFonts w:eastAsia="Times New Roman"/>
                <w:color w:val="auto"/>
                <w:spacing w:val="-5"/>
                <w:highlight w:val="none"/>
              </w:rPr>
              <w:t>2</w:t>
            </w:r>
            <w:r>
              <w:rPr>
                <w:color w:val="auto"/>
                <w:spacing w:val="-3"/>
                <w:highlight w:val="none"/>
              </w:rPr>
              <w:t>套污泥脱水机、加药装置（包含：混凝剂、助凝剂、还原剂、次氯酸钠、酸</w:t>
            </w:r>
            <w:r>
              <w:rPr>
                <w:color w:val="auto"/>
                <w:spacing w:val="-4"/>
                <w:highlight w:val="none"/>
              </w:rPr>
              <w:t>、碱加药装置各</w:t>
            </w:r>
            <w:r>
              <w:rPr>
                <w:rFonts w:eastAsia="Times New Roman"/>
                <w:color w:val="auto"/>
                <w:spacing w:val="-4"/>
                <w:highlight w:val="none"/>
              </w:rPr>
              <w:t>1</w:t>
            </w:r>
            <w:r>
              <w:rPr>
                <w:color w:val="auto"/>
                <w:spacing w:val="-4"/>
                <w:highlight w:val="none"/>
              </w:rPr>
              <w:t>套）以及药剂储罐（包含酸、碱、混凝剂、次氯酸钠储罐等）</w:t>
            </w:r>
            <w:r>
              <w:rPr>
                <w:rFonts w:hint="eastAsia"/>
                <w:color w:val="auto"/>
                <w:spacing w:val="-4"/>
                <w:highlight w:val="none"/>
              </w:rPr>
              <w:t>。</w:t>
            </w:r>
          </w:p>
          <w:p>
            <w:pPr>
              <w:pStyle w:val="8"/>
              <w:rPr>
                <w:color w:val="auto"/>
                <w:highlight w:val="none"/>
              </w:rPr>
            </w:pPr>
            <w:r>
              <w:rPr>
                <w:color w:val="auto"/>
                <w:highlight w:val="none"/>
              </w:rPr>
              <w:t>（1）</w:t>
            </w:r>
            <w:r>
              <w:rPr>
                <w:rFonts w:hint="eastAsia"/>
                <w:color w:val="auto"/>
                <w:highlight w:val="none"/>
              </w:rPr>
              <w:t>2#</w:t>
            </w:r>
            <w:r>
              <w:rPr>
                <w:color w:val="auto"/>
                <w:highlight w:val="none"/>
              </w:rPr>
              <w:t>调节池</w:t>
            </w:r>
          </w:p>
          <w:p>
            <w:pPr>
              <w:pStyle w:val="8"/>
              <w:adjustRightInd w:val="0"/>
              <w:rPr>
                <w:color w:val="auto"/>
                <w:highlight w:val="none"/>
              </w:rPr>
            </w:pPr>
            <w:r>
              <w:rPr>
                <w:color w:val="auto"/>
                <w:highlight w:val="none"/>
              </w:rPr>
              <w:t>各子项排放的不合格非放射性生产废水经汇集至调节池暂存，均匀水质，具备曝气和pH调节的能力。</w:t>
            </w:r>
          </w:p>
          <w:p>
            <w:pPr>
              <w:pStyle w:val="8"/>
              <w:adjustRightInd w:val="0"/>
              <w:spacing w:before="107"/>
              <w:rPr>
                <w:color w:val="auto"/>
                <w:highlight w:val="none"/>
              </w:rPr>
            </w:pPr>
            <w:r>
              <w:rPr>
                <w:color w:val="auto"/>
                <w:highlight w:val="none"/>
              </w:rPr>
              <w:t>1）总有效容积8000m</w:t>
            </w:r>
            <w:r>
              <w:rPr>
                <w:color w:val="auto"/>
                <w:highlight w:val="none"/>
                <w:vertAlign w:val="superscript"/>
              </w:rPr>
              <w:t>3</w:t>
            </w:r>
            <w:r>
              <w:rPr>
                <w:color w:val="auto"/>
                <w:highlight w:val="none"/>
              </w:rPr>
              <w:t>，初步考虑分4格</w:t>
            </w:r>
            <w:r>
              <w:rPr>
                <w:rFonts w:hint="eastAsia"/>
                <w:color w:val="auto"/>
                <w:highlight w:val="none"/>
              </w:rPr>
              <w:t>；</w:t>
            </w:r>
            <w:r>
              <w:rPr>
                <w:rFonts w:eastAsia="Times New Roman"/>
                <w:color w:val="auto"/>
                <w:spacing w:val="-1"/>
                <w:highlight w:val="none"/>
              </w:rPr>
              <w:t>2#</w:t>
            </w:r>
            <w:r>
              <w:rPr>
                <w:color w:val="auto"/>
                <w:spacing w:val="-1"/>
                <w:highlight w:val="none"/>
              </w:rPr>
              <w:t>调节池分为四格</w:t>
            </w:r>
            <w:r>
              <w:rPr>
                <w:color w:val="auto"/>
                <w:spacing w:val="-60"/>
                <w:w w:val="95"/>
                <w:highlight w:val="none"/>
              </w:rPr>
              <w:t>，</w:t>
            </w:r>
            <w:r>
              <w:rPr>
                <w:color w:val="auto"/>
                <w:spacing w:val="-2"/>
                <w:highlight w:val="none"/>
              </w:rPr>
              <w:t>相邻两个水池的顶部设</w:t>
            </w:r>
            <w:r>
              <w:rPr>
                <w:color w:val="auto"/>
                <w:spacing w:val="-7"/>
                <w:highlight w:val="none"/>
              </w:rPr>
              <w:t>有溢流孔。其中</w:t>
            </w:r>
            <w:r>
              <w:rPr>
                <w:rFonts w:hint="eastAsia"/>
                <w:color w:val="auto"/>
                <w:spacing w:val="-7"/>
                <w:highlight w:val="none"/>
                <w:lang w:val="en-US" w:eastAsia="zh-CN"/>
              </w:rPr>
              <w:t>三格</w:t>
            </w:r>
            <w:r>
              <w:rPr>
                <w:color w:val="auto"/>
                <w:spacing w:val="-8"/>
                <w:highlight w:val="none"/>
              </w:rPr>
              <w:t>在正常运行时根据液位控制倒换使用；</w:t>
            </w:r>
            <w:r>
              <w:rPr>
                <w:rFonts w:hint="eastAsia"/>
                <w:color w:val="auto"/>
                <w:spacing w:val="-4"/>
                <w:highlight w:val="none"/>
                <w:lang w:val="en-US" w:eastAsia="zh-CN"/>
              </w:rPr>
              <w:t>一格</w:t>
            </w:r>
            <w:r>
              <w:rPr>
                <w:color w:val="auto"/>
                <w:spacing w:val="-4"/>
                <w:highlight w:val="none"/>
              </w:rPr>
              <w:t>作为备用水池，接收不合格回流水、过滤器反洗水以及子项内的生产废水</w:t>
            </w:r>
            <w:r>
              <w:rPr>
                <w:color w:val="auto"/>
                <w:spacing w:val="-1"/>
                <w:highlight w:val="none"/>
              </w:rPr>
              <w:t>等。四格水池的出水管路汇成一根总的出水干管。</w:t>
            </w:r>
            <w:r>
              <w:rPr>
                <w:rFonts w:eastAsia="Times New Roman"/>
                <w:color w:val="auto"/>
                <w:spacing w:val="-3"/>
                <w:highlight w:val="none"/>
              </w:rPr>
              <w:t>2#</w:t>
            </w:r>
            <w:r>
              <w:rPr>
                <w:color w:val="auto"/>
                <w:spacing w:val="-3"/>
                <w:highlight w:val="none"/>
              </w:rPr>
              <w:t>调节池进水管设流量计及进水在线监测</w:t>
            </w:r>
            <w:r>
              <w:rPr>
                <w:color w:val="auto"/>
                <w:spacing w:val="-6"/>
                <w:highlight w:val="none"/>
              </w:rPr>
              <w:t>。其中，流量计</w:t>
            </w:r>
            <w:r>
              <w:rPr>
                <w:rFonts w:hint="eastAsia"/>
                <w:color w:val="auto"/>
                <w:spacing w:val="-6"/>
                <w:highlight w:val="none"/>
              </w:rPr>
              <w:t>置于</w:t>
            </w:r>
            <w:r>
              <w:rPr>
                <w:color w:val="auto"/>
                <w:spacing w:val="-6"/>
                <w:highlight w:val="none"/>
              </w:rPr>
              <w:t>流量监测井内。</w:t>
            </w:r>
            <w:r>
              <w:rPr>
                <w:rFonts w:eastAsia="Times New Roman"/>
                <w:color w:val="auto"/>
                <w:spacing w:val="-1"/>
                <w:position w:val="3"/>
                <w:highlight w:val="none"/>
              </w:rPr>
              <w:t>2#</w:t>
            </w:r>
            <w:r>
              <w:rPr>
                <w:color w:val="auto"/>
                <w:spacing w:val="-1"/>
                <w:position w:val="3"/>
                <w:highlight w:val="none"/>
              </w:rPr>
              <w:t>调节池循环管路上设</w:t>
            </w:r>
            <w:r>
              <w:rPr>
                <w:rFonts w:eastAsia="Times New Roman"/>
                <w:color w:val="auto"/>
                <w:spacing w:val="-1"/>
                <w:position w:val="3"/>
                <w:highlight w:val="none"/>
              </w:rPr>
              <w:t>pH</w:t>
            </w:r>
            <w:r>
              <w:rPr>
                <w:color w:val="auto"/>
                <w:spacing w:val="-1"/>
                <w:position w:val="3"/>
                <w:highlight w:val="none"/>
              </w:rPr>
              <w:t>值在线</w:t>
            </w:r>
            <w:r>
              <w:rPr>
                <w:rFonts w:hint="eastAsia"/>
                <w:color w:val="auto"/>
                <w:spacing w:val="-1"/>
                <w:position w:val="3"/>
                <w:highlight w:val="none"/>
              </w:rPr>
              <w:t>检测仪表</w:t>
            </w:r>
            <w:r>
              <w:rPr>
                <w:color w:val="auto"/>
                <w:spacing w:val="-1"/>
                <w:position w:val="3"/>
                <w:highlight w:val="none"/>
              </w:rPr>
              <w:t>。</w:t>
            </w:r>
            <w:r>
              <w:rPr>
                <w:rFonts w:eastAsia="Times New Roman"/>
                <w:color w:val="auto"/>
                <w:spacing w:val="-3"/>
                <w:highlight w:val="none"/>
              </w:rPr>
              <w:t>2#</w:t>
            </w:r>
            <w:r>
              <w:rPr>
                <w:color w:val="auto"/>
                <w:spacing w:val="-3"/>
                <w:highlight w:val="none"/>
              </w:rPr>
              <w:t>调节池每格分别设置液位计，均设置超高液位报警并关闭进水电动阀、低液位停泵。</w:t>
            </w:r>
          </w:p>
          <w:p>
            <w:pPr>
              <w:pStyle w:val="8"/>
              <w:rPr>
                <w:color w:val="auto"/>
                <w:highlight w:val="none"/>
              </w:rPr>
            </w:pPr>
            <w:r>
              <w:rPr>
                <w:color w:val="auto"/>
                <w:highlight w:val="none"/>
              </w:rPr>
              <w:t>2）水力停留时间</w:t>
            </w:r>
            <w:r>
              <w:rPr>
                <w:rFonts w:hint="eastAsia"/>
                <w:color w:val="auto"/>
                <w:highlight w:val="none"/>
              </w:rPr>
              <w:t>40</w:t>
            </w:r>
            <w:r>
              <w:rPr>
                <w:color w:val="auto"/>
                <w:highlight w:val="none"/>
              </w:rPr>
              <w:t>h；</w:t>
            </w:r>
          </w:p>
          <w:p>
            <w:pPr>
              <w:pStyle w:val="8"/>
              <w:rPr>
                <w:color w:val="auto"/>
                <w:highlight w:val="none"/>
              </w:rPr>
            </w:pPr>
            <w:r>
              <w:rPr>
                <w:color w:val="auto"/>
                <w:highlight w:val="none"/>
              </w:rPr>
              <w:t>3）潜水搅拌机，共12套，每格3套，4kW/套；</w:t>
            </w:r>
          </w:p>
          <w:p>
            <w:pPr>
              <w:pStyle w:val="8"/>
              <w:rPr>
                <w:color w:val="auto"/>
                <w:highlight w:val="none"/>
              </w:rPr>
            </w:pPr>
            <w:r>
              <w:rPr>
                <w:color w:val="auto"/>
                <w:highlight w:val="none"/>
              </w:rPr>
              <w:t>4）钢筋混凝土；</w:t>
            </w:r>
          </w:p>
          <w:p>
            <w:pPr>
              <w:pStyle w:val="8"/>
              <w:rPr>
                <w:color w:val="auto"/>
                <w:highlight w:val="none"/>
              </w:rPr>
            </w:pPr>
            <w:r>
              <w:rPr>
                <w:color w:val="auto"/>
                <w:highlight w:val="none"/>
              </w:rPr>
              <w:t>5）废水提升泵8台，每格2台，1用1备；每台Q=100m</w:t>
            </w:r>
            <w:r>
              <w:rPr>
                <w:color w:val="auto"/>
                <w:highlight w:val="none"/>
                <w:vertAlign w:val="superscript"/>
              </w:rPr>
              <w:t>3</w:t>
            </w:r>
            <w:r>
              <w:rPr>
                <w:color w:val="auto"/>
                <w:highlight w:val="none"/>
              </w:rPr>
              <w:t>/h，H=30m。</w:t>
            </w:r>
          </w:p>
          <w:p>
            <w:pPr>
              <w:pStyle w:val="8"/>
              <w:rPr>
                <w:color w:val="auto"/>
                <w:highlight w:val="none"/>
              </w:rPr>
            </w:pPr>
            <w:r>
              <w:rPr>
                <w:color w:val="auto"/>
                <w:highlight w:val="none"/>
              </w:rPr>
              <w:t>（2）pH调整池</w:t>
            </w:r>
          </w:p>
          <w:p>
            <w:pPr>
              <w:pStyle w:val="8"/>
              <w:rPr>
                <w:color w:val="auto"/>
                <w:highlight w:val="none"/>
              </w:rPr>
            </w:pPr>
            <w:r>
              <w:rPr>
                <w:color w:val="auto"/>
                <w:highlight w:val="none"/>
              </w:rPr>
              <w:t>根据来水水质加酸或者加碱调节废水pH值，为后续物化反应提供合适的pH值环境。</w:t>
            </w:r>
          </w:p>
          <w:p>
            <w:pPr>
              <w:pStyle w:val="8"/>
              <w:rPr>
                <w:color w:val="auto"/>
                <w:highlight w:val="none"/>
              </w:rPr>
            </w:pPr>
            <w:r>
              <w:rPr>
                <w:color w:val="auto"/>
                <w:highlight w:val="none"/>
              </w:rPr>
              <w:t>1）2组；每组有效容积25m</w:t>
            </w:r>
            <w:r>
              <w:rPr>
                <w:color w:val="auto"/>
                <w:highlight w:val="none"/>
                <w:vertAlign w:val="superscript"/>
              </w:rPr>
              <w:t>3</w:t>
            </w:r>
            <w:r>
              <w:rPr>
                <w:color w:val="auto"/>
                <w:highlight w:val="none"/>
              </w:rPr>
              <w:t>；</w:t>
            </w:r>
          </w:p>
          <w:p>
            <w:pPr>
              <w:pStyle w:val="8"/>
              <w:rPr>
                <w:color w:val="auto"/>
                <w:highlight w:val="none"/>
              </w:rPr>
            </w:pPr>
            <w:r>
              <w:rPr>
                <w:color w:val="auto"/>
                <w:highlight w:val="none"/>
              </w:rPr>
              <w:t>2）水力停留时间15min；</w:t>
            </w:r>
          </w:p>
          <w:p>
            <w:pPr>
              <w:pStyle w:val="8"/>
              <w:rPr>
                <w:color w:val="auto"/>
                <w:highlight w:val="none"/>
              </w:rPr>
            </w:pPr>
            <w:r>
              <w:rPr>
                <w:color w:val="auto"/>
                <w:highlight w:val="none"/>
              </w:rPr>
              <w:t>3）钢衬胶；</w:t>
            </w:r>
          </w:p>
          <w:p>
            <w:pPr>
              <w:pStyle w:val="8"/>
              <w:rPr>
                <w:color w:val="auto"/>
                <w:highlight w:val="none"/>
              </w:rPr>
            </w:pPr>
            <w:r>
              <w:rPr>
                <w:color w:val="auto"/>
                <w:highlight w:val="none"/>
              </w:rPr>
              <w:t>4）搅拌器，共2套，每组pH调整池各1套。</w:t>
            </w:r>
          </w:p>
          <w:p>
            <w:pPr>
              <w:pStyle w:val="8"/>
              <w:rPr>
                <w:color w:val="auto"/>
                <w:highlight w:val="none"/>
              </w:rPr>
            </w:pPr>
            <w:r>
              <w:rPr>
                <w:color w:val="auto"/>
                <w:highlight w:val="none"/>
              </w:rPr>
              <w:t>（3）混合池</w:t>
            </w:r>
          </w:p>
          <w:p>
            <w:pPr>
              <w:pStyle w:val="8"/>
              <w:rPr>
                <w:color w:val="auto"/>
                <w:highlight w:val="none"/>
              </w:rPr>
            </w:pPr>
            <w:r>
              <w:rPr>
                <w:color w:val="auto"/>
                <w:highlight w:val="none"/>
              </w:rPr>
              <w:t>通过向混合池中投加次氯酸钠，与COD、氨氮、石油类发生氧化还原反应，将其去除；向混合池中投加混凝剂与总磷发生化学沉淀反应，将磷酸盐变为不溶的小颗粒沉淀。</w:t>
            </w:r>
          </w:p>
          <w:p>
            <w:pPr>
              <w:pStyle w:val="8"/>
              <w:rPr>
                <w:color w:val="auto"/>
                <w:highlight w:val="none"/>
              </w:rPr>
            </w:pPr>
            <w:r>
              <w:rPr>
                <w:color w:val="auto"/>
                <w:highlight w:val="none"/>
              </w:rPr>
              <w:t>1）2组；每组有效容积25m</w:t>
            </w:r>
            <w:r>
              <w:rPr>
                <w:color w:val="auto"/>
                <w:highlight w:val="none"/>
                <w:vertAlign w:val="superscript"/>
              </w:rPr>
              <w:t>3</w:t>
            </w:r>
            <w:r>
              <w:rPr>
                <w:color w:val="auto"/>
                <w:highlight w:val="none"/>
              </w:rPr>
              <w:t>；</w:t>
            </w:r>
          </w:p>
          <w:p>
            <w:pPr>
              <w:pStyle w:val="8"/>
              <w:rPr>
                <w:color w:val="auto"/>
                <w:highlight w:val="none"/>
              </w:rPr>
            </w:pPr>
            <w:r>
              <w:rPr>
                <w:color w:val="auto"/>
                <w:highlight w:val="none"/>
              </w:rPr>
              <w:t>2）水力停留时间15min；</w:t>
            </w:r>
          </w:p>
          <w:p>
            <w:pPr>
              <w:pStyle w:val="8"/>
              <w:rPr>
                <w:color w:val="auto"/>
                <w:highlight w:val="none"/>
              </w:rPr>
            </w:pPr>
            <w:r>
              <w:rPr>
                <w:color w:val="auto"/>
                <w:highlight w:val="none"/>
              </w:rPr>
              <w:t>3）钢衬胶；</w:t>
            </w:r>
          </w:p>
          <w:p>
            <w:pPr>
              <w:pStyle w:val="8"/>
              <w:rPr>
                <w:color w:val="auto"/>
                <w:highlight w:val="none"/>
              </w:rPr>
            </w:pPr>
            <w:r>
              <w:rPr>
                <w:color w:val="auto"/>
                <w:highlight w:val="none"/>
              </w:rPr>
              <w:t>4）搅拌器，共2套，每台混合池各1套。</w:t>
            </w:r>
          </w:p>
          <w:p>
            <w:pPr>
              <w:pStyle w:val="8"/>
              <w:rPr>
                <w:color w:val="auto"/>
                <w:highlight w:val="none"/>
              </w:rPr>
            </w:pPr>
            <w:r>
              <w:rPr>
                <w:color w:val="auto"/>
                <w:highlight w:val="none"/>
              </w:rPr>
              <w:t>（4）反应池</w:t>
            </w:r>
          </w:p>
          <w:p>
            <w:pPr>
              <w:pStyle w:val="8"/>
              <w:rPr>
                <w:color w:val="auto"/>
                <w:highlight w:val="none"/>
              </w:rPr>
            </w:pPr>
            <w:r>
              <w:rPr>
                <w:color w:val="auto"/>
                <w:highlight w:val="none"/>
              </w:rPr>
              <w:t>通过向反应池中投加助凝剂，使小颗粒的沉淀逐渐形成大颗粒的胶体絮状体。</w:t>
            </w:r>
          </w:p>
          <w:p>
            <w:pPr>
              <w:pStyle w:val="8"/>
              <w:rPr>
                <w:color w:val="auto"/>
                <w:highlight w:val="none"/>
              </w:rPr>
            </w:pPr>
            <w:r>
              <w:rPr>
                <w:color w:val="auto"/>
                <w:highlight w:val="none"/>
              </w:rPr>
              <w:t>1）2组；每组有效容积25m</w:t>
            </w:r>
            <w:r>
              <w:rPr>
                <w:color w:val="auto"/>
                <w:highlight w:val="none"/>
                <w:vertAlign w:val="superscript"/>
              </w:rPr>
              <w:t>3</w:t>
            </w:r>
            <w:r>
              <w:rPr>
                <w:color w:val="auto"/>
                <w:highlight w:val="none"/>
              </w:rPr>
              <w:t>；</w:t>
            </w:r>
          </w:p>
          <w:p>
            <w:pPr>
              <w:pStyle w:val="8"/>
              <w:rPr>
                <w:color w:val="auto"/>
                <w:highlight w:val="none"/>
              </w:rPr>
            </w:pPr>
            <w:r>
              <w:rPr>
                <w:color w:val="auto"/>
                <w:highlight w:val="none"/>
              </w:rPr>
              <w:t>2）水力停留时间15min；</w:t>
            </w:r>
          </w:p>
          <w:p>
            <w:pPr>
              <w:pStyle w:val="8"/>
              <w:rPr>
                <w:color w:val="auto"/>
                <w:highlight w:val="none"/>
              </w:rPr>
            </w:pPr>
            <w:r>
              <w:rPr>
                <w:color w:val="auto"/>
                <w:highlight w:val="none"/>
              </w:rPr>
              <w:t>3）钢衬胶；</w:t>
            </w:r>
          </w:p>
          <w:p>
            <w:pPr>
              <w:pStyle w:val="8"/>
              <w:rPr>
                <w:color w:val="auto"/>
                <w:highlight w:val="none"/>
              </w:rPr>
            </w:pPr>
            <w:r>
              <w:rPr>
                <w:color w:val="auto"/>
                <w:highlight w:val="none"/>
              </w:rPr>
              <w:t>4）搅拌器，共2套，每台反应池各1套。</w:t>
            </w:r>
          </w:p>
          <w:p>
            <w:pPr>
              <w:pStyle w:val="8"/>
              <w:rPr>
                <w:color w:val="auto"/>
                <w:highlight w:val="none"/>
              </w:rPr>
            </w:pPr>
            <w:r>
              <w:rPr>
                <w:color w:val="auto"/>
                <w:highlight w:val="none"/>
              </w:rPr>
              <w:t>（5）浮沉池</w:t>
            </w:r>
          </w:p>
          <w:p>
            <w:pPr>
              <w:pStyle w:val="8"/>
              <w:rPr>
                <w:color w:val="auto"/>
                <w:highlight w:val="none"/>
              </w:rPr>
            </w:pPr>
            <w:r>
              <w:rPr>
                <w:color w:val="auto"/>
                <w:highlight w:val="none"/>
              </w:rPr>
              <w:t>在反应池中形成的胶体絮状体在浮沉池中通过气浮和沉淀作用而去除；当进水中石油类浓度较高时，亦可通过浮沉池去除废水中剩余的石油类物质。</w:t>
            </w:r>
          </w:p>
          <w:p>
            <w:pPr>
              <w:pStyle w:val="8"/>
              <w:rPr>
                <w:color w:val="auto"/>
                <w:highlight w:val="none"/>
              </w:rPr>
            </w:pPr>
            <w:r>
              <w:rPr>
                <w:color w:val="auto"/>
                <w:highlight w:val="none"/>
              </w:rPr>
              <w:t>1）2套，每套</w:t>
            </w:r>
            <w:r>
              <w:rPr>
                <w:rFonts w:hint="eastAsia"/>
                <w:color w:val="auto"/>
                <w:highlight w:val="none"/>
              </w:rPr>
              <w:t>最大</w:t>
            </w:r>
            <w:r>
              <w:rPr>
                <w:color w:val="auto"/>
                <w:highlight w:val="none"/>
              </w:rPr>
              <w:t>处理能力Q=100m</w:t>
            </w:r>
            <w:r>
              <w:rPr>
                <w:color w:val="auto"/>
                <w:highlight w:val="none"/>
                <w:vertAlign w:val="superscript"/>
              </w:rPr>
              <w:t>3</w:t>
            </w:r>
            <w:r>
              <w:rPr>
                <w:color w:val="auto"/>
                <w:highlight w:val="none"/>
              </w:rPr>
              <w:t>/h；</w:t>
            </w:r>
          </w:p>
          <w:p>
            <w:pPr>
              <w:pStyle w:val="8"/>
              <w:rPr>
                <w:color w:val="auto"/>
                <w:highlight w:val="none"/>
              </w:rPr>
            </w:pPr>
            <w:r>
              <w:rPr>
                <w:color w:val="auto"/>
                <w:highlight w:val="none"/>
              </w:rPr>
              <w:t>2）水力停留时间1.1h；</w:t>
            </w:r>
          </w:p>
          <w:p>
            <w:pPr>
              <w:pStyle w:val="8"/>
              <w:rPr>
                <w:color w:val="auto"/>
                <w:highlight w:val="none"/>
              </w:rPr>
            </w:pPr>
            <w:r>
              <w:rPr>
                <w:color w:val="auto"/>
                <w:highlight w:val="none"/>
              </w:rPr>
              <w:t>3）钢防腐。</w:t>
            </w:r>
          </w:p>
          <w:p>
            <w:pPr>
              <w:pStyle w:val="8"/>
              <w:rPr>
                <w:color w:val="auto"/>
                <w:highlight w:val="none"/>
              </w:rPr>
            </w:pPr>
            <w:r>
              <w:rPr>
                <w:color w:val="auto"/>
                <w:highlight w:val="none"/>
              </w:rPr>
              <w:t>（6）中间水池</w:t>
            </w:r>
          </w:p>
          <w:p>
            <w:pPr>
              <w:pStyle w:val="8"/>
              <w:rPr>
                <w:color w:val="auto"/>
                <w:highlight w:val="none"/>
              </w:rPr>
            </w:pPr>
            <w:r>
              <w:rPr>
                <w:color w:val="auto"/>
                <w:highlight w:val="none"/>
              </w:rPr>
              <w:t>浮沉池出水进入中间水池，经投加酸或碱、还原剂后使系统出水达到排放标准后排至清水池。当中间水池的其他水质控制项目不达标时，排至深度处理间进行深度处理。中间水</w:t>
            </w:r>
            <w:r>
              <w:rPr>
                <w:rFonts w:hint="eastAsia"/>
                <w:color w:val="auto"/>
                <w:highlight w:val="none"/>
              </w:rPr>
              <w:t>池</w:t>
            </w:r>
            <w:r>
              <w:rPr>
                <w:color w:val="auto"/>
                <w:highlight w:val="none"/>
              </w:rPr>
              <w:t>出口设置在线</w:t>
            </w:r>
            <w:r>
              <w:rPr>
                <w:rFonts w:hint="eastAsia"/>
                <w:color w:val="auto"/>
                <w:highlight w:val="none"/>
              </w:rPr>
              <w:t>检测仪表</w:t>
            </w:r>
            <w:r>
              <w:rPr>
                <w:color w:val="auto"/>
                <w:highlight w:val="none"/>
              </w:rPr>
              <w:t>。</w:t>
            </w:r>
          </w:p>
          <w:p>
            <w:pPr>
              <w:pStyle w:val="8"/>
              <w:rPr>
                <w:color w:val="auto"/>
                <w:highlight w:val="none"/>
              </w:rPr>
            </w:pPr>
            <w:r>
              <w:rPr>
                <w:color w:val="auto"/>
                <w:highlight w:val="none"/>
              </w:rPr>
              <w:t>1）有效容积</w:t>
            </w:r>
            <w:r>
              <w:rPr>
                <w:rFonts w:hint="eastAsia"/>
                <w:color w:val="auto"/>
                <w:highlight w:val="none"/>
                <w:lang w:eastAsia="zh"/>
              </w:rPr>
              <w:t>4</w:t>
            </w:r>
            <w:r>
              <w:rPr>
                <w:color w:val="auto"/>
                <w:highlight w:val="none"/>
              </w:rPr>
              <w:t>00m</w:t>
            </w:r>
            <w:r>
              <w:rPr>
                <w:color w:val="auto"/>
                <w:highlight w:val="none"/>
                <w:vertAlign w:val="superscript"/>
              </w:rPr>
              <w:t>3</w:t>
            </w:r>
            <w:r>
              <w:rPr>
                <w:color w:val="auto"/>
                <w:highlight w:val="none"/>
              </w:rPr>
              <w:t>；</w:t>
            </w:r>
          </w:p>
          <w:p>
            <w:pPr>
              <w:pStyle w:val="8"/>
              <w:rPr>
                <w:color w:val="auto"/>
                <w:highlight w:val="none"/>
              </w:rPr>
            </w:pPr>
            <w:r>
              <w:rPr>
                <w:color w:val="auto"/>
                <w:highlight w:val="none"/>
              </w:rPr>
              <w:t>2）水力停留时间</w:t>
            </w:r>
            <w:r>
              <w:rPr>
                <w:rFonts w:hint="eastAsia"/>
                <w:color w:val="auto"/>
                <w:highlight w:val="none"/>
              </w:rPr>
              <w:t>2</w:t>
            </w:r>
            <w:r>
              <w:rPr>
                <w:color w:val="auto"/>
                <w:highlight w:val="none"/>
              </w:rPr>
              <w:t>h；</w:t>
            </w:r>
          </w:p>
          <w:p>
            <w:pPr>
              <w:pStyle w:val="8"/>
              <w:rPr>
                <w:color w:val="auto"/>
                <w:highlight w:val="none"/>
              </w:rPr>
            </w:pPr>
            <w:r>
              <w:rPr>
                <w:color w:val="auto"/>
                <w:highlight w:val="none"/>
              </w:rPr>
              <w:t>3）钢筋混凝土；</w:t>
            </w:r>
          </w:p>
          <w:p>
            <w:pPr>
              <w:pStyle w:val="8"/>
              <w:rPr>
                <w:color w:val="auto"/>
                <w:highlight w:val="none"/>
              </w:rPr>
            </w:pPr>
            <w:r>
              <w:rPr>
                <w:color w:val="auto"/>
                <w:highlight w:val="none"/>
              </w:rPr>
              <w:t>4）搅拌器，共</w:t>
            </w:r>
            <w:r>
              <w:rPr>
                <w:rFonts w:hint="eastAsia"/>
                <w:color w:val="auto"/>
                <w:highlight w:val="none"/>
              </w:rPr>
              <w:t>4</w:t>
            </w:r>
            <w:r>
              <w:rPr>
                <w:color w:val="auto"/>
                <w:highlight w:val="none"/>
              </w:rPr>
              <w:t>套，每座中间水池各</w:t>
            </w:r>
            <w:r>
              <w:rPr>
                <w:rFonts w:hint="eastAsia"/>
                <w:color w:val="auto"/>
                <w:highlight w:val="none"/>
              </w:rPr>
              <w:t>2</w:t>
            </w:r>
            <w:r>
              <w:rPr>
                <w:color w:val="auto"/>
                <w:highlight w:val="none"/>
              </w:rPr>
              <w:t>套；</w:t>
            </w:r>
          </w:p>
          <w:p>
            <w:pPr>
              <w:pStyle w:val="8"/>
              <w:rPr>
                <w:color w:val="auto"/>
                <w:highlight w:val="none"/>
              </w:rPr>
            </w:pPr>
            <w:r>
              <w:rPr>
                <w:color w:val="auto"/>
                <w:highlight w:val="none"/>
              </w:rPr>
              <w:t>5）中间水泵3台，2用1备；每台Q=100m</w:t>
            </w:r>
            <w:r>
              <w:rPr>
                <w:rFonts w:hint="eastAsia"/>
                <w:color w:val="auto"/>
                <w:highlight w:val="none"/>
                <w:vertAlign w:val="superscript"/>
              </w:rPr>
              <w:t>3</w:t>
            </w:r>
            <w:r>
              <w:rPr>
                <w:color w:val="auto"/>
                <w:highlight w:val="none"/>
              </w:rPr>
              <w:t>/h，H=50m。</w:t>
            </w:r>
          </w:p>
          <w:p>
            <w:pPr>
              <w:pStyle w:val="8"/>
              <w:rPr>
                <w:color w:val="auto"/>
                <w:highlight w:val="none"/>
              </w:rPr>
            </w:pPr>
            <w:r>
              <w:rPr>
                <w:color w:val="auto"/>
                <w:highlight w:val="none"/>
              </w:rPr>
              <w:t>（7）深度处</w:t>
            </w:r>
            <w:r>
              <w:rPr>
                <w:rFonts w:hint="eastAsia"/>
                <w:color w:val="auto"/>
                <w:highlight w:val="none"/>
              </w:rPr>
              <w:t>理系统</w:t>
            </w:r>
          </w:p>
          <w:p>
            <w:pPr>
              <w:pStyle w:val="8"/>
              <w:rPr>
                <w:color w:val="auto"/>
                <w:highlight w:val="none"/>
              </w:rPr>
            </w:pPr>
            <w:r>
              <w:rPr>
                <w:color w:val="auto"/>
                <w:highlight w:val="none"/>
              </w:rPr>
              <w:t>多介质过滤器：共3套，</w:t>
            </w:r>
            <w:r>
              <w:rPr>
                <w:rFonts w:hint="eastAsia"/>
                <w:color w:val="auto"/>
                <w:highlight w:val="none"/>
              </w:rPr>
              <w:t>2用1备</w:t>
            </w:r>
            <w:r>
              <w:rPr>
                <w:color w:val="auto"/>
                <w:highlight w:val="none"/>
              </w:rPr>
              <w:t>，每套</w:t>
            </w:r>
            <w:r>
              <w:rPr>
                <w:rFonts w:hint="eastAsia"/>
                <w:color w:val="auto"/>
                <w:highlight w:val="none"/>
              </w:rPr>
              <w:t>最大</w:t>
            </w:r>
            <w:r>
              <w:rPr>
                <w:color w:val="auto"/>
                <w:highlight w:val="none"/>
              </w:rPr>
              <w:t>出力100m3/h，</w:t>
            </w:r>
            <w:r>
              <w:rPr>
                <w:rFonts w:hint="eastAsia"/>
                <w:color w:val="auto"/>
                <w:highlight w:val="none"/>
              </w:rPr>
              <w:t>DN3200，</w:t>
            </w:r>
            <w:r>
              <w:rPr>
                <w:color w:val="auto"/>
                <w:highlight w:val="none"/>
              </w:rPr>
              <w:t>钢衬胶，</w:t>
            </w:r>
            <w:r>
              <w:rPr>
                <w:rFonts w:hint="eastAsia"/>
                <w:color w:val="auto"/>
                <w:highlight w:val="none"/>
              </w:rPr>
              <w:t>石英砂800mm，无烟煤400mm，反洗膨胀率50%，</w:t>
            </w:r>
            <w:r>
              <w:rPr>
                <w:color w:val="auto"/>
                <w:highlight w:val="none"/>
              </w:rPr>
              <w:t>置于深度处理间；</w:t>
            </w:r>
          </w:p>
          <w:p>
            <w:pPr>
              <w:pStyle w:val="8"/>
              <w:rPr>
                <w:color w:val="auto"/>
                <w:highlight w:val="none"/>
              </w:rPr>
            </w:pPr>
            <w:r>
              <w:rPr>
                <w:color w:val="auto"/>
                <w:highlight w:val="none"/>
              </w:rPr>
              <w:t>活性炭过滤器：共3套，</w:t>
            </w:r>
            <w:r>
              <w:rPr>
                <w:rFonts w:hint="eastAsia"/>
                <w:color w:val="auto"/>
                <w:highlight w:val="none"/>
              </w:rPr>
              <w:t>2用1备</w:t>
            </w:r>
            <w:r>
              <w:rPr>
                <w:color w:val="auto"/>
                <w:highlight w:val="none"/>
              </w:rPr>
              <w:t>，每套</w:t>
            </w:r>
            <w:r>
              <w:rPr>
                <w:rFonts w:hint="eastAsia"/>
                <w:color w:val="auto"/>
                <w:highlight w:val="none"/>
              </w:rPr>
              <w:t>最大</w:t>
            </w:r>
            <w:r>
              <w:rPr>
                <w:color w:val="auto"/>
                <w:highlight w:val="none"/>
              </w:rPr>
              <w:t>出力100m</w:t>
            </w:r>
            <w:r>
              <w:rPr>
                <w:color w:val="auto"/>
                <w:highlight w:val="none"/>
                <w:vertAlign w:val="superscript"/>
              </w:rPr>
              <w:t>3</w:t>
            </w:r>
            <w:r>
              <w:rPr>
                <w:color w:val="auto"/>
                <w:highlight w:val="none"/>
              </w:rPr>
              <w:t>/h，</w:t>
            </w:r>
            <w:r>
              <w:rPr>
                <w:rFonts w:hint="eastAsia"/>
                <w:color w:val="auto"/>
                <w:highlight w:val="none"/>
              </w:rPr>
              <w:t>DN3600，钢衬胶；果壳活性炭2000mm，反洗膨胀率50%，</w:t>
            </w:r>
            <w:r>
              <w:rPr>
                <w:color w:val="auto"/>
                <w:highlight w:val="none"/>
              </w:rPr>
              <w:t>置于深度处理间；</w:t>
            </w:r>
          </w:p>
          <w:p>
            <w:pPr>
              <w:pStyle w:val="8"/>
              <w:rPr>
                <w:color w:val="auto"/>
                <w:highlight w:val="none"/>
              </w:rPr>
            </w:pPr>
            <w:r>
              <w:rPr>
                <w:color w:val="auto"/>
                <w:highlight w:val="none"/>
              </w:rPr>
              <w:t>过滤器反洗风机：</w:t>
            </w:r>
            <w:r>
              <w:rPr>
                <w:rFonts w:hint="eastAsia"/>
                <w:color w:val="auto"/>
                <w:highlight w:val="none"/>
              </w:rPr>
              <w:t>2条工艺路线共用</w:t>
            </w:r>
            <w:r>
              <w:rPr>
                <w:color w:val="auto"/>
                <w:highlight w:val="none"/>
              </w:rPr>
              <w:t>。</w:t>
            </w:r>
          </w:p>
          <w:p>
            <w:pPr>
              <w:pStyle w:val="8"/>
              <w:rPr>
                <w:color w:val="auto"/>
                <w:highlight w:val="none"/>
              </w:rPr>
            </w:pPr>
            <w:r>
              <w:rPr>
                <w:rFonts w:hint="eastAsia"/>
                <w:color w:val="auto"/>
                <w:highlight w:val="none"/>
              </w:rPr>
              <w:t>过滤器</w:t>
            </w:r>
            <w:r>
              <w:rPr>
                <w:color w:val="auto"/>
                <w:highlight w:val="none"/>
              </w:rPr>
              <w:t>反洗水泵：</w:t>
            </w:r>
            <w:r>
              <w:rPr>
                <w:rFonts w:hint="eastAsia"/>
                <w:color w:val="auto"/>
                <w:highlight w:val="none"/>
              </w:rPr>
              <w:t>2条工艺路线共用</w:t>
            </w:r>
            <w:r>
              <w:rPr>
                <w:color w:val="auto"/>
                <w:highlight w:val="none"/>
              </w:rPr>
              <w:t>。</w:t>
            </w:r>
          </w:p>
          <w:p>
            <w:pPr>
              <w:pStyle w:val="8"/>
              <w:rPr>
                <w:color w:val="auto"/>
                <w:highlight w:val="none"/>
              </w:rPr>
            </w:pPr>
            <w:r>
              <w:rPr>
                <w:color w:val="auto"/>
                <w:highlight w:val="none"/>
              </w:rPr>
              <w:t>（8）污泥池</w:t>
            </w:r>
          </w:p>
          <w:p>
            <w:pPr>
              <w:pStyle w:val="8"/>
              <w:rPr>
                <w:color w:val="auto"/>
                <w:highlight w:val="none"/>
              </w:rPr>
            </w:pPr>
            <w:r>
              <w:rPr>
                <w:color w:val="auto"/>
                <w:highlight w:val="none"/>
              </w:rPr>
              <w:t>浮沉池沉淀下来的污泥经重力流管道排至污泥池。</w:t>
            </w:r>
          </w:p>
          <w:p>
            <w:pPr>
              <w:pStyle w:val="8"/>
              <w:rPr>
                <w:color w:val="auto"/>
                <w:highlight w:val="none"/>
              </w:rPr>
            </w:pPr>
            <w:r>
              <w:rPr>
                <w:color w:val="auto"/>
                <w:highlight w:val="none"/>
              </w:rPr>
              <w:t>1）2座，有效容积100m</w:t>
            </w:r>
            <w:r>
              <w:rPr>
                <w:color w:val="auto"/>
                <w:highlight w:val="none"/>
                <w:vertAlign w:val="superscript"/>
              </w:rPr>
              <w:t>3</w:t>
            </w:r>
            <w:r>
              <w:rPr>
                <w:color w:val="auto"/>
                <w:highlight w:val="none"/>
              </w:rPr>
              <w:t>；</w:t>
            </w:r>
          </w:p>
          <w:p>
            <w:pPr>
              <w:pStyle w:val="8"/>
              <w:rPr>
                <w:color w:val="auto"/>
                <w:highlight w:val="none"/>
              </w:rPr>
            </w:pPr>
            <w:r>
              <w:rPr>
                <w:color w:val="auto"/>
                <w:highlight w:val="none"/>
              </w:rPr>
              <w:t>2）总水力停留时间</w:t>
            </w:r>
            <w:r>
              <w:rPr>
                <w:rFonts w:hint="eastAsia"/>
                <w:color w:val="auto"/>
                <w:highlight w:val="none"/>
              </w:rPr>
              <w:t>40</w:t>
            </w:r>
            <w:r>
              <w:rPr>
                <w:color w:val="auto"/>
                <w:highlight w:val="none"/>
              </w:rPr>
              <w:t>h；</w:t>
            </w:r>
          </w:p>
          <w:p>
            <w:pPr>
              <w:pStyle w:val="8"/>
              <w:rPr>
                <w:color w:val="auto"/>
                <w:highlight w:val="none"/>
              </w:rPr>
            </w:pPr>
            <w:r>
              <w:rPr>
                <w:color w:val="auto"/>
                <w:highlight w:val="none"/>
              </w:rPr>
              <w:t>3）钢筋混凝土；</w:t>
            </w:r>
          </w:p>
          <w:p>
            <w:pPr>
              <w:pStyle w:val="8"/>
              <w:rPr>
                <w:color w:val="auto"/>
                <w:highlight w:val="none"/>
              </w:rPr>
            </w:pPr>
            <w:r>
              <w:rPr>
                <w:color w:val="auto"/>
                <w:highlight w:val="none"/>
              </w:rPr>
              <w:t>4）搅拌器，2套；</w:t>
            </w:r>
          </w:p>
          <w:p>
            <w:pPr>
              <w:pStyle w:val="8"/>
              <w:rPr>
                <w:color w:val="auto"/>
                <w:highlight w:val="none"/>
              </w:rPr>
            </w:pPr>
            <w:r>
              <w:rPr>
                <w:color w:val="auto"/>
                <w:highlight w:val="none"/>
              </w:rPr>
              <w:t>5）泥水输送泵3台，2用1备；每台Q=6m</w:t>
            </w:r>
            <w:r>
              <w:rPr>
                <w:color w:val="auto"/>
                <w:highlight w:val="none"/>
                <w:vertAlign w:val="superscript"/>
              </w:rPr>
              <w:t>3</w:t>
            </w:r>
            <w:r>
              <w:rPr>
                <w:color w:val="auto"/>
                <w:highlight w:val="none"/>
              </w:rPr>
              <w:t>/h，H=25m。</w:t>
            </w:r>
          </w:p>
          <w:p>
            <w:pPr>
              <w:pStyle w:val="8"/>
              <w:rPr>
                <w:color w:val="auto"/>
                <w:highlight w:val="none"/>
              </w:rPr>
            </w:pPr>
            <w:r>
              <w:rPr>
                <w:color w:val="auto"/>
                <w:highlight w:val="none"/>
              </w:rPr>
              <w:t>（9）污泥浓缩池</w:t>
            </w:r>
          </w:p>
          <w:p>
            <w:pPr>
              <w:pStyle w:val="8"/>
              <w:rPr>
                <w:color w:val="auto"/>
                <w:highlight w:val="none"/>
              </w:rPr>
            </w:pPr>
            <w:r>
              <w:rPr>
                <w:color w:val="auto"/>
                <w:highlight w:val="none"/>
              </w:rPr>
              <w:t>污泥池中的污泥经泥水输送泵提升，通过管道混合器投加助凝剂调理后进入污泥浓缩池进行污泥浓缩。</w:t>
            </w:r>
          </w:p>
          <w:p>
            <w:pPr>
              <w:pStyle w:val="8"/>
              <w:rPr>
                <w:color w:val="auto"/>
                <w:highlight w:val="none"/>
              </w:rPr>
            </w:pPr>
            <w:r>
              <w:rPr>
                <w:color w:val="auto"/>
                <w:highlight w:val="none"/>
              </w:rPr>
              <w:t>1）2套，每套有效容积40m</w:t>
            </w:r>
            <w:r>
              <w:rPr>
                <w:color w:val="auto"/>
                <w:highlight w:val="none"/>
                <w:vertAlign w:val="superscript"/>
              </w:rPr>
              <w:t>3</w:t>
            </w:r>
            <w:r>
              <w:rPr>
                <w:color w:val="auto"/>
                <w:highlight w:val="none"/>
              </w:rPr>
              <w:t>；</w:t>
            </w:r>
          </w:p>
          <w:p>
            <w:pPr>
              <w:pStyle w:val="8"/>
              <w:rPr>
                <w:color w:val="auto"/>
                <w:highlight w:val="none"/>
              </w:rPr>
            </w:pPr>
            <w:r>
              <w:rPr>
                <w:color w:val="auto"/>
                <w:highlight w:val="none"/>
              </w:rPr>
              <w:t>2）污泥负荷4.78kgDS/（m</w:t>
            </w:r>
            <w:r>
              <w:rPr>
                <w:color w:val="auto"/>
                <w:highlight w:val="none"/>
                <w:vertAlign w:val="superscript"/>
              </w:rPr>
              <w:t>2</w:t>
            </w:r>
            <w:r>
              <w:rPr>
                <w:color w:val="auto"/>
                <w:highlight w:val="none"/>
              </w:rPr>
              <w:t>•h）</w:t>
            </w:r>
          </w:p>
          <w:p>
            <w:pPr>
              <w:pStyle w:val="8"/>
              <w:rPr>
                <w:color w:val="auto"/>
                <w:highlight w:val="none"/>
              </w:rPr>
            </w:pPr>
            <w:r>
              <w:rPr>
                <w:color w:val="auto"/>
                <w:highlight w:val="none"/>
              </w:rPr>
              <w:t>3）钢防腐；</w:t>
            </w:r>
          </w:p>
          <w:p>
            <w:pPr>
              <w:pStyle w:val="8"/>
              <w:rPr>
                <w:color w:val="auto"/>
                <w:highlight w:val="none"/>
              </w:rPr>
            </w:pPr>
            <w:r>
              <w:rPr>
                <w:color w:val="auto"/>
                <w:highlight w:val="none"/>
              </w:rPr>
              <w:t>4）浓缩机，2套；</w:t>
            </w:r>
          </w:p>
          <w:p>
            <w:pPr>
              <w:pStyle w:val="8"/>
              <w:rPr>
                <w:color w:val="auto"/>
                <w:highlight w:val="none"/>
              </w:rPr>
            </w:pPr>
            <w:r>
              <w:rPr>
                <w:color w:val="auto"/>
                <w:highlight w:val="none"/>
              </w:rPr>
              <w:t>5）管道混合器2套；</w:t>
            </w:r>
          </w:p>
          <w:p>
            <w:pPr>
              <w:pStyle w:val="8"/>
              <w:rPr>
                <w:color w:val="auto"/>
                <w:highlight w:val="none"/>
              </w:rPr>
            </w:pPr>
            <w:r>
              <w:rPr>
                <w:color w:val="auto"/>
                <w:highlight w:val="none"/>
              </w:rPr>
              <w:t>6）泥浆输送泵2台，1用1备；每台Q=18m</w:t>
            </w:r>
            <w:r>
              <w:rPr>
                <w:color w:val="auto"/>
                <w:highlight w:val="none"/>
                <w:vertAlign w:val="superscript"/>
              </w:rPr>
              <w:t>3</w:t>
            </w:r>
            <w:r>
              <w:rPr>
                <w:color w:val="auto"/>
                <w:highlight w:val="none"/>
              </w:rPr>
              <w:t>/h，H=80m。</w:t>
            </w:r>
          </w:p>
          <w:p>
            <w:pPr>
              <w:pStyle w:val="8"/>
              <w:rPr>
                <w:color w:val="auto"/>
                <w:highlight w:val="none"/>
              </w:rPr>
            </w:pPr>
            <w:r>
              <w:rPr>
                <w:color w:val="auto"/>
                <w:highlight w:val="none"/>
              </w:rPr>
              <w:t>（10）污泥脱水间</w:t>
            </w:r>
          </w:p>
          <w:p>
            <w:pPr>
              <w:pStyle w:val="8"/>
              <w:rPr>
                <w:color w:val="auto"/>
                <w:highlight w:val="none"/>
              </w:rPr>
            </w:pPr>
            <w:r>
              <w:rPr>
                <w:color w:val="auto"/>
                <w:highlight w:val="none"/>
              </w:rPr>
              <w:t>经浓缩后的污泥进入</w:t>
            </w:r>
            <w:r>
              <w:rPr>
                <w:rFonts w:hint="eastAsia"/>
                <w:color w:val="auto"/>
                <w:highlight w:val="none"/>
              </w:rPr>
              <w:t>高压板框压滤</w:t>
            </w:r>
            <w:r>
              <w:rPr>
                <w:color w:val="auto"/>
                <w:highlight w:val="none"/>
              </w:rPr>
              <w:t>机，经压榨脱水得到较干的泥饼后外运处置。</w:t>
            </w:r>
          </w:p>
          <w:p>
            <w:pPr>
              <w:pStyle w:val="8"/>
              <w:rPr>
                <w:color w:val="auto"/>
                <w:highlight w:val="none"/>
              </w:rPr>
            </w:pPr>
            <w:r>
              <w:rPr>
                <w:color w:val="auto"/>
                <w:highlight w:val="none"/>
              </w:rPr>
              <w:t>1）</w:t>
            </w:r>
            <w:r>
              <w:rPr>
                <w:rFonts w:hint="eastAsia"/>
                <w:color w:val="auto"/>
                <w:highlight w:val="none"/>
              </w:rPr>
              <w:t>高压板框压滤</w:t>
            </w:r>
            <w:r>
              <w:rPr>
                <w:color w:val="auto"/>
                <w:highlight w:val="none"/>
              </w:rPr>
              <w:t>机2套，每套压滤面积50m</w:t>
            </w:r>
            <w:r>
              <w:rPr>
                <w:color w:val="auto"/>
                <w:highlight w:val="none"/>
                <w:vertAlign w:val="superscript"/>
              </w:rPr>
              <w:t>2</w:t>
            </w:r>
            <w:r>
              <w:rPr>
                <w:color w:val="auto"/>
                <w:highlight w:val="none"/>
              </w:rPr>
              <w:t>；</w:t>
            </w:r>
          </w:p>
          <w:p>
            <w:pPr>
              <w:pStyle w:val="8"/>
              <w:rPr>
                <w:color w:val="auto"/>
                <w:highlight w:val="none"/>
              </w:rPr>
            </w:pPr>
            <w:r>
              <w:rPr>
                <w:color w:val="auto"/>
                <w:highlight w:val="none"/>
              </w:rPr>
              <w:t>2）压榨水箱1套，有效容积3m³,PE。</w:t>
            </w:r>
          </w:p>
          <w:p>
            <w:pPr>
              <w:pStyle w:val="8"/>
              <w:rPr>
                <w:color w:val="auto"/>
                <w:highlight w:val="none"/>
              </w:rPr>
            </w:pPr>
            <w:r>
              <w:rPr>
                <w:color w:val="auto"/>
                <w:highlight w:val="none"/>
              </w:rPr>
              <w:t>3）压榨水泵2台，1用1备；每台Q=5m</w:t>
            </w:r>
            <w:r>
              <w:rPr>
                <w:color w:val="auto"/>
                <w:highlight w:val="none"/>
                <w:vertAlign w:val="superscript"/>
              </w:rPr>
              <w:t>3</w:t>
            </w:r>
            <w:r>
              <w:rPr>
                <w:color w:val="auto"/>
                <w:highlight w:val="none"/>
              </w:rPr>
              <w:t>/h，H=180m，过流部件06Cr19Ni10；</w:t>
            </w:r>
          </w:p>
          <w:p>
            <w:pPr>
              <w:pStyle w:val="8"/>
              <w:rPr>
                <w:color w:val="auto"/>
                <w:highlight w:val="none"/>
              </w:rPr>
            </w:pPr>
            <w:r>
              <w:rPr>
                <w:color w:val="auto"/>
                <w:highlight w:val="none"/>
              </w:rPr>
              <w:t>4）反冲洗水箱1套，有效容积3m</w:t>
            </w:r>
            <w:r>
              <w:rPr>
                <w:color w:val="auto"/>
                <w:highlight w:val="none"/>
                <w:vertAlign w:val="superscript"/>
              </w:rPr>
              <w:t>3</w:t>
            </w:r>
            <w:r>
              <w:rPr>
                <w:color w:val="auto"/>
                <w:highlight w:val="none"/>
              </w:rPr>
              <w:t>，PE。</w:t>
            </w:r>
          </w:p>
          <w:p>
            <w:pPr>
              <w:pStyle w:val="8"/>
              <w:rPr>
                <w:color w:val="auto"/>
                <w:highlight w:val="none"/>
              </w:rPr>
            </w:pPr>
            <w:r>
              <w:rPr>
                <w:color w:val="auto"/>
                <w:highlight w:val="none"/>
              </w:rPr>
              <w:t>5）反冲洗水泵4台，每台Q=10m</w:t>
            </w:r>
            <w:r>
              <w:rPr>
                <w:color w:val="auto"/>
                <w:highlight w:val="none"/>
                <w:vertAlign w:val="superscript"/>
              </w:rPr>
              <w:t>3</w:t>
            </w:r>
            <w:r>
              <w:rPr>
                <w:color w:val="auto"/>
                <w:highlight w:val="none"/>
              </w:rPr>
              <w:t>/h，H=20</w:t>
            </w:r>
            <w:r>
              <w:rPr>
                <w:rFonts w:hint="eastAsia"/>
                <w:color w:val="auto"/>
                <w:highlight w:val="none"/>
              </w:rPr>
              <w:t>1</w:t>
            </w:r>
            <w:r>
              <w:rPr>
                <w:color w:val="auto"/>
                <w:highlight w:val="none"/>
              </w:rPr>
              <w:t>m，过流部件06Cr19Ni10；</w:t>
            </w:r>
          </w:p>
          <w:p>
            <w:pPr>
              <w:pStyle w:val="8"/>
              <w:rPr>
                <w:color w:val="auto"/>
                <w:highlight w:val="none"/>
              </w:rPr>
            </w:pPr>
            <w:r>
              <w:rPr>
                <w:color w:val="auto"/>
                <w:highlight w:val="none"/>
              </w:rPr>
              <w:t>6）压缩空气系统：1套，含空压机、压缩空气储罐及相关仪表等。</w:t>
            </w:r>
          </w:p>
          <w:p>
            <w:pPr>
              <w:pStyle w:val="8"/>
              <w:rPr>
                <w:color w:val="auto"/>
                <w:highlight w:val="none"/>
              </w:rPr>
            </w:pPr>
            <w:r>
              <w:rPr>
                <w:color w:val="auto"/>
                <w:highlight w:val="none"/>
              </w:rPr>
              <w:t>（11）水泵间</w:t>
            </w:r>
          </w:p>
          <w:p>
            <w:pPr>
              <w:pStyle w:val="8"/>
              <w:rPr>
                <w:color w:val="auto"/>
                <w:highlight w:val="none"/>
              </w:rPr>
            </w:pPr>
            <w:r>
              <w:rPr>
                <w:color w:val="auto"/>
                <w:highlight w:val="none"/>
              </w:rPr>
              <w:t>除潜污泵、泥浆输送泵和污泥脱水用压榨水泵和反冲洗水泵外，其他水泵均位于水泵间内。包含：中间水泵（共3台，2用1备）、泥水输送泵（共3台，2用1备）、清水泵（</w:t>
            </w:r>
            <w:r>
              <w:rPr>
                <w:rFonts w:hint="eastAsia"/>
                <w:color w:val="auto"/>
                <w:highlight w:val="none"/>
                <w:lang w:eastAsia="zh"/>
              </w:rPr>
              <w:t>4</w:t>
            </w:r>
            <w:r>
              <w:rPr>
                <w:color w:val="auto"/>
                <w:highlight w:val="none"/>
              </w:rPr>
              <w:t>台，</w:t>
            </w:r>
            <w:r>
              <w:rPr>
                <w:rFonts w:hint="eastAsia"/>
                <w:color w:val="auto"/>
                <w:highlight w:val="none"/>
                <w:lang w:eastAsia="zh"/>
              </w:rPr>
              <w:t>2</w:t>
            </w:r>
            <w:r>
              <w:rPr>
                <w:color w:val="auto"/>
                <w:highlight w:val="none"/>
              </w:rPr>
              <w:t>用</w:t>
            </w:r>
            <w:r>
              <w:rPr>
                <w:rFonts w:hint="eastAsia"/>
                <w:color w:val="auto"/>
                <w:highlight w:val="none"/>
                <w:lang w:eastAsia="zh"/>
              </w:rPr>
              <w:t>2</w:t>
            </w:r>
            <w:r>
              <w:rPr>
                <w:color w:val="auto"/>
                <w:highlight w:val="none"/>
              </w:rPr>
              <w:t>备）、过滤器反洗水泵（</w:t>
            </w:r>
            <w:r>
              <w:rPr>
                <w:rFonts w:hint="eastAsia"/>
                <w:color w:val="auto"/>
                <w:highlight w:val="none"/>
                <w:lang w:eastAsia="zh"/>
              </w:rPr>
              <w:t>2</w:t>
            </w:r>
            <w:r>
              <w:rPr>
                <w:color w:val="auto"/>
                <w:highlight w:val="none"/>
              </w:rPr>
              <w:t>台，</w:t>
            </w:r>
            <w:r>
              <w:rPr>
                <w:rFonts w:hint="eastAsia"/>
                <w:color w:val="auto"/>
                <w:highlight w:val="none"/>
                <w:lang w:eastAsia="zh"/>
              </w:rPr>
              <w:t>1</w:t>
            </w:r>
            <w:r>
              <w:rPr>
                <w:color w:val="auto"/>
                <w:highlight w:val="none"/>
              </w:rPr>
              <w:t>用1备），共11台。详见附表1。</w:t>
            </w:r>
          </w:p>
          <w:p>
            <w:pPr>
              <w:pStyle w:val="8"/>
              <w:rPr>
                <w:color w:val="auto"/>
                <w:highlight w:val="none"/>
              </w:rPr>
            </w:pPr>
            <w:r>
              <w:rPr>
                <w:color w:val="auto"/>
                <w:highlight w:val="none"/>
              </w:rPr>
              <w:t>水泵间为半地下结构，在0.00m层设有检修平台，经楼梯可通往地下。水泵间梁底设有单轨吊车，设</w:t>
            </w:r>
            <w:r>
              <w:rPr>
                <w:rFonts w:hint="eastAsia"/>
                <w:color w:val="auto"/>
                <w:highlight w:val="none"/>
              </w:rPr>
              <w:t>5</w:t>
            </w:r>
            <w:r>
              <w:rPr>
                <w:color w:val="auto"/>
                <w:highlight w:val="none"/>
              </w:rPr>
              <w:t>t的电葫芦一部。</w:t>
            </w:r>
          </w:p>
          <w:p>
            <w:pPr>
              <w:pStyle w:val="8"/>
              <w:rPr>
                <w:color w:val="auto"/>
                <w:highlight w:val="none"/>
              </w:rPr>
            </w:pPr>
            <w:r>
              <w:rPr>
                <w:color w:val="auto"/>
                <w:highlight w:val="none"/>
              </w:rPr>
              <w:t>（12）加药系统</w:t>
            </w:r>
          </w:p>
          <w:p>
            <w:pPr>
              <w:pStyle w:val="8"/>
              <w:rPr>
                <w:color w:val="auto"/>
                <w:highlight w:val="none"/>
                <w:u w:val="single"/>
              </w:rPr>
            </w:pPr>
            <w:r>
              <w:rPr>
                <w:color w:val="auto"/>
                <w:highlight w:val="none"/>
                <w:u w:val="single"/>
              </w:rPr>
              <w:t>加药间包含助凝剂加药、还原剂加药、混凝剂加药、酸加药、碱加药和次氯酸钠加药系统。同时设置危险化学品试剂间（包含危废试剂暂存）。还原剂加药箱上方预留还原剂原液加药管线，助凝剂加药设置固体粉末自动加药装置。</w:t>
            </w:r>
          </w:p>
          <w:p>
            <w:pPr>
              <w:pStyle w:val="8"/>
              <w:rPr>
                <w:color w:val="auto"/>
                <w:highlight w:val="none"/>
                <w:u w:val="single"/>
              </w:rPr>
            </w:pPr>
            <w:r>
              <w:rPr>
                <w:color w:val="auto"/>
                <w:highlight w:val="none"/>
                <w:u w:val="single"/>
              </w:rPr>
              <w:t>加药间外设有混凝剂、酸、碱、次氯酸钠储罐，储罐上方设有雨棚。每种药剂的储罐各配有2台卸药泵。每种药剂储罐周围</w:t>
            </w:r>
            <w:r>
              <w:rPr>
                <w:rFonts w:hint="eastAsia"/>
                <w:color w:val="auto"/>
                <w:highlight w:val="none"/>
                <w:u w:val="single"/>
              </w:rPr>
              <w:t>综合考虑药品不外溢、外漏，同时满足《储罐区防火堤设计规范》要求，</w:t>
            </w:r>
            <w:r>
              <w:rPr>
                <w:color w:val="auto"/>
                <w:highlight w:val="none"/>
                <w:u w:val="single"/>
              </w:rPr>
              <w:t>设有0.5m高的围堰，围堰内设集水坑，便于储罐泄漏时废液回收。储罐区外围设有保护围栏与其他建/构筑物隔离开，围栏范围需配有专人管理。</w:t>
            </w:r>
          </w:p>
          <w:p>
            <w:pPr>
              <w:pStyle w:val="8"/>
              <w:rPr>
                <w:color w:val="auto"/>
                <w:highlight w:val="none"/>
                <w:u w:val="single"/>
              </w:rPr>
            </w:pPr>
            <w:r>
              <w:rPr>
                <w:color w:val="auto"/>
                <w:highlight w:val="none"/>
                <w:u w:val="single"/>
              </w:rPr>
              <w:t>根据进水水质，上述各种药剂的设计加药量如下，实际加药量以实际运行、调试为准。</w:t>
            </w:r>
          </w:p>
          <w:p>
            <w:pPr>
              <w:pStyle w:val="8"/>
              <w:rPr>
                <w:color w:val="auto"/>
                <w:highlight w:val="none"/>
                <w:u w:val="single"/>
              </w:rPr>
            </w:pPr>
            <w:r>
              <w:rPr>
                <w:color w:val="auto"/>
                <w:highlight w:val="none"/>
                <w:u w:val="single"/>
              </w:rPr>
              <w:t>酸：31%盐酸，2.89L/h；</w:t>
            </w:r>
          </w:p>
          <w:p>
            <w:pPr>
              <w:pStyle w:val="8"/>
              <w:rPr>
                <w:color w:val="auto"/>
                <w:highlight w:val="none"/>
                <w:u w:val="single"/>
              </w:rPr>
            </w:pPr>
            <w:r>
              <w:rPr>
                <w:color w:val="auto"/>
                <w:highlight w:val="none"/>
                <w:u w:val="single"/>
              </w:rPr>
              <w:t>碱：32%氢氧化钠溶液，0.112L/h；</w:t>
            </w:r>
          </w:p>
          <w:p>
            <w:pPr>
              <w:pStyle w:val="8"/>
              <w:rPr>
                <w:color w:val="auto"/>
                <w:highlight w:val="none"/>
                <w:u w:val="single"/>
              </w:rPr>
            </w:pPr>
            <w:r>
              <w:rPr>
                <w:color w:val="auto"/>
                <w:highlight w:val="none"/>
                <w:u w:val="single"/>
              </w:rPr>
              <w:t>次氯酸钠：5%，1293L/h；</w:t>
            </w:r>
          </w:p>
          <w:p>
            <w:pPr>
              <w:pStyle w:val="8"/>
              <w:rPr>
                <w:color w:val="auto"/>
                <w:highlight w:val="none"/>
                <w:u w:val="single"/>
              </w:rPr>
            </w:pPr>
            <w:r>
              <w:rPr>
                <w:color w:val="auto"/>
                <w:highlight w:val="none"/>
                <w:u w:val="single"/>
              </w:rPr>
              <w:t>混凝剂：13%三氯化铁，8.1L/h；</w:t>
            </w:r>
          </w:p>
          <w:p>
            <w:pPr>
              <w:pStyle w:val="8"/>
              <w:rPr>
                <w:color w:val="auto"/>
                <w:highlight w:val="none"/>
                <w:u w:val="single"/>
              </w:rPr>
            </w:pPr>
            <w:r>
              <w:rPr>
                <w:color w:val="auto"/>
                <w:highlight w:val="none"/>
                <w:u w:val="single"/>
              </w:rPr>
              <w:t>助凝剂：PAM，0.94kg/h；</w:t>
            </w:r>
          </w:p>
          <w:p>
            <w:pPr>
              <w:pStyle w:val="8"/>
              <w:rPr>
                <w:color w:val="auto"/>
                <w:highlight w:val="none"/>
                <w:u w:val="single"/>
              </w:rPr>
            </w:pPr>
            <w:r>
              <w:rPr>
                <w:color w:val="auto"/>
                <w:highlight w:val="none"/>
                <w:u w:val="single"/>
              </w:rPr>
              <w:t>还原剂：10%亚硫酸氢钠溶液，49.5L/h。</w:t>
            </w:r>
          </w:p>
          <w:p>
            <w:pPr>
              <w:pStyle w:val="8"/>
              <w:rPr>
                <w:color w:val="auto"/>
                <w:highlight w:val="none"/>
              </w:rPr>
            </w:pPr>
            <w:r>
              <w:rPr>
                <w:rFonts w:hint="eastAsia"/>
                <w:color w:val="auto"/>
                <w:highlight w:val="none"/>
                <w:lang w:eastAsia="zh"/>
              </w:rPr>
              <w:t>（</w:t>
            </w:r>
            <w:r>
              <w:rPr>
                <w:color w:val="auto"/>
                <w:highlight w:val="none"/>
              </w:rPr>
              <w:t>1</w:t>
            </w:r>
            <w:r>
              <w:rPr>
                <w:rFonts w:hint="eastAsia"/>
                <w:color w:val="auto"/>
                <w:highlight w:val="none"/>
              </w:rPr>
              <w:t>3</w:t>
            </w:r>
            <w:r>
              <w:rPr>
                <w:color w:val="auto"/>
                <w:highlight w:val="none"/>
              </w:rPr>
              <w:t>）药剂储罐区</w:t>
            </w:r>
          </w:p>
          <w:p>
            <w:pPr>
              <w:pStyle w:val="8"/>
              <w:rPr>
                <w:color w:val="auto"/>
                <w:highlight w:val="none"/>
              </w:rPr>
            </w:pPr>
            <w:r>
              <w:rPr>
                <w:color w:val="auto"/>
                <w:highlight w:val="none"/>
              </w:rPr>
              <w:t>加药间外设有混凝剂、酸、碱、次氯酸钠储罐，储罐上方设有雨棚。每种药剂的储罐各配有2台卸药泵。每种药剂储罐周围设有0.5m高的围堰，围堰内设集水坑，便于储罐泄漏时废液回收。储罐区外围设有保护围栏与其他建/构筑物隔离开，围栏范围需配有专人管理。</w:t>
            </w:r>
          </w:p>
          <w:p>
            <w:pPr>
              <w:numPr>
                <w:ilvl w:val="0"/>
                <w:numId w:val="7"/>
              </w:numPr>
              <w:spacing w:before="114" w:line="338" w:lineRule="auto"/>
              <w:ind w:left="420" w:leftChars="200" w:right="30"/>
              <w:rPr>
                <w:rFonts w:ascii="宋体" w:hAnsi="宋体" w:cs="宋体"/>
                <w:b/>
                <w:bCs/>
                <w:color w:val="auto"/>
                <w:spacing w:val="-8"/>
                <w:sz w:val="24"/>
                <w:highlight w:val="none"/>
              </w:rPr>
            </w:pPr>
            <w:r>
              <w:rPr>
                <w:rFonts w:hint="eastAsia" w:ascii="宋体" w:hAnsi="宋体" w:cs="宋体"/>
                <w:b/>
                <w:bCs/>
                <w:color w:val="auto"/>
                <w:spacing w:val="-8"/>
                <w:sz w:val="24"/>
                <w:highlight w:val="none"/>
              </w:rPr>
              <w:t>除盐水厂房排水的水处理工艺参数</w:t>
            </w:r>
          </w:p>
          <w:p>
            <w:pPr>
              <w:pStyle w:val="8"/>
              <w:rPr>
                <w:color w:val="auto"/>
                <w:spacing w:val="-2"/>
                <w:position w:val="1"/>
                <w:highlight w:val="none"/>
              </w:rPr>
            </w:pPr>
            <w:r>
              <w:rPr>
                <w:rFonts w:hint="eastAsia"/>
                <w:color w:val="auto"/>
                <w:highlight w:val="none"/>
              </w:rPr>
              <w:t>设计流量2100</w:t>
            </w:r>
            <w:r>
              <w:rPr>
                <w:rFonts w:eastAsia="Times New Roman"/>
                <w:color w:val="auto"/>
                <w:spacing w:val="-2"/>
                <w:position w:val="1"/>
                <w:highlight w:val="none"/>
              </w:rPr>
              <w:t>m</w:t>
            </w:r>
            <w:r>
              <w:rPr>
                <w:rFonts w:eastAsia="Times New Roman"/>
                <w:color w:val="auto"/>
                <w:spacing w:val="-2"/>
                <w:position w:val="9"/>
                <w:sz w:val="16"/>
                <w:szCs w:val="16"/>
                <w:highlight w:val="none"/>
              </w:rPr>
              <w:t>3</w:t>
            </w:r>
            <w:r>
              <w:rPr>
                <w:rFonts w:eastAsia="Times New Roman"/>
                <w:color w:val="auto"/>
                <w:spacing w:val="-2"/>
                <w:position w:val="1"/>
                <w:highlight w:val="none"/>
              </w:rPr>
              <w:t>/d</w:t>
            </w:r>
            <w:r>
              <w:rPr>
                <w:rFonts w:hint="eastAsia"/>
                <w:color w:val="auto"/>
                <w:spacing w:val="-2"/>
                <w:position w:val="1"/>
                <w:highlight w:val="none"/>
              </w:rPr>
              <w:t>。主要有1#调节池、过滤器、清水池三大设施。</w:t>
            </w:r>
          </w:p>
          <w:p>
            <w:pPr>
              <w:pStyle w:val="8"/>
              <w:ind w:firstLine="472"/>
              <w:rPr>
                <w:color w:val="auto"/>
                <w:spacing w:val="-2"/>
                <w:position w:val="1"/>
                <w:highlight w:val="none"/>
              </w:rPr>
            </w:pPr>
            <w:r>
              <w:rPr>
                <w:rFonts w:hint="eastAsia"/>
                <w:color w:val="auto"/>
                <w:spacing w:val="-2"/>
                <w:position w:val="1"/>
                <w:highlight w:val="none"/>
              </w:rPr>
              <w:t>（1）1#调节池</w:t>
            </w:r>
          </w:p>
          <w:p>
            <w:pPr>
              <w:pStyle w:val="8"/>
              <w:ind w:firstLine="472"/>
              <w:rPr>
                <w:color w:val="auto"/>
                <w:spacing w:val="-2"/>
                <w:position w:val="1"/>
                <w:highlight w:val="none"/>
              </w:rPr>
            </w:pPr>
            <w:r>
              <w:rPr>
                <w:color w:val="auto"/>
                <w:spacing w:val="-2"/>
                <w:position w:val="1"/>
                <w:highlight w:val="none"/>
              </w:rPr>
              <w:t>1）钢筋混凝土水池，上方覆土，分为3格，总有效容积4000m</w:t>
            </w:r>
            <w:r>
              <w:rPr>
                <w:color w:val="auto"/>
                <w:spacing w:val="-2"/>
                <w:position w:val="1"/>
                <w:highlight w:val="none"/>
                <w:vertAlign w:val="superscript"/>
              </w:rPr>
              <w:t>3</w:t>
            </w:r>
            <w:r>
              <w:rPr>
                <w:rFonts w:hint="eastAsia"/>
                <w:color w:val="auto"/>
                <w:spacing w:val="-2"/>
                <w:position w:val="1"/>
                <w:highlight w:val="none"/>
              </w:rPr>
              <w:t>，三格2用1备</w:t>
            </w:r>
            <w:r>
              <w:rPr>
                <w:color w:val="auto"/>
                <w:spacing w:val="-2"/>
                <w:position w:val="1"/>
                <w:highlight w:val="none"/>
              </w:rPr>
              <w:t>；</w:t>
            </w:r>
          </w:p>
          <w:p>
            <w:pPr>
              <w:pStyle w:val="8"/>
              <w:ind w:firstLine="472"/>
              <w:rPr>
                <w:color w:val="auto"/>
                <w:spacing w:val="-2"/>
                <w:position w:val="1"/>
                <w:highlight w:val="none"/>
              </w:rPr>
            </w:pPr>
            <w:r>
              <w:rPr>
                <w:color w:val="auto"/>
                <w:spacing w:val="-2"/>
                <w:position w:val="1"/>
                <w:highlight w:val="none"/>
              </w:rPr>
              <w:t>2）水力停留时间25h；</w:t>
            </w:r>
          </w:p>
          <w:p>
            <w:pPr>
              <w:pStyle w:val="8"/>
              <w:ind w:firstLine="472"/>
              <w:rPr>
                <w:color w:val="auto"/>
                <w:spacing w:val="-2"/>
                <w:position w:val="1"/>
                <w:highlight w:val="none"/>
              </w:rPr>
            </w:pPr>
            <w:r>
              <w:rPr>
                <w:color w:val="auto"/>
                <w:spacing w:val="-2"/>
                <w:position w:val="1"/>
                <w:highlight w:val="none"/>
              </w:rPr>
              <w:t>3）废水提升泵：共6台，每格2台（其中1台为变频泵）；每台水泵参数Q=100m</w:t>
            </w:r>
            <w:r>
              <w:rPr>
                <w:color w:val="auto"/>
                <w:spacing w:val="-2"/>
                <w:position w:val="1"/>
                <w:highlight w:val="none"/>
                <w:vertAlign w:val="superscript"/>
              </w:rPr>
              <w:t>3</w:t>
            </w:r>
            <w:r>
              <w:rPr>
                <w:color w:val="auto"/>
                <w:spacing w:val="-2"/>
                <w:position w:val="1"/>
                <w:highlight w:val="none"/>
              </w:rPr>
              <w:t>/h，H=30m，P=15kW</w:t>
            </w:r>
            <w:r>
              <w:rPr>
                <w:rFonts w:hint="eastAsia"/>
                <w:color w:val="auto"/>
                <w:spacing w:val="-2"/>
                <w:position w:val="1"/>
                <w:highlight w:val="none"/>
              </w:rPr>
              <w:t>。</w:t>
            </w:r>
          </w:p>
          <w:p>
            <w:pPr>
              <w:pStyle w:val="8"/>
              <w:rPr>
                <w:color w:val="auto"/>
                <w:highlight w:val="none"/>
              </w:rPr>
            </w:pPr>
            <w:r>
              <w:rPr>
                <w:rFonts w:hint="eastAsia"/>
                <w:color w:val="auto"/>
                <w:highlight w:val="none"/>
              </w:rPr>
              <w:t>4）</w:t>
            </w:r>
            <w:r>
              <w:rPr>
                <w:color w:val="auto"/>
                <w:spacing w:val="-4"/>
                <w:highlight w:val="none"/>
              </w:rPr>
              <w:t>进水管设流量计及进水在线监测（</w:t>
            </w:r>
            <w:r>
              <w:rPr>
                <w:rFonts w:eastAsia="Times New Roman"/>
                <w:color w:val="auto"/>
                <w:spacing w:val="-4"/>
                <w:highlight w:val="none"/>
              </w:rPr>
              <w:t>COD</w:t>
            </w:r>
            <w:r>
              <w:rPr>
                <w:color w:val="auto"/>
                <w:spacing w:val="-4"/>
                <w:highlight w:val="none"/>
              </w:rPr>
              <w:t>、氨氮、</w:t>
            </w:r>
            <w:r>
              <w:rPr>
                <w:rFonts w:eastAsia="Times New Roman"/>
                <w:color w:val="auto"/>
                <w:spacing w:val="-4"/>
                <w:highlight w:val="none"/>
              </w:rPr>
              <w:t>TN</w:t>
            </w:r>
            <w:r>
              <w:rPr>
                <w:color w:val="auto"/>
                <w:spacing w:val="-4"/>
                <w:highlight w:val="none"/>
              </w:rPr>
              <w:t>、</w:t>
            </w:r>
            <w:r>
              <w:rPr>
                <w:rFonts w:eastAsia="Times New Roman"/>
                <w:color w:val="auto"/>
                <w:spacing w:val="-4"/>
                <w:highlight w:val="none"/>
              </w:rPr>
              <w:t>TP</w:t>
            </w:r>
            <w:r>
              <w:rPr>
                <w:color w:val="auto"/>
                <w:spacing w:val="-4"/>
                <w:highlight w:val="none"/>
              </w:rPr>
              <w:t>等在线</w:t>
            </w:r>
            <w:r>
              <w:rPr>
                <w:rFonts w:hint="eastAsia"/>
                <w:color w:val="auto"/>
                <w:spacing w:val="-4"/>
                <w:highlight w:val="none"/>
              </w:rPr>
              <w:t>监测仪表</w:t>
            </w:r>
            <w:r>
              <w:rPr>
                <w:color w:val="auto"/>
                <w:spacing w:val="-7"/>
                <w:highlight w:val="none"/>
              </w:rPr>
              <w:t>）。其中，流量计</w:t>
            </w:r>
            <w:r>
              <w:rPr>
                <w:rFonts w:hint="eastAsia"/>
                <w:color w:val="auto"/>
                <w:spacing w:val="-7"/>
                <w:highlight w:val="none"/>
              </w:rPr>
              <w:t>置于</w:t>
            </w:r>
            <w:r>
              <w:rPr>
                <w:color w:val="auto"/>
                <w:spacing w:val="-7"/>
                <w:highlight w:val="none"/>
              </w:rPr>
              <w:t>流量监测井内。</w:t>
            </w:r>
            <w:r>
              <w:rPr>
                <w:rFonts w:eastAsia="Times New Roman"/>
                <w:color w:val="auto"/>
                <w:spacing w:val="-3"/>
                <w:highlight w:val="none"/>
              </w:rPr>
              <w:t>1#</w:t>
            </w:r>
            <w:r>
              <w:rPr>
                <w:color w:val="auto"/>
                <w:spacing w:val="-3"/>
                <w:highlight w:val="none"/>
              </w:rPr>
              <w:t>调节池循环管路上设置在线监测</w:t>
            </w:r>
            <w:r>
              <w:rPr>
                <w:color w:val="auto"/>
                <w:highlight w:val="none"/>
              </w:rPr>
              <w:t>。每格分别设置液位计，均设置超高液位报警并关闭进水电动闸门、低液位停泵</w:t>
            </w:r>
            <w:r>
              <w:rPr>
                <w:rFonts w:hint="eastAsia"/>
                <w:color w:val="auto"/>
                <w:highlight w:val="none"/>
              </w:rPr>
              <w:t>。</w:t>
            </w:r>
          </w:p>
          <w:p>
            <w:pPr>
              <w:pStyle w:val="8"/>
              <w:rPr>
                <w:color w:val="auto"/>
                <w:highlight w:val="none"/>
              </w:rPr>
            </w:pPr>
            <w:r>
              <w:rPr>
                <w:rFonts w:hint="eastAsia"/>
                <w:color w:val="auto"/>
                <w:highlight w:val="none"/>
              </w:rPr>
              <w:t>（2）过滤器</w:t>
            </w:r>
          </w:p>
          <w:p>
            <w:pPr>
              <w:pStyle w:val="8"/>
              <w:rPr>
                <w:color w:val="auto"/>
                <w:highlight w:val="none"/>
              </w:rPr>
            </w:pPr>
            <w:r>
              <w:rPr>
                <w:rFonts w:hint="eastAsia"/>
                <w:color w:val="auto"/>
                <w:highlight w:val="none"/>
              </w:rPr>
              <w:t>配套多介质过滤器和活性炭过滤器，均位于深度处理间。</w:t>
            </w:r>
          </w:p>
          <w:p>
            <w:pPr>
              <w:pStyle w:val="8"/>
              <w:spacing w:before="97" w:line="323" w:lineRule="auto"/>
              <w:ind w:left="45" w:right="26" w:firstLine="468"/>
              <w:rPr>
                <w:color w:val="auto"/>
                <w:highlight w:val="none"/>
              </w:rPr>
            </w:pPr>
            <w:r>
              <w:rPr>
                <w:rFonts w:eastAsia="Times New Roman"/>
                <w:color w:val="auto"/>
                <w:spacing w:val="-3"/>
                <w:highlight w:val="none"/>
              </w:rPr>
              <w:t>1</w:t>
            </w:r>
            <w:r>
              <w:rPr>
                <w:color w:val="auto"/>
                <w:spacing w:val="-3"/>
                <w:highlight w:val="none"/>
              </w:rPr>
              <w:t>）多介质过滤器：</w:t>
            </w:r>
            <w:r>
              <w:rPr>
                <w:rFonts w:hint="eastAsia" w:ascii="宋体" w:hAnsi="宋体" w:eastAsia="宋体" w:cs="宋体"/>
                <w:color w:val="auto"/>
                <w:kern w:val="2"/>
                <w:sz w:val="24"/>
                <w:szCs w:val="24"/>
                <w:highlight w:val="none"/>
              </w:rPr>
              <w:t>共</w:t>
            </w:r>
            <w:r>
              <w:rPr>
                <w:rFonts w:hint="default" w:ascii="Times New Roman" w:hAnsi="Times New Roman" w:eastAsia="宋体" w:cs="Times New Roman"/>
                <w:color w:val="auto"/>
                <w:kern w:val="2"/>
                <w:sz w:val="24"/>
                <w:szCs w:val="24"/>
                <w:highlight w:val="none"/>
              </w:rPr>
              <w:t>2</w:t>
            </w:r>
            <w:r>
              <w:rPr>
                <w:rFonts w:hint="eastAsia" w:ascii="宋体" w:hAnsi="宋体" w:eastAsia="宋体" w:cs="宋体"/>
                <w:color w:val="auto"/>
                <w:kern w:val="2"/>
                <w:sz w:val="24"/>
                <w:szCs w:val="24"/>
                <w:highlight w:val="none"/>
              </w:rPr>
              <w:t>套，</w:t>
            </w:r>
            <w:r>
              <w:rPr>
                <w:rFonts w:hint="default" w:ascii="Times New Roman" w:hAnsi="Times New Roman" w:eastAsia="宋体" w:cs="Times New Roman"/>
                <w:color w:val="auto"/>
                <w:kern w:val="2"/>
                <w:sz w:val="24"/>
                <w:szCs w:val="24"/>
                <w:highlight w:val="none"/>
              </w:rPr>
              <w:t>1</w:t>
            </w:r>
            <w:r>
              <w:rPr>
                <w:rFonts w:hint="eastAsia" w:ascii="宋体" w:hAnsi="宋体" w:eastAsia="宋体" w:cs="宋体"/>
                <w:color w:val="auto"/>
                <w:kern w:val="2"/>
                <w:sz w:val="24"/>
                <w:szCs w:val="24"/>
                <w:highlight w:val="none"/>
              </w:rPr>
              <w:t>用</w:t>
            </w:r>
            <w:r>
              <w:rPr>
                <w:rFonts w:hint="default" w:ascii="Times New Roman" w:hAnsi="Times New Roman" w:eastAsia="宋体" w:cs="Times New Roman"/>
                <w:color w:val="auto"/>
                <w:kern w:val="2"/>
                <w:sz w:val="24"/>
                <w:szCs w:val="24"/>
                <w:highlight w:val="none"/>
              </w:rPr>
              <w:t>1</w:t>
            </w:r>
            <w:r>
              <w:rPr>
                <w:rFonts w:hint="eastAsia" w:ascii="宋体" w:hAnsi="宋体" w:eastAsia="宋体" w:cs="宋体"/>
                <w:color w:val="auto"/>
                <w:kern w:val="2"/>
                <w:sz w:val="24"/>
                <w:szCs w:val="24"/>
                <w:highlight w:val="none"/>
              </w:rPr>
              <w:t>备</w:t>
            </w:r>
            <w:r>
              <w:rPr>
                <w:color w:val="auto"/>
                <w:spacing w:val="-3"/>
                <w:highlight w:val="none"/>
              </w:rPr>
              <w:t>，每套出力</w:t>
            </w:r>
            <w:r>
              <w:rPr>
                <w:rFonts w:eastAsia="Times New Roman"/>
                <w:color w:val="auto"/>
                <w:spacing w:val="-3"/>
                <w:highlight w:val="none"/>
              </w:rPr>
              <w:t>100m</w:t>
            </w:r>
            <w:r>
              <w:rPr>
                <w:rFonts w:eastAsia="Times New Roman"/>
                <w:color w:val="auto"/>
                <w:spacing w:val="-3"/>
                <w:position w:val="8"/>
                <w:sz w:val="16"/>
                <w:szCs w:val="16"/>
                <w:highlight w:val="none"/>
              </w:rPr>
              <w:t>3</w:t>
            </w:r>
            <w:r>
              <w:rPr>
                <w:rFonts w:eastAsia="Times New Roman"/>
                <w:color w:val="auto"/>
                <w:spacing w:val="-3"/>
                <w:highlight w:val="none"/>
              </w:rPr>
              <w:t>/h</w:t>
            </w:r>
            <w:r>
              <w:rPr>
                <w:color w:val="auto"/>
                <w:spacing w:val="-3"/>
                <w:highlight w:val="none"/>
              </w:rPr>
              <w:t>，</w:t>
            </w:r>
            <w:r>
              <w:rPr>
                <w:rFonts w:eastAsia="Times New Roman"/>
                <w:color w:val="auto"/>
                <w:spacing w:val="-3"/>
                <w:highlight w:val="none"/>
              </w:rPr>
              <w:t>DN3200</w:t>
            </w:r>
            <w:r>
              <w:rPr>
                <w:color w:val="auto"/>
                <w:spacing w:val="-3"/>
                <w:highlight w:val="none"/>
              </w:rPr>
              <w:t>，钢衬胶，石英砂</w:t>
            </w:r>
            <w:r>
              <w:rPr>
                <w:rFonts w:eastAsia="Times New Roman"/>
                <w:color w:val="auto"/>
                <w:spacing w:val="-2"/>
                <w:highlight w:val="none"/>
              </w:rPr>
              <w:t>800mm</w:t>
            </w:r>
            <w:r>
              <w:rPr>
                <w:color w:val="auto"/>
                <w:spacing w:val="-2"/>
                <w:highlight w:val="none"/>
              </w:rPr>
              <w:t>，无烟煤</w:t>
            </w:r>
            <w:r>
              <w:rPr>
                <w:rFonts w:eastAsia="Times New Roman"/>
                <w:color w:val="auto"/>
                <w:spacing w:val="-2"/>
                <w:highlight w:val="none"/>
              </w:rPr>
              <w:t>400mm</w:t>
            </w:r>
            <w:r>
              <w:rPr>
                <w:color w:val="auto"/>
                <w:spacing w:val="-2"/>
                <w:highlight w:val="none"/>
              </w:rPr>
              <w:t>，反洗膨胀率</w:t>
            </w:r>
            <w:r>
              <w:rPr>
                <w:rFonts w:eastAsia="Times New Roman"/>
                <w:color w:val="auto"/>
                <w:spacing w:val="-2"/>
                <w:highlight w:val="none"/>
              </w:rPr>
              <w:t>50%</w:t>
            </w:r>
            <w:r>
              <w:rPr>
                <w:color w:val="auto"/>
                <w:spacing w:val="-2"/>
                <w:highlight w:val="none"/>
              </w:rPr>
              <w:t>，置于深度处理间；</w:t>
            </w:r>
          </w:p>
          <w:p>
            <w:pPr>
              <w:pStyle w:val="8"/>
              <w:spacing w:before="96" w:line="323" w:lineRule="auto"/>
              <w:ind w:left="40" w:right="26" w:firstLine="472"/>
              <w:rPr>
                <w:color w:val="auto"/>
                <w:highlight w:val="none"/>
              </w:rPr>
            </w:pPr>
            <w:r>
              <w:rPr>
                <w:rFonts w:eastAsia="Times New Roman"/>
                <w:color w:val="auto"/>
                <w:spacing w:val="-2"/>
                <w:highlight w:val="none"/>
              </w:rPr>
              <w:t>2</w:t>
            </w:r>
            <w:r>
              <w:rPr>
                <w:color w:val="auto"/>
                <w:spacing w:val="-2"/>
                <w:highlight w:val="none"/>
              </w:rPr>
              <w:t>）活性炭过滤器：</w:t>
            </w:r>
            <w:r>
              <w:rPr>
                <w:rFonts w:hint="eastAsia" w:ascii="宋体" w:hAnsi="宋体" w:eastAsia="宋体" w:cs="宋体"/>
                <w:color w:val="auto"/>
                <w:kern w:val="2"/>
                <w:sz w:val="24"/>
                <w:szCs w:val="24"/>
                <w:highlight w:val="none"/>
              </w:rPr>
              <w:t>共</w:t>
            </w:r>
            <w:r>
              <w:rPr>
                <w:rFonts w:hint="default" w:ascii="Times New Roman" w:hAnsi="Times New Roman" w:eastAsia="宋体" w:cs="Times New Roman"/>
                <w:color w:val="auto"/>
                <w:kern w:val="2"/>
                <w:sz w:val="24"/>
                <w:szCs w:val="24"/>
                <w:highlight w:val="none"/>
              </w:rPr>
              <w:t>2</w:t>
            </w:r>
            <w:r>
              <w:rPr>
                <w:rFonts w:hint="eastAsia" w:ascii="宋体" w:hAnsi="宋体" w:eastAsia="宋体" w:cs="宋体"/>
                <w:color w:val="auto"/>
                <w:kern w:val="2"/>
                <w:sz w:val="24"/>
                <w:szCs w:val="24"/>
                <w:highlight w:val="none"/>
              </w:rPr>
              <w:t>套，</w:t>
            </w:r>
            <w:r>
              <w:rPr>
                <w:rFonts w:hint="default" w:ascii="Times New Roman" w:hAnsi="Times New Roman" w:eastAsia="宋体" w:cs="Times New Roman"/>
                <w:color w:val="auto"/>
                <w:kern w:val="2"/>
                <w:sz w:val="24"/>
                <w:szCs w:val="24"/>
                <w:highlight w:val="none"/>
              </w:rPr>
              <w:t>1</w:t>
            </w:r>
            <w:r>
              <w:rPr>
                <w:rFonts w:hint="eastAsia" w:ascii="宋体" w:hAnsi="宋体" w:eastAsia="宋体" w:cs="宋体"/>
                <w:color w:val="auto"/>
                <w:kern w:val="2"/>
                <w:sz w:val="24"/>
                <w:szCs w:val="24"/>
                <w:highlight w:val="none"/>
              </w:rPr>
              <w:t>用</w:t>
            </w:r>
            <w:r>
              <w:rPr>
                <w:rFonts w:hint="default" w:ascii="Times New Roman" w:hAnsi="Times New Roman" w:eastAsia="宋体" w:cs="Times New Roman"/>
                <w:color w:val="auto"/>
                <w:kern w:val="2"/>
                <w:sz w:val="24"/>
                <w:szCs w:val="24"/>
                <w:highlight w:val="none"/>
              </w:rPr>
              <w:t>1</w:t>
            </w:r>
            <w:r>
              <w:rPr>
                <w:rFonts w:hint="eastAsia" w:ascii="宋体" w:hAnsi="宋体" w:eastAsia="宋体" w:cs="宋体"/>
                <w:color w:val="auto"/>
                <w:kern w:val="2"/>
                <w:sz w:val="24"/>
                <w:szCs w:val="24"/>
                <w:highlight w:val="none"/>
              </w:rPr>
              <w:t>备</w:t>
            </w:r>
            <w:r>
              <w:rPr>
                <w:color w:val="auto"/>
                <w:spacing w:val="-2"/>
                <w:sz w:val="32"/>
                <w:szCs w:val="32"/>
                <w:highlight w:val="none"/>
              </w:rPr>
              <w:t>，</w:t>
            </w:r>
            <w:r>
              <w:rPr>
                <w:color w:val="auto"/>
                <w:spacing w:val="-2"/>
                <w:highlight w:val="none"/>
              </w:rPr>
              <w:t>每套出力</w:t>
            </w:r>
            <w:r>
              <w:rPr>
                <w:rFonts w:eastAsia="Times New Roman"/>
                <w:color w:val="auto"/>
                <w:spacing w:val="-2"/>
                <w:highlight w:val="none"/>
              </w:rPr>
              <w:t>100m</w:t>
            </w:r>
            <w:r>
              <w:rPr>
                <w:rFonts w:eastAsia="Times New Roman"/>
                <w:color w:val="auto"/>
                <w:spacing w:val="-2"/>
                <w:position w:val="8"/>
                <w:sz w:val="16"/>
                <w:szCs w:val="16"/>
                <w:highlight w:val="none"/>
              </w:rPr>
              <w:t>3</w:t>
            </w:r>
            <w:r>
              <w:rPr>
                <w:rFonts w:eastAsia="Times New Roman"/>
                <w:color w:val="auto"/>
                <w:spacing w:val="-2"/>
                <w:highlight w:val="none"/>
              </w:rPr>
              <w:t>/h</w:t>
            </w:r>
            <w:r>
              <w:rPr>
                <w:color w:val="auto"/>
                <w:spacing w:val="-2"/>
                <w:highlight w:val="none"/>
              </w:rPr>
              <w:t>，</w:t>
            </w:r>
            <w:r>
              <w:rPr>
                <w:rFonts w:eastAsia="Times New Roman"/>
                <w:color w:val="auto"/>
                <w:spacing w:val="-2"/>
                <w:highlight w:val="none"/>
              </w:rPr>
              <w:t>D</w:t>
            </w:r>
            <w:r>
              <w:rPr>
                <w:rFonts w:eastAsia="Times New Roman"/>
                <w:color w:val="auto"/>
                <w:spacing w:val="-3"/>
                <w:highlight w:val="none"/>
              </w:rPr>
              <w:t>N3600</w:t>
            </w:r>
            <w:r>
              <w:rPr>
                <w:color w:val="auto"/>
                <w:spacing w:val="-3"/>
                <w:highlight w:val="none"/>
              </w:rPr>
              <w:t>，钢衬胶；果壳活</w:t>
            </w:r>
            <w:r>
              <w:rPr>
                <w:color w:val="auto"/>
                <w:spacing w:val="-1"/>
                <w:highlight w:val="none"/>
              </w:rPr>
              <w:t>性炭</w:t>
            </w:r>
            <w:r>
              <w:rPr>
                <w:rFonts w:eastAsia="Times New Roman"/>
                <w:color w:val="auto"/>
                <w:spacing w:val="-1"/>
                <w:highlight w:val="none"/>
              </w:rPr>
              <w:t>2000mm</w:t>
            </w:r>
            <w:r>
              <w:rPr>
                <w:color w:val="auto"/>
                <w:spacing w:val="-1"/>
                <w:highlight w:val="none"/>
              </w:rPr>
              <w:t>，反洗膨胀率</w:t>
            </w:r>
            <w:r>
              <w:rPr>
                <w:rFonts w:eastAsia="Times New Roman"/>
                <w:color w:val="auto"/>
                <w:spacing w:val="-1"/>
                <w:highlight w:val="none"/>
              </w:rPr>
              <w:t>50%</w:t>
            </w:r>
            <w:r>
              <w:rPr>
                <w:color w:val="auto"/>
                <w:spacing w:val="-1"/>
                <w:highlight w:val="none"/>
              </w:rPr>
              <w:t>，置于深度处理间；</w:t>
            </w:r>
          </w:p>
          <w:p>
            <w:pPr>
              <w:pStyle w:val="8"/>
              <w:ind w:firstLine="464"/>
              <w:rPr>
                <w:color w:val="auto"/>
                <w:highlight w:val="none"/>
              </w:rPr>
            </w:pPr>
            <w:r>
              <w:rPr>
                <w:rFonts w:eastAsia="Times New Roman"/>
                <w:color w:val="auto"/>
                <w:spacing w:val="-4"/>
                <w:highlight w:val="none"/>
              </w:rPr>
              <w:t>3</w:t>
            </w:r>
            <w:r>
              <w:rPr>
                <w:color w:val="auto"/>
                <w:spacing w:val="-4"/>
                <w:highlight w:val="none"/>
              </w:rPr>
              <w:t>）过</w:t>
            </w:r>
            <w:r>
              <w:rPr>
                <w:color w:val="auto"/>
                <w:highlight w:val="none"/>
              </w:rPr>
              <w:t>滤器反洗风机：3台，每台Q=6.5Nm</w:t>
            </w:r>
            <w:r>
              <w:rPr>
                <w:color w:val="auto"/>
                <w:highlight w:val="none"/>
                <w:vertAlign w:val="superscript"/>
              </w:rPr>
              <w:t>3</w:t>
            </w:r>
            <w:r>
              <w:rPr>
                <w:color w:val="auto"/>
                <w:highlight w:val="none"/>
              </w:rPr>
              <w:t>/min，H=6m，P=11kW，带消声器、隔音房，配出口压力表、止回阀、安全阀等组件。位于深度处理间，与雨废分离废水处理设施共用</w:t>
            </w:r>
            <w:r>
              <w:rPr>
                <w:rFonts w:hint="eastAsia"/>
                <w:color w:val="auto"/>
                <w:highlight w:val="none"/>
              </w:rPr>
              <w:t>。</w:t>
            </w:r>
          </w:p>
          <w:p>
            <w:pPr>
              <w:pStyle w:val="8"/>
              <w:rPr>
                <w:color w:val="auto"/>
                <w:highlight w:val="none"/>
              </w:rPr>
            </w:pPr>
            <w:r>
              <w:rPr>
                <w:rFonts w:hint="eastAsia"/>
                <w:color w:val="auto"/>
                <w:highlight w:val="none"/>
              </w:rPr>
              <w:t>4）</w:t>
            </w:r>
            <w:r>
              <w:rPr>
                <w:color w:val="auto"/>
                <w:highlight w:val="none"/>
              </w:rPr>
              <w:t>1#调节池出水或中间水池出水在线监测指标达标时，开启出水排放管路电动阀，关闭深度处理进水管</w:t>
            </w:r>
            <w:r>
              <w:rPr>
                <w:rFonts w:hint="eastAsia"/>
                <w:color w:val="auto"/>
                <w:highlight w:val="none"/>
              </w:rPr>
              <w:t>路</w:t>
            </w:r>
            <w:r>
              <w:rPr>
                <w:color w:val="auto"/>
                <w:highlight w:val="none"/>
              </w:rPr>
              <w:t>电动阀。1#调节池出水或中间水池出水在线监测指标不达标时，开启深度处理进水管</w:t>
            </w:r>
            <w:r>
              <w:rPr>
                <w:rFonts w:hint="eastAsia"/>
                <w:color w:val="auto"/>
                <w:highlight w:val="none"/>
              </w:rPr>
              <w:t>路</w:t>
            </w:r>
            <w:r>
              <w:rPr>
                <w:color w:val="auto"/>
                <w:highlight w:val="none"/>
              </w:rPr>
              <w:t>电动阀，关闭排放管路电动阀。</w:t>
            </w:r>
          </w:p>
          <w:p>
            <w:pPr>
              <w:pStyle w:val="8"/>
              <w:rPr>
                <w:color w:val="auto"/>
                <w:spacing w:val="-3"/>
                <w:highlight w:val="none"/>
              </w:rPr>
            </w:pPr>
            <w:r>
              <w:rPr>
                <w:rFonts w:hint="eastAsia"/>
                <w:color w:val="auto"/>
                <w:highlight w:val="none"/>
              </w:rPr>
              <w:t>（</w:t>
            </w:r>
            <w:r>
              <w:rPr>
                <w:rFonts w:hint="eastAsia"/>
                <w:color w:val="auto"/>
                <w:highlight w:val="none"/>
                <w:lang w:val="en-US" w:eastAsia="zh-CN"/>
              </w:rPr>
              <w:t>三</w:t>
            </w:r>
            <w:r>
              <w:rPr>
                <w:rFonts w:hint="eastAsia"/>
                <w:color w:val="auto"/>
                <w:highlight w:val="none"/>
              </w:rPr>
              <w:t>）清</w:t>
            </w:r>
            <w:r>
              <w:rPr>
                <w:rFonts w:hint="eastAsia"/>
                <w:color w:val="auto"/>
                <w:spacing w:val="-3"/>
                <w:highlight w:val="none"/>
              </w:rPr>
              <w:t>水池</w:t>
            </w:r>
          </w:p>
          <w:p>
            <w:pPr>
              <w:pStyle w:val="8"/>
              <w:rPr>
                <w:color w:val="auto"/>
                <w:highlight w:val="none"/>
              </w:rPr>
            </w:pPr>
            <w:r>
              <w:rPr>
                <w:rFonts w:hint="eastAsia"/>
                <w:color w:val="auto"/>
                <w:highlight w:val="none"/>
                <w:lang w:val="en-US" w:eastAsia="zh-CN"/>
              </w:rPr>
              <w:t>每套工艺末端均设清水池，</w:t>
            </w:r>
            <w:r>
              <w:rPr>
                <w:color w:val="auto"/>
                <w:highlight w:val="none"/>
              </w:rPr>
              <w:t>处理合格的出水排至清水池，后经清水泵提升至8CC井排放</w:t>
            </w:r>
            <w:r>
              <w:rPr>
                <w:rFonts w:hint="eastAsia"/>
                <w:color w:val="auto"/>
                <w:highlight w:val="none"/>
                <w:lang w:eastAsia="zh-CN"/>
              </w:rPr>
              <w:t>，</w:t>
            </w:r>
            <w:r>
              <w:rPr>
                <w:rFonts w:hint="eastAsia"/>
                <w:color w:val="auto"/>
                <w:highlight w:val="none"/>
                <w:lang w:val="en-US" w:eastAsia="zh-CN"/>
              </w:rPr>
              <w:t>进入8CC井前设置尾水监测</w:t>
            </w:r>
            <w:r>
              <w:rPr>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4" w:hRule="atLeast"/>
          <w:jc w:val="center"/>
        </w:trPr>
        <w:tc>
          <w:tcPr>
            <w:tcW w:w="823" w:type="dxa"/>
            <w:vAlign w:val="center"/>
          </w:tcPr>
          <w:p>
            <w:pPr>
              <w:rPr>
                <w:color w:val="auto"/>
                <w:highlight w:val="none"/>
              </w:rPr>
            </w:pPr>
            <w:r>
              <w:rPr>
                <w:rFonts w:hint="eastAsia"/>
                <w:color w:val="auto"/>
                <w:highlight w:val="none"/>
              </w:rPr>
              <w:t>与项目有关的原有环境污染问题</w:t>
            </w:r>
          </w:p>
        </w:tc>
        <w:tc>
          <w:tcPr>
            <w:tcW w:w="8161" w:type="dxa"/>
          </w:tcPr>
          <w:p>
            <w:pPr>
              <w:pStyle w:val="3"/>
              <w:rPr>
                <w:color w:val="auto"/>
                <w:highlight w:val="none"/>
              </w:rPr>
            </w:pPr>
            <w:bookmarkStart w:id="19" w:name="_Toc8264"/>
            <w:bookmarkStart w:id="20" w:name="_Toc25775"/>
            <w:r>
              <w:rPr>
                <w:rFonts w:hint="eastAsia"/>
                <w:color w:val="auto"/>
                <w:highlight w:val="none"/>
              </w:rPr>
              <w:t>2.3</w:t>
            </w:r>
            <w:r>
              <w:rPr>
                <w:rFonts w:hint="eastAsia"/>
                <w:color w:val="auto"/>
                <w:highlight w:val="none"/>
                <w:u w:val="single"/>
              </w:rPr>
              <w:t>现有工程环境管理概况</w:t>
            </w:r>
            <w:bookmarkEnd w:id="19"/>
            <w:bookmarkEnd w:id="20"/>
          </w:p>
          <w:p>
            <w:pPr>
              <w:pStyle w:val="4"/>
              <w:rPr>
                <w:color w:val="auto"/>
                <w:highlight w:val="none"/>
              </w:rPr>
            </w:pPr>
            <w:r>
              <w:rPr>
                <w:rFonts w:hint="eastAsia"/>
                <w:color w:val="auto"/>
                <w:highlight w:val="none"/>
              </w:rPr>
              <w:t>2.3.1现有工程环评及竣工环保验收情况</w:t>
            </w:r>
          </w:p>
          <w:p>
            <w:pPr>
              <w:pStyle w:val="8"/>
              <w:rPr>
                <w:color w:val="auto"/>
                <w:highlight w:val="none"/>
              </w:rPr>
            </w:pPr>
            <w:r>
              <w:rPr>
                <w:rFonts w:hint="eastAsia"/>
                <w:color w:val="auto"/>
                <w:highlight w:val="none"/>
              </w:rPr>
              <w:t>现有工程的环保手续执行情况见下表：</w:t>
            </w:r>
          </w:p>
          <w:p>
            <w:pPr>
              <w:spacing w:line="500" w:lineRule="exact"/>
              <w:ind w:firstLine="422" w:firstLineChars="200"/>
              <w:jc w:val="center"/>
              <w:rPr>
                <w:b/>
                <w:color w:val="auto"/>
                <w:highlight w:val="none"/>
              </w:rPr>
            </w:pPr>
            <w:r>
              <w:rPr>
                <w:b/>
                <w:color w:val="auto"/>
                <w:highlight w:val="none"/>
              </w:rPr>
              <w:t>表2-</w:t>
            </w:r>
            <w:r>
              <w:rPr>
                <w:rFonts w:hint="eastAsia"/>
                <w:b/>
                <w:color w:val="auto"/>
                <w:highlight w:val="none"/>
              </w:rPr>
              <w:t>1</w:t>
            </w:r>
            <w:r>
              <w:rPr>
                <w:rFonts w:hint="eastAsia"/>
                <w:b/>
                <w:color w:val="auto"/>
                <w:highlight w:val="none"/>
                <w:lang w:eastAsia="zh"/>
              </w:rPr>
              <w:t>0</w:t>
            </w:r>
            <w:r>
              <w:rPr>
                <w:b/>
                <w:color w:val="auto"/>
                <w:highlight w:val="none"/>
              </w:rPr>
              <w:t>现有工程环评及验收情况表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7"/>
              <w:gridCol w:w="754"/>
              <w:gridCol w:w="2307"/>
              <w:gridCol w:w="2290"/>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r>
                    <w:rPr>
                      <w:color w:val="auto"/>
                      <w:szCs w:val="21"/>
                      <w:highlight w:val="none"/>
                    </w:rPr>
                    <w:t>序号</w:t>
                  </w:r>
                </w:p>
              </w:tc>
              <w:tc>
                <w:tcPr>
                  <w:tcW w:w="4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r>
                    <w:rPr>
                      <w:color w:val="auto"/>
                      <w:szCs w:val="21"/>
                      <w:highlight w:val="none"/>
                    </w:rPr>
                    <w:t>名称</w:t>
                  </w:r>
                </w:p>
              </w:tc>
              <w:tc>
                <w:tcPr>
                  <w:tcW w:w="137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r>
                    <w:rPr>
                      <w:color w:val="auto"/>
                      <w:szCs w:val="21"/>
                      <w:highlight w:val="none"/>
                    </w:rPr>
                    <w:t>环评</w:t>
                  </w:r>
                  <w:r>
                    <w:rPr>
                      <w:rFonts w:hint="eastAsia"/>
                      <w:color w:val="auto"/>
                      <w:szCs w:val="21"/>
                      <w:highlight w:val="none"/>
                    </w:rPr>
                    <w:t>报告名称</w:t>
                  </w:r>
                </w:p>
              </w:tc>
              <w:tc>
                <w:tcPr>
                  <w:tcW w:w="1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r>
                    <w:rPr>
                      <w:color w:val="auto"/>
                      <w:szCs w:val="21"/>
                      <w:highlight w:val="none"/>
                    </w:rPr>
                    <w:t>环评批复情况</w:t>
                  </w:r>
                </w:p>
              </w:tc>
              <w:tc>
                <w:tcPr>
                  <w:tcW w:w="1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r>
                    <w:rPr>
                      <w:color w:val="auto"/>
                      <w:szCs w:val="21"/>
                      <w:highlight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355" w:type="pct"/>
                  <w:tcBorders>
                    <w:top w:val="single" w:color="auto" w:sz="4" w:space="0"/>
                    <w:left w:val="single" w:color="auto" w:sz="4" w:space="0"/>
                    <w:right w:val="single" w:color="auto" w:sz="4" w:space="0"/>
                  </w:tcBorders>
                  <w:vAlign w:val="center"/>
                </w:tcPr>
                <w:p>
                  <w:pPr>
                    <w:adjustRightInd w:val="0"/>
                    <w:snapToGrid w:val="0"/>
                    <w:jc w:val="center"/>
                    <w:rPr>
                      <w:color w:val="auto"/>
                      <w:szCs w:val="21"/>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7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7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355" w:type="pct"/>
                  <w:tcBorders>
                    <w:top w:val="single" w:color="auto" w:sz="4" w:space="0"/>
                    <w:left w:val="single" w:color="auto" w:sz="4" w:space="0"/>
                    <w:right w:val="single" w:color="auto" w:sz="4" w:space="0"/>
                  </w:tcBorders>
                  <w:vAlign w:val="center"/>
                </w:tcPr>
                <w:p>
                  <w:pPr>
                    <w:adjustRightInd w:val="0"/>
                    <w:snapToGrid w:val="0"/>
                    <w:jc w:val="center"/>
                    <w:rPr>
                      <w:color w:val="auto"/>
                      <w:szCs w:val="21"/>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7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c>
                <w:tcPr>
                  <w:tcW w:w="1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highlight w:val="none"/>
                    </w:rPr>
                  </w:pPr>
                </w:p>
              </w:tc>
            </w:tr>
          </w:tbl>
          <w:p>
            <w:pPr>
              <w:pStyle w:val="4"/>
              <w:rPr>
                <w:color w:val="auto"/>
                <w:highlight w:val="none"/>
              </w:rPr>
            </w:pPr>
            <w:r>
              <w:rPr>
                <w:rFonts w:hint="eastAsia"/>
                <w:color w:val="auto"/>
                <w:highlight w:val="none"/>
              </w:rPr>
              <w:t>2.3.2</w:t>
            </w:r>
            <w:r>
              <w:rPr>
                <w:color w:val="auto"/>
                <w:highlight w:val="none"/>
              </w:rPr>
              <w:t>现有工程排污许可申报情况</w:t>
            </w:r>
          </w:p>
          <w:p>
            <w:pPr>
              <w:pStyle w:val="8"/>
              <w:rPr>
                <w:color w:val="auto"/>
                <w:highlight w:val="none"/>
              </w:rPr>
            </w:pPr>
            <w:r>
              <w:rPr>
                <w:color w:val="auto"/>
                <w:highlight w:val="none"/>
              </w:rPr>
              <w:t>建设单位排污许可登记填报情况见表2-1</w:t>
            </w:r>
            <w:r>
              <w:rPr>
                <w:rFonts w:hint="eastAsia"/>
                <w:color w:val="auto"/>
                <w:highlight w:val="none"/>
                <w:lang w:eastAsia="zh"/>
              </w:rPr>
              <w:t>1</w:t>
            </w:r>
            <w:r>
              <w:rPr>
                <w:color w:val="auto"/>
                <w:highlight w:val="none"/>
              </w:rPr>
              <w:t>。</w:t>
            </w:r>
            <w:r>
              <w:rPr>
                <w:rFonts w:hint="eastAsia"/>
                <w:color w:val="auto"/>
                <w:highlight w:val="none"/>
              </w:rPr>
              <w:t>排污登记证见附件11。</w:t>
            </w:r>
          </w:p>
          <w:p>
            <w:pPr>
              <w:spacing w:line="360" w:lineRule="auto"/>
              <w:ind w:firstLine="422" w:firstLineChars="200"/>
              <w:jc w:val="center"/>
              <w:rPr>
                <w:b/>
                <w:color w:val="auto"/>
                <w:highlight w:val="none"/>
              </w:rPr>
            </w:pPr>
            <w:r>
              <w:rPr>
                <w:b/>
                <w:color w:val="auto"/>
                <w:highlight w:val="none"/>
              </w:rPr>
              <w:t>表2-1</w:t>
            </w:r>
            <w:r>
              <w:rPr>
                <w:rFonts w:hint="eastAsia"/>
                <w:b/>
                <w:color w:val="auto"/>
                <w:highlight w:val="none"/>
                <w:lang w:eastAsia="zh"/>
              </w:rPr>
              <w:t>1</w:t>
            </w:r>
            <w:r>
              <w:rPr>
                <w:b/>
                <w:color w:val="auto"/>
                <w:highlight w:val="none"/>
              </w:rPr>
              <w:t>排污许可填报情况表</w:t>
            </w:r>
          </w:p>
          <w:tbl>
            <w:tblPr>
              <w:tblStyle w:val="17"/>
              <w:tblW w:w="8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962"/>
              <w:gridCol w:w="962"/>
              <w:gridCol w:w="1625"/>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363" w:type="dxa"/>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登记编号</w:t>
                  </w:r>
                </w:p>
              </w:tc>
              <w:tc>
                <w:tcPr>
                  <w:tcW w:w="963" w:type="dxa"/>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业务类型</w:t>
                  </w:r>
                </w:p>
              </w:tc>
              <w:tc>
                <w:tcPr>
                  <w:tcW w:w="963" w:type="dxa"/>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版本</w:t>
                  </w:r>
                </w:p>
              </w:tc>
              <w:tc>
                <w:tcPr>
                  <w:tcW w:w="1627" w:type="dxa"/>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登记时间</w:t>
                  </w:r>
                </w:p>
              </w:tc>
              <w:tc>
                <w:tcPr>
                  <w:tcW w:w="2505" w:type="dxa"/>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center"/>
                    <w:textAlignment w:val="center"/>
                    <w:rPr>
                      <w:rFonts w:ascii="宋体" w:hAnsi="宋体" w:cs="宋体"/>
                      <w:color w:val="auto"/>
                      <w:sz w:val="22"/>
                      <w:szCs w:val="22"/>
                      <w:highlight w:val="none"/>
                    </w:rPr>
                  </w:pPr>
                </w:p>
              </w:tc>
              <w:tc>
                <w:tcPr>
                  <w:tcW w:w="1627" w:type="dxa"/>
                  <w:noWrap/>
                  <w:vAlign w:val="center"/>
                </w:tcPr>
                <w:p>
                  <w:pPr>
                    <w:widowControl/>
                    <w:jc w:val="left"/>
                    <w:textAlignment w:val="center"/>
                    <w:rPr>
                      <w:rFonts w:ascii="宋体" w:hAnsi="宋体" w:cs="宋体"/>
                      <w:color w:val="auto"/>
                      <w:sz w:val="22"/>
                      <w:szCs w:val="22"/>
                      <w:highlight w:val="none"/>
                    </w:rPr>
                  </w:pPr>
                </w:p>
              </w:tc>
              <w:tc>
                <w:tcPr>
                  <w:tcW w:w="2505" w:type="dxa"/>
                  <w:noWrap/>
                  <w:vAlign w:val="center"/>
                </w:tcPr>
                <w:p>
                  <w:pPr>
                    <w:widowControl/>
                    <w:jc w:val="left"/>
                    <w:textAlignment w:val="center"/>
                    <w:rPr>
                      <w:rFonts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3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center"/>
                    <w:textAlignment w:val="center"/>
                    <w:rPr>
                      <w:rFonts w:ascii="宋体" w:hAnsi="宋体" w:cs="宋体"/>
                      <w:color w:val="auto"/>
                      <w:sz w:val="22"/>
                      <w:szCs w:val="22"/>
                      <w:highlight w:val="none"/>
                    </w:rPr>
                  </w:pPr>
                </w:p>
              </w:tc>
              <w:tc>
                <w:tcPr>
                  <w:tcW w:w="1627" w:type="dxa"/>
                  <w:noWrap/>
                  <w:vAlign w:val="center"/>
                </w:tcPr>
                <w:p>
                  <w:pPr>
                    <w:widowControl/>
                    <w:jc w:val="left"/>
                    <w:textAlignment w:val="center"/>
                    <w:rPr>
                      <w:rFonts w:ascii="宋体" w:hAnsi="宋体" w:cs="宋体"/>
                      <w:color w:val="auto"/>
                      <w:sz w:val="22"/>
                      <w:szCs w:val="22"/>
                      <w:highlight w:val="none"/>
                    </w:rPr>
                  </w:pPr>
                </w:p>
              </w:tc>
              <w:tc>
                <w:tcPr>
                  <w:tcW w:w="2505" w:type="dxa"/>
                  <w:noWrap/>
                  <w:vAlign w:val="center"/>
                </w:tcPr>
                <w:p>
                  <w:pPr>
                    <w:widowControl/>
                    <w:jc w:val="left"/>
                    <w:textAlignment w:val="center"/>
                    <w:rPr>
                      <w:rFonts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3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left"/>
                    <w:textAlignment w:val="center"/>
                    <w:rPr>
                      <w:rFonts w:ascii="宋体" w:hAnsi="宋体" w:cs="宋体"/>
                      <w:color w:val="auto"/>
                      <w:sz w:val="22"/>
                      <w:szCs w:val="22"/>
                      <w:highlight w:val="none"/>
                    </w:rPr>
                  </w:pPr>
                </w:p>
              </w:tc>
              <w:tc>
                <w:tcPr>
                  <w:tcW w:w="963" w:type="dxa"/>
                  <w:noWrap/>
                  <w:vAlign w:val="center"/>
                </w:tcPr>
                <w:p>
                  <w:pPr>
                    <w:widowControl/>
                    <w:jc w:val="center"/>
                    <w:textAlignment w:val="center"/>
                    <w:rPr>
                      <w:rFonts w:ascii="宋体" w:hAnsi="宋体" w:cs="宋体"/>
                      <w:color w:val="auto"/>
                      <w:sz w:val="22"/>
                      <w:szCs w:val="22"/>
                      <w:highlight w:val="none"/>
                    </w:rPr>
                  </w:pPr>
                </w:p>
              </w:tc>
              <w:tc>
                <w:tcPr>
                  <w:tcW w:w="1627" w:type="dxa"/>
                  <w:noWrap/>
                  <w:vAlign w:val="center"/>
                </w:tcPr>
                <w:p>
                  <w:pPr>
                    <w:widowControl/>
                    <w:jc w:val="left"/>
                    <w:textAlignment w:val="center"/>
                    <w:rPr>
                      <w:rFonts w:ascii="宋体" w:hAnsi="宋体" w:cs="宋体"/>
                      <w:color w:val="auto"/>
                      <w:sz w:val="22"/>
                      <w:szCs w:val="22"/>
                      <w:highlight w:val="none"/>
                    </w:rPr>
                  </w:pPr>
                </w:p>
              </w:tc>
              <w:tc>
                <w:tcPr>
                  <w:tcW w:w="2505" w:type="dxa"/>
                  <w:noWrap/>
                  <w:vAlign w:val="center"/>
                </w:tcPr>
                <w:p>
                  <w:pPr>
                    <w:widowControl/>
                    <w:jc w:val="left"/>
                    <w:textAlignment w:val="center"/>
                    <w:rPr>
                      <w:rFonts w:ascii="宋体" w:hAnsi="宋体" w:cs="宋体"/>
                      <w:color w:val="auto"/>
                      <w:sz w:val="22"/>
                      <w:szCs w:val="22"/>
                      <w:highlight w:val="none"/>
                    </w:rPr>
                  </w:pPr>
                </w:p>
              </w:tc>
            </w:tr>
          </w:tbl>
          <w:p>
            <w:pPr>
              <w:pStyle w:val="4"/>
              <w:rPr>
                <w:color w:val="auto"/>
                <w:highlight w:val="none"/>
              </w:rPr>
            </w:pPr>
            <w:r>
              <w:rPr>
                <w:rFonts w:hint="eastAsia"/>
                <w:color w:val="auto"/>
                <w:highlight w:val="none"/>
              </w:rPr>
              <w:t>2.3.3</w:t>
            </w:r>
            <w:r>
              <w:rPr>
                <w:color w:val="auto"/>
                <w:highlight w:val="none"/>
              </w:rPr>
              <w:t>与拟建项目有关的主要环境问题及整改措施</w:t>
            </w:r>
          </w:p>
          <w:p>
            <w:pPr>
              <w:pStyle w:val="8"/>
              <w:rPr>
                <w:color w:val="auto"/>
                <w:highlight w:val="none"/>
                <w:u w:val="single"/>
              </w:rPr>
            </w:pPr>
            <w:r>
              <w:rPr>
                <w:rFonts w:hint="eastAsia"/>
                <w:color w:val="auto"/>
                <w:highlight w:val="none"/>
                <w:u w:val="single"/>
              </w:rPr>
              <w:t>1.现有工程非放射性废水排水系统</w:t>
            </w:r>
          </w:p>
          <w:p>
            <w:pPr>
              <w:pStyle w:val="8"/>
              <w:numPr>
                <w:ilvl w:val="255"/>
                <w:numId w:val="0"/>
              </w:numPr>
              <w:rPr>
                <w:color w:val="auto"/>
                <w:highlight w:val="none"/>
                <w:u w:val="single"/>
              </w:rPr>
            </w:pPr>
            <w:r>
              <w:rPr>
                <w:rFonts w:hint="eastAsia"/>
                <w:color w:val="auto"/>
                <w:highlight w:val="none"/>
              </w:rPr>
              <w:t>核电厂排入外环境的废水以温排水为主，福清核电1-6号机组温排水量348m</w:t>
            </w:r>
            <w:r>
              <w:rPr>
                <w:rFonts w:hint="eastAsia"/>
                <w:color w:val="auto"/>
                <w:highlight w:val="none"/>
                <w:vertAlign w:val="superscript"/>
              </w:rPr>
              <w:t>3</w:t>
            </w:r>
            <w:r>
              <w:rPr>
                <w:rFonts w:hint="eastAsia"/>
                <w:color w:val="auto"/>
                <w:highlight w:val="none"/>
              </w:rPr>
              <w:t>/s，排放的非放射性生产废水量占比不足0.02%</w:t>
            </w:r>
            <w:r>
              <w:rPr>
                <w:rFonts w:hint="eastAsia"/>
                <w:color w:val="auto"/>
                <w:highlight w:val="none"/>
                <w:lang w:eastAsia="zh-CN"/>
              </w:rPr>
              <w:t>且</w:t>
            </w:r>
            <w:r>
              <w:rPr>
                <w:rFonts w:hint="eastAsia"/>
                <w:color w:val="auto"/>
                <w:highlight w:val="none"/>
              </w:rPr>
              <w:t>生产废水成分相对简单和清洁，</w:t>
            </w:r>
            <w:r>
              <w:rPr>
                <w:color w:val="auto"/>
                <w:highlight w:val="none"/>
              </w:rPr>
              <w:t>1~6号机组现状排水管网采用雨废合流方式</w:t>
            </w:r>
            <w:r>
              <w:rPr>
                <w:rFonts w:hint="eastAsia"/>
                <w:color w:val="auto"/>
                <w:highlight w:val="none"/>
              </w:rPr>
              <w:t>。除温排水和非放射生产废水外，排入总排口的废水还有全厂的生活污水。全厂现状雨水排放口见附图11。</w:t>
            </w:r>
            <w:r>
              <w:rPr>
                <w:rFonts w:hint="eastAsia"/>
                <w:color w:val="auto"/>
                <w:highlight w:val="none"/>
                <w:u w:val="single"/>
              </w:rPr>
              <w:t>现状除盐水系统排水经酸碱处理后排入虹吸井，处理工艺见前文图2-6，含油废水的处理工艺见前文图2-7。其他非经常性的如检修冲洗废水等均排入厂区内雨水管沟，进入CC虹吸井，最终进入排水明渠。详见前文表2-3。</w:t>
            </w:r>
          </w:p>
          <w:p>
            <w:pPr>
              <w:pStyle w:val="8"/>
              <w:rPr>
                <w:color w:val="auto"/>
                <w:highlight w:val="none"/>
                <w:u w:val="single"/>
              </w:rPr>
            </w:pPr>
            <w:r>
              <w:rPr>
                <w:rFonts w:hint="eastAsia"/>
                <w:color w:val="auto"/>
                <w:highlight w:val="none"/>
                <w:u w:val="single"/>
              </w:rPr>
              <w:t>存在问题：厂内</w:t>
            </w:r>
            <w:r>
              <w:rPr>
                <w:color w:val="auto"/>
                <w:highlight w:val="none"/>
                <w:u w:val="single"/>
              </w:rPr>
              <w:t>雨</w:t>
            </w:r>
            <w:r>
              <w:rPr>
                <w:rFonts w:hint="eastAsia"/>
                <w:color w:val="auto"/>
                <w:highlight w:val="none"/>
                <w:u w:val="single"/>
              </w:rPr>
              <w:t>水和非放射性生产废水混流，需进行分离改造。</w:t>
            </w:r>
          </w:p>
          <w:p>
            <w:pPr>
              <w:pStyle w:val="8"/>
              <w:rPr>
                <w:color w:val="auto"/>
                <w:highlight w:val="none"/>
              </w:rPr>
            </w:pPr>
            <w:r>
              <w:rPr>
                <w:rFonts w:hint="eastAsia"/>
                <w:color w:val="auto"/>
                <w:highlight w:val="none"/>
              </w:rPr>
              <w:t>2.</w:t>
            </w:r>
            <w:r>
              <w:rPr>
                <w:color w:val="auto"/>
                <w:highlight w:val="none"/>
              </w:rPr>
              <w:t>整改措施</w:t>
            </w:r>
          </w:p>
          <w:p>
            <w:pPr>
              <w:pStyle w:val="8"/>
              <w:rPr>
                <w:color w:val="auto"/>
                <w:highlight w:val="none"/>
              </w:rPr>
            </w:pPr>
            <w:r>
              <w:rPr>
                <w:rFonts w:hint="eastAsia"/>
                <w:color w:val="auto"/>
                <w:highlight w:val="none"/>
              </w:rPr>
              <w:t>现有工程雨废管网改造，建设一座非放射性废水处理站，非放射性生产废水经</w:t>
            </w:r>
            <w:r>
              <w:rPr>
                <w:color w:val="auto"/>
                <w:highlight w:val="none"/>
              </w:rPr>
              <w:t>处理后</w:t>
            </w:r>
            <w:r>
              <w:rPr>
                <w:rFonts w:hint="eastAsia"/>
                <w:color w:val="auto"/>
                <w:highlight w:val="none"/>
              </w:rPr>
              <w:t>排入现有虹吸井（总排放渠混合井CC）</w:t>
            </w:r>
            <w:r>
              <w:rPr>
                <w:color w:val="auto"/>
                <w:highlight w:val="none"/>
              </w:rPr>
              <w:t>。</w:t>
            </w:r>
            <w:r>
              <w:rPr>
                <w:rFonts w:hint="eastAsia"/>
                <w:color w:val="auto"/>
                <w:highlight w:val="none"/>
                <w:u w:val="single"/>
              </w:rPr>
              <w:t>改造前和改造后的管网分布图见附图13。</w:t>
            </w:r>
          </w:p>
          <w:p>
            <w:pPr>
              <w:rPr>
                <w:color w:val="auto"/>
                <w:highlight w:val="none"/>
              </w:rPr>
            </w:pPr>
          </w:p>
        </w:tc>
      </w:tr>
    </w:tbl>
    <w:p>
      <w:pPr>
        <w:pStyle w:val="14"/>
        <w:jc w:val="center"/>
        <w:rPr>
          <w:rFonts w:ascii="黑体" w:hAnsi="黑体" w:eastAsia="黑体"/>
          <w:snapToGrid w:val="0"/>
          <w:color w:val="auto"/>
          <w:sz w:val="36"/>
          <w:szCs w:val="36"/>
          <w:highlight w:val="none"/>
        </w:rPr>
        <w:sectPr>
          <w:footerReference r:id="rId6" w:type="default"/>
          <w:pgSz w:w="11906" w:h="16838"/>
          <w:pgMar w:top="1701" w:right="1531" w:bottom="1701" w:left="1531" w:header="851" w:footer="851" w:gutter="0"/>
          <w:cols w:space="720" w:num="1"/>
          <w:docGrid w:linePitch="312" w:charSpace="0"/>
        </w:sectPr>
      </w:pPr>
    </w:p>
    <w:p>
      <w:pPr>
        <w:pStyle w:val="14"/>
        <w:ind w:firstLine="600" w:firstLineChars="200"/>
        <w:jc w:val="center"/>
        <w:outlineLvl w:val="0"/>
        <w:rPr>
          <w:rFonts w:ascii="黑体" w:hAnsi="黑体" w:eastAsia="黑体"/>
          <w:snapToGrid w:val="0"/>
          <w:color w:val="auto"/>
          <w:sz w:val="30"/>
          <w:szCs w:val="30"/>
          <w:highlight w:val="none"/>
        </w:rPr>
      </w:pPr>
      <w:bookmarkStart w:id="21" w:name="_Toc32497"/>
      <w:bookmarkStart w:id="22" w:name="_Toc19817"/>
      <w:r>
        <w:rPr>
          <w:rFonts w:hint="eastAsia" w:ascii="黑体" w:hAnsi="黑体" w:eastAsia="黑体"/>
          <w:snapToGrid w:val="0"/>
          <w:color w:val="auto"/>
          <w:sz w:val="30"/>
          <w:szCs w:val="30"/>
          <w:highlight w:val="none"/>
        </w:rPr>
        <w:t>三、区域环境质量现状、环境保护目标及评价标准</w:t>
      </w:r>
      <w:bookmarkEnd w:id="21"/>
      <w:bookmarkEnd w:id="2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4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66" w:type="dxa"/>
            <w:vAlign w:val="center"/>
          </w:tcPr>
          <w:p>
            <w:pPr>
              <w:rPr>
                <w:color w:val="auto"/>
                <w:highlight w:val="none"/>
              </w:rPr>
            </w:pPr>
            <w:r>
              <w:rPr>
                <w:rFonts w:hint="eastAsia"/>
                <w:color w:val="auto"/>
                <w:highlight w:val="none"/>
              </w:rPr>
              <w:t>区域</w:t>
            </w:r>
          </w:p>
          <w:p>
            <w:pPr>
              <w:rPr>
                <w:color w:val="auto"/>
                <w:highlight w:val="none"/>
              </w:rPr>
            </w:pPr>
            <w:r>
              <w:rPr>
                <w:rFonts w:hint="eastAsia"/>
                <w:color w:val="auto"/>
                <w:highlight w:val="none"/>
              </w:rPr>
              <w:t>环境</w:t>
            </w:r>
          </w:p>
          <w:p>
            <w:pPr>
              <w:rPr>
                <w:color w:val="auto"/>
                <w:highlight w:val="none"/>
              </w:rPr>
            </w:pPr>
            <w:r>
              <w:rPr>
                <w:rFonts w:hint="eastAsia"/>
                <w:color w:val="auto"/>
                <w:highlight w:val="none"/>
              </w:rPr>
              <w:t>质量</w:t>
            </w:r>
          </w:p>
          <w:p>
            <w:pPr>
              <w:rPr>
                <w:color w:val="auto"/>
                <w:highlight w:val="none"/>
              </w:rPr>
            </w:pPr>
            <w:r>
              <w:rPr>
                <w:rFonts w:hint="eastAsia"/>
                <w:color w:val="auto"/>
                <w:highlight w:val="none"/>
              </w:rPr>
              <w:t>现状</w:t>
            </w:r>
          </w:p>
        </w:tc>
        <w:tc>
          <w:tcPr>
            <w:tcW w:w="8424" w:type="dxa"/>
            <w:vAlign w:val="center"/>
          </w:tcPr>
          <w:p>
            <w:pPr>
              <w:pStyle w:val="3"/>
              <w:rPr>
                <w:color w:val="auto"/>
                <w:highlight w:val="none"/>
              </w:rPr>
            </w:pPr>
            <w:bookmarkStart w:id="23" w:name="_Toc9219"/>
            <w:bookmarkStart w:id="24" w:name="_Toc23548"/>
            <w:r>
              <w:rPr>
                <w:rFonts w:hint="eastAsia"/>
                <w:color w:val="auto"/>
                <w:highlight w:val="none"/>
              </w:rPr>
              <w:t>3.</w:t>
            </w:r>
            <w:r>
              <w:rPr>
                <w:color w:val="auto"/>
                <w:highlight w:val="none"/>
              </w:rPr>
              <w:t>1</w:t>
            </w:r>
            <w:r>
              <w:rPr>
                <w:rFonts w:hint="eastAsia"/>
                <w:color w:val="auto"/>
                <w:highlight w:val="none"/>
              </w:rPr>
              <w:t>区域环境质量现状</w:t>
            </w:r>
            <w:bookmarkEnd w:id="23"/>
            <w:bookmarkEnd w:id="24"/>
          </w:p>
          <w:p>
            <w:pPr>
              <w:pStyle w:val="4"/>
              <w:rPr>
                <w:color w:val="auto"/>
                <w:highlight w:val="none"/>
              </w:rPr>
            </w:pPr>
            <w:r>
              <w:rPr>
                <w:rFonts w:hint="eastAsia"/>
                <w:color w:val="auto"/>
                <w:highlight w:val="none"/>
              </w:rPr>
              <w:t>3.</w:t>
            </w:r>
            <w:r>
              <w:rPr>
                <w:color w:val="auto"/>
                <w:highlight w:val="none"/>
              </w:rPr>
              <w:t>1</w:t>
            </w:r>
            <w:r>
              <w:rPr>
                <w:rFonts w:hint="eastAsia"/>
                <w:color w:val="auto"/>
                <w:highlight w:val="none"/>
              </w:rPr>
              <w:t>.1</w:t>
            </w:r>
            <w:r>
              <w:rPr>
                <w:color w:val="auto"/>
                <w:highlight w:val="none"/>
              </w:rPr>
              <w:t>环境空气质量</w:t>
            </w:r>
          </w:p>
          <w:p>
            <w:pPr>
              <w:spacing w:line="360" w:lineRule="auto"/>
              <w:ind w:firstLine="480" w:firstLineChars="200"/>
              <w:rPr>
                <w:color w:val="auto"/>
                <w:sz w:val="24"/>
                <w:szCs w:val="32"/>
                <w:highlight w:val="none"/>
              </w:rPr>
            </w:pPr>
            <w:r>
              <w:rPr>
                <w:rFonts w:hint="eastAsia"/>
                <w:color w:val="auto"/>
                <w:sz w:val="24"/>
                <w:szCs w:val="32"/>
                <w:highlight w:val="none"/>
              </w:rPr>
              <w:t>（1）环境空气质量标准</w:t>
            </w:r>
          </w:p>
          <w:p>
            <w:pPr>
              <w:spacing w:line="360" w:lineRule="auto"/>
              <w:ind w:firstLine="480" w:firstLineChars="200"/>
              <w:rPr>
                <w:color w:val="auto"/>
                <w:sz w:val="24"/>
                <w:szCs w:val="32"/>
                <w:highlight w:val="none"/>
              </w:rPr>
            </w:pPr>
            <w:r>
              <w:rPr>
                <w:rFonts w:hint="eastAsia"/>
                <w:color w:val="auto"/>
                <w:sz w:val="24"/>
                <w:szCs w:val="32"/>
                <w:highlight w:val="none"/>
              </w:rPr>
              <w:t>根据福州市人民政府榕政综〔2014〕30号文件正式批准实施《福州市环境空气质量功能区划（报批稿）》的规定，项目所在区域属环境空气质量二类功能区，环境空气质量执行《环境空气质量标准》（GB3095-2012）及修改单中的二级标准。环境空气质量执行标准详见表3-1。</w:t>
            </w:r>
          </w:p>
          <w:p>
            <w:pPr>
              <w:numPr>
                <w:ilvl w:val="7"/>
                <w:numId w:val="0"/>
              </w:numPr>
              <w:tabs>
                <w:tab w:val="left" w:pos="420"/>
              </w:tabs>
              <w:spacing w:before="120" w:beforeLines="50"/>
              <w:ind w:firstLine="482" w:firstLineChars="200"/>
              <w:jc w:val="center"/>
              <w:rPr>
                <w:rFonts w:ascii="Microsoft JhengHei" w:hAnsi="Microsoft JhengHei" w:eastAsia="Microsoft JhengHei"/>
                <w:color w:val="auto"/>
                <w:sz w:val="17"/>
                <w:highlight w:val="none"/>
              </w:rPr>
            </w:pPr>
            <w:r>
              <w:rPr>
                <w:b/>
                <w:color w:val="auto"/>
                <w:kern w:val="0"/>
                <w:sz w:val="24"/>
                <w:highlight w:val="none"/>
              </w:rPr>
              <w:t>表3</w:t>
            </w:r>
            <w:r>
              <w:rPr>
                <w:rFonts w:hint="eastAsia"/>
                <w:b/>
                <w:color w:val="auto"/>
                <w:kern w:val="0"/>
                <w:sz w:val="24"/>
                <w:highlight w:val="none"/>
              </w:rPr>
              <w:t>-1</w:t>
            </w:r>
            <w:r>
              <w:rPr>
                <w:b/>
                <w:color w:val="auto"/>
                <w:kern w:val="0"/>
                <w:sz w:val="24"/>
                <w:highlight w:val="none"/>
              </w:rPr>
              <w:t>环境空气质量执行标准</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7"/>
              <w:gridCol w:w="1873"/>
              <w:gridCol w:w="1087"/>
              <w:gridCol w:w="1365"/>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Align w:val="center"/>
                </w:tcPr>
                <w:p>
                  <w:pPr>
                    <w:tabs>
                      <w:tab w:val="left" w:pos="0"/>
                    </w:tabs>
                    <w:jc w:val="center"/>
                    <w:rPr>
                      <w:iCs/>
                      <w:color w:val="auto"/>
                      <w:szCs w:val="21"/>
                      <w:highlight w:val="none"/>
                    </w:rPr>
                  </w:pPr>
                  <w:r>
                    <w:rPr>
                      <w:iCs/>
                      <w:color w:val="auto"/>
                      <w:szCs w:val="21"/>
                      <w:highlight w:val="none"/>
                    </w:rPr>
                    <w:t>污染物</w:t>
                  </w:r>
                </w:p>
              </w:tc>
              <w:tc>
                <w:tcPr>
                  <w:tcW w:w="1142" w:type="pct"/>
                  <w:vAlign w:val="center"/>
                </w:tcPr>
                <w:p>
                  <w:pPr>
                    <w:tabs>
                      <w:tab w:val="left" w:pos="0"/>
                    </w:tabs>
                    <w:jc w:val="center"/>
                    <w:rPr>
                      <w:iCs/>
                      <w:color w:val="auto"/>
                      <w:szCs w:val="21"/>
                      <w:highlight w:val="none"/>
                    </w:rPr>
                  </w:pPr>
                  <w:r>
                    <w:rPr>
                      <w:iCs/>
                      <w:color w:val="auto"/>
                      <w:szCs w:val="21"/>
                      <w:highlight w:val="none"/>
                    </w:rPr>
                    <w:t>取值时间</w:t>
                  </w:r>
                </w:p>
              </w:tc>
              <w:tc>
                <w:tcPr>
                  <w:tcW w:w="662" w:type="pct"/>
                  <w:vAlign w:val="center"/>
                </w:tcPr>
                <w:p>
                  <w:pPr>
                    <w:tabs>
                      <w:tab w:val="left" w:pos="0"/>
                    </w:tabs>
                    <w:jc w:val="center"/>
                    <w:rPr>
                      <w:iCs/>
                      <w:color w:val="auto"/>
                      <w:szCs w:val="21"/>
                      <w:highlight w:val="none"/>
                    </w:rPr>
                  </w:pPr>
                  <w:r>
                    <w:rPr>
                      <w:rFonts w:hint="eastAsia"/>
                      <w:iCs/>
                      <w:color w:val="auto"/>
                      <w:szCs w:val="21"/>
                      <w:highlight w:val="none"/>
                    </w:rPr>
                    <w:t>单位</w:t>
                  </w:r>
                </w:p>
              </w:tc>
              <w:tc>
                <w:tcPr>
                  <w:tcW w:w="832" w:type="pct"/>
                  <w:vAlign w:val="center"/>
                </w:tcPr>
                <w:p>
                  <w:pPr>
                    <w:tabs>
                      <w:tab w:val="left" w:pos="0"/>
                    </w:tabs>
                    <w:jc w:val="center"/>
                    <w:rPr>
                      <w:iCs/>
                      <w:color w:val="auto"/>
                      <w:szCs w:val="21"/>
                      <w:highlight w:val="none"/>
                    </w:rPr>
                  </w:pPr>
                  <w:r>
                    <w:rPr>
                      <w:iCs/>
                      <w:color w:val="auto"/>
                      <w:szCs w:val="21"/>
                      <w:highlight w:val="none"/>
                    </w:rPr>
                    <w:t>浓度限值</w:t>
                  </w:r>
                </w:p>
              </w:tc>
              <w:tc>
                <w:tcPr>
                  <w:tcW w:w="1746" w:type="pct"/>
                  <w:vAlign w:val="center"/>
                </w:tcPr>
                <w:p>
                  <w:pPr>
                    <w:tabs>
                      <w:tab w:val="left" w:pos="0"/>
                    </w:tabs>
                    <w:jc w:val="center"/>
                    <w:rPr>
                      <w:iCs/>
                      <w:color w:val="auto"/>
                      <w:szCs w:val="21"/>
                      <w:highlight w:val="none"/>
                    </w:rPr>
                  </w:pPr>
                  <w:r>
                    <w:rPr>
                      <w:iCs/>
                      <w:color w:val="auto"/>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SO</w:t>
                  </w:r>
                  <w:r>
                    <w:rPr>
                      <w:iCs/>
                      <w:color w:val="auto"/>
                      <w:szCs w:val="21"/>
                      <w:highlight w:val="none"/>
                      <w:vertAlign w:val="subscript"/>
                    </w:rPr>
                    <w:t>2</w:t>
                  </w:r>
                </w:p>
              </w:tc>
              <w:tc>
                <w:tcPr>
                  <w:tcW w:w="1142" w:type="pct"/>
                  <w:vAlign w:val="center"/>
                </w:tcPr>
                <w:p>
                  <w:pPr>
                    <w:tabs>
                      <w:tab w:val="left" w:pos="0"/>
                    </w:tabs>
                    <w:jc w:val="center"/>
                    <w:rPr>
                      <w:iCs/>
                      <w:color w:val="auto"/>
                      <w:szCs w:val="21"/>
                      <w:highlight w:val="none"/>
                    </w:rPr>
                  </w:pPr>
                  <w:r>
                    <w:rPr>
                      <w:iCs/>
                      <w:color w:val="auto"/>
                      <w:szCs w:val="21"/>
                      <w:highlight w:val="none"/>
                    </w:rPr>
                    <w:t>年平均</w:t>
                  </w:r>
                </w:p>
              </w:tc>
              <w:tc>
                <w:tcPr>
                  <w:tcW w:w="662" w:type="pct"/>
                  <w:vMerge w:val="restart"/>
                  <w:vAlign w:val="center"/>
                </w:tcPr>
                <w:p>
                  <w:pPr>
                    <w:tabs>
                      <w:tab w:val="left" w:pos="0"/>
                    </w:tabs>
                    <w:jc w:val="center"/>
                    <w:rPr>
                      <w:iCs/>
                      <w:color w:val="auto"/>
                      <w:szCs w:val="21"/>
                      <w:highlight w:val="none"/>
                    </w:rPr>
                  </w:pPr>
                  <w:r>
                    <w:rPr>
                      <w:iCs/>
                      <w:color w:val="auto"/>
                      <w:szCs w:val="21"/>
                      <w:highlight w:val="none"/>
                    </w:rPr>
                    <w:t>µg/</w:t>
                  </w:r>
                  <w:r>
                    <w:rPr>
                      <w:rFonts w:hint="eastAsia"/>
                      <w:iCs/>
                      <w:color w:val="auto"/>
                      <w:szCs w:val="21"/>
                      <w:highlight w:val="none"/>
                    </w:rPr>
                    <w:t>m</w:t>
                  </w:r>
                  <w:r>
                    <w:rPr>
                      <w:rFonts w:hint="eastAsia"/>
                      <w:iCs/>
                      <w:color w:val="auto"/>
                      <w:szCs w:val="21"/>
                      <w:highlight w:val="none"/>
                      <w:vertAlign w:val="superscript"/>
                    </w:rPr>
                    <w:t>3</w:t>
                  </w:r>
                </w:p>
              </w:tc>
              <w:tc>
                <w:tcPr>
                  <w:tcW w:w="832" w:type="pct"/>
                  <w:vAlign w:val="center"/>
                </w:tcPr>
                <w:p>
                  <w:pPr>
                    <w:tabs>
                      <w:tab w:val="left" w:pos="0"/>
                    </w:tabs>
                    <w:jc w:val="center"/>
                    <w:rPr>
                      <w:iCs/>
                      <w:color w:val="auto"/>
                      <w:szCs w:val="21"/>
                      <w:highlight w:val="none"/>
                    </w:rPr>
                  </w:pPr>
                  <w:r>
                    <w:rPr>
                      <w:rFonts w:hint="eastAsia"/>
                      <w:iCs/>
                      <w:color w:val="auto"/>
                      <w:szCs w:val="21"/>
                      <w:highlight w:val="none"/>
                    </w:rPr>
                    <w:t>60</w:t>
                  </w:r>
                </w:p>
              </w:tc>
              <w:tc>
                <w:tcPr>
                  <w:tcW w:w="1746" w:type="pct"/>
                  <w:vMerge w:val="restart"/>
                  <w:vAlign w:val="center"/>
                </w:tcPr>
                <w:p>
                  <w:pPr>
                    <w:tabs>
                      <w:tab w:val="left" w:pos="0"/>
                    </w:tabs>
                    <w:jc w:val="center"/>
                    <w:rPr>
                      <w:iCs/>
                      <w:color w:val="auto"/>
                      <w:szCs w:val="21"/>
                      <w:highlight w:val="none"/>
                    </w:rPr>
                  </w:pPr>
                  <w:r>
                    <w:rPr>
                      <w:iCs/>
                      <w:color w:val="auto"/>
                      <w:szCs w:val="21"/>
                      <w:highlight w:val="none"/>
                    </w:rPr>
                    <w:t>《环境空气质量标准》（GB3095-2012）及修订单二级标准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24小时平均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rFonts w:hint="eastAsia"/>
                      <w:iCs/>
                      <w:color w:val="auto"/>
                      <w:szCs w:val="21"/>
                      <w:highlight w:val="none"/>
                    </w:rPr>
                    <w:t>150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1小时平均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rFonts w:hint="eastAsia"/>
                      <w:iCs/>
                      <w:color w:val="auto"/>
                      <w:szCs w:val="21"/>
                      <w:highlight w:val="none"/>
                    </w:rPr>
                    <w:t>500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NO</w:t>
                  </w:r>
                  <w:r>
                    <w:rPr>
                      <w:iCs/>
                      <w:color w:val="auto"/>
                      <w:szCs w:val="21"/>
                      <w:highlight w:val="none"/>
                      <w:vertAlign w:val="subscript"/>
                    </w:rPr>
                    <w:t>2</w:t>
                  </w:r>
                </w:p>
              </w:tc>
              <w:tc>
                <w:tcPr>
                  <w:tcW w:w="1142" w:type="pct"/>
                  <w:vAlign w:val="center"/>
                </w:tcPr>
                <w:p>
                  <w:pPr>
                    <w:tabs>
                      <w:tab w:val="left" w:pos="0"/>
                    </w:tabs>
                    <w:jc w:val="center"/>
                    <w:rPr>
                      <w:iCs/>
                      <w:color w:val="auto"/>
                      <w:szCs w:val="21"/>
                      <w:highlight w:val="none"/>
                    </w:rPr>
                  </w:pPr>
                  <w:r>
                    <w:rPr>
                      <w:iCs/>
                      <w:color w:val="auto"/>
                      <w:szCs w:val="21"/>
                      <w:highlight w:val="none"/>
                    </w:rPr>
                    <w:t>年平均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rFonts w:hint="eastAsia"/>
                      <w:iCs/>
                      <w:color w:val="auto"/>
                      <w:szCs w:val="21"/>
                      <w:highlight w:val="none"/>
                    </w:rPr>
                    <w:t>40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24小时平均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rFonts w:hint="eastAsia"/>
                      <w:iCs/>
                      <w:color w:val="auto"/>
                      <w:szCs w:val="21"/>
                      <w:highlight w:val="none"/>
                    </w:rPr>
                    <w:t>80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1小时平均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rFonts w:hint="eastAsia"/>
                      <w:iCs/>
                      <w:color w:val="auto"/>
                      <w:szCs w:val="21"/>
                      <w:highlight w:val="none"/>
                    </w:rPr>
                    <w:t>200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CO</w:t>
                  </w:r>
                </w:p>
              </w:tc>
              <w:tc>
                <w:tcPr>
                  <w:tcW w:w="1142" w:type="pct"/>
                  <w:vAlign w:val="center"/>
                </w:tcPr>
                <w:p>
                  <w:pPr>
                    <w:tabs>
                      <w:tab w:val="left" w:pos="0"/>
                    </w:tabs>
                    <w:jc w:val="center"/>
                    <w:rPr>
                      <w:iCs/>
                      <w:color w:val="auto"/>
                      <w:szCs w:val="21"/>
                      <w:highlight w:val="none"/>
                    </w:rPr>
                  </w:pPr>
                  <w:r>
                    <w:rPr>
                      <w:iCs/>
                      <w:color w:val="auto"/>
                      <w:szCs w:val="21"/>
                      <w:highlight w:val="none"/>
                    </w:rPr>
                    <w:t>24小时平均</w:t>
                  </w:r>
                </w:p>
              </w:tc>
              <w:tc>
                <w:tcPr>
                  <w:tcW w:w="662" w:type="pct"/>
                  <w:vMerge w:val="restart"/>
                  <w:vAlign w:val="center"/>
                </w:tcPr>
                <w:p>
                  <w:pPr>
                    <w:tabs>
                      <w:tab w:val="left" w:pos="0"/>
                    </w:tabs>
                    <w:jc w:val="center"/>
                    <w:rPr>
                      <w:iCs/>
                      <w:color w:val="auto"/>
                      <w:szCs w:val="21"/>
                      <w:highlight w:val="none"/>
                    </w:rPr>
                  </w:pPr>
                  <w:r>
                    <w:rPr>
                      <w:iCs/>
                      <w:color w:val="auto"/>
                      <w:szCs w:val="21"/>
                      <w:highlight w:val="none"/>
                    </w:rPr>
                    <w:t>mg/</w:t>
                  </w:r>
                  <w:r>
                    <w:rPr>
                      <w:rFonts w:hint="eastAsia"/>
                      <w:iCs/>
                      <w:color w:val="auto"/>
                      <w:szCs w:val="21"/>
                      <w:highlight w:val="none"/>
                    </w:rPr>
                    <w:t>m</w:t>
                  </w:r>
                  <w:r>
                    <w:rPr>
                      <w:rFonts w:hint="eastAsia"/>
                      <w:iCs/>
                      <w:color w:val="auto"/>
                      <w:szCs w:val="21"/>
                      <w:highlight w:val="none"/>
                      <w:vertAlign w:val="superscript"/>
                    </w:rPr>
                    <w:t>3</w:t>
                  </w:r>
                </w:p>
              </w:tc>
              <w:tc>
                <w:tcPr>
                  <w:tcW w:w="832" w:type="pct"/>
                  <w:vAlign w:val="center"/>
                </w:tcPr>
                <w:p>
                  <w:pPr>
                    <w:tabs>
                      <w:tab w:val="left" w:pos="0"/>
                    </w:tabs>
                    <w:jc w:val="center"/>
                    <w:rPr>
                      <w:iCs/>
                      <w:color w:val="auto"/>
                      <w:szCs w:val="21"/>
                      <w:highlight w:val="none"/>
                    </w:rPr>
                  </w:pPr>
                  <w:r>
                    <w:rPr>
                      <w:iCs/>
                      <w:color w:val="auto"/>
                      <w:szCs w:val="21"/>
                      <w:highlight w:val="none"/>
                    </w:rPr>
                    <w:t>4</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1小时平均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10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O</w:t>
                  </w:r>
                  <w:r>
                    <w:rPr>
                      <w:iCs/>
                      <w:color w:val="auto"/>
                      <w:szCs w:val="21"/>
                      <w:highlight w:val="none"/>
                      <w:vertAlign w:val="subscript"/>
                    </w:rPr>
                    <w:t>3</w:t>
                  </w:r>
                </w:p>
              </w:tc>
              <w:tc>
                <w:tcPr>
                  <w:tcW w:w="1142" w:type="pct"/>
                  <w:vAlign w:val="center"/>
                </w:tcPr>
                <w:p>
                  <w:pPr>
                    <w:tabs>
                      <w:tab w:val="left" w:pos="0"/>
                    </w:tabs>
                    <w:jc w:val="center"/>
                    <w:rPr>
                      <w:iCs/>
                      <w:color w:val="auto"/>
                      <w:szCs w:val="21"/>
                      <w:highlight w:val="none"/>
                    </w:rPr>
                  </w:pPr>
                  <w:r>
                    <w:rPr>
                      <w:iCs/>
                      <w:color w:val="auto"/>
                      <w:szCs w:val="21"/>
                      <w:highlight w:val="none"/>
                    </w:rPr>
                    <w:t>日最大8小时平均</w:t>
                  </w:r>
                </w:p>
              </w:tc>
              <w:tc>
                <w:tcPr>
                  <w:tcW w:w="662" w:type="pct"/>
                  <w:vMerge w:val="restart"/>
                  <w:vAlign w:val="center"/>
                </w:tcPr>
                <w:p>
                  <w:pPr>
                    <w:tabs>
                      <w:tab w:val="left" w:pos="0"/>
                    </w:tabs>
                    <w:jc w:val="center"/>
                    <w:rPr>
                      <w:iCs/>
                      <w:color w:val="auto"/>
                      <w:szCs w:val="21"/>
                      <w:highlight w:val="none"/>
                    </w:rPr>
                  </w:pPr>
                  <w:r>
                    <w:rPr>
                      <w:iCs/>
                      <w:color w:val="auto"/>
                      <w:szCs w:val="21"/>
                      <w:highlight w:val="none"/>
                    </w:rPr>
                    <w:t>µg/</w:t>
                  </w:r>
                  <w:r>
                    <w:rPr>
                      <w:rFonts w:hint="eastAsia"/>
                      <w:iCs/>
                      <w:color w:val="auto"/>
                      <w:szCs w:val="21"/>
                      <w:highlight w:val="none"/>
                    </w:rPr>
                    <w:t>m</w:t>
                  </w:r>
                  <w:r>
                    <w:rPr>
                      <w:rFonts w:hint="eastAsia"/>
                      <w:iCs/>
                      <w:color w:val="auto"/>
                      <w:szCs w:val="21"/>
                      <w:highlight w:val="none"/>
                      <w:vertAlign w:val="superscript"/>
                    </w:rPr>
                    <w:t>3</w:t>
                  </w:r>
                </w:p>
              </w:tc>
              <w:tc>
                <w:tcPr>
                  <w:tcW w:w="832" w:type="pct"/>
                  <w:vAlign w:val="center"/>
                </w:tcPr>
                <w:p>
                  <w:pPr>
                    <w:tabs>
                      <w:tab w:val="left" w:pos="0"/>
                    </w:tabs>
                    <w:jc w:val="center"/>
                    <w:rPr>
                      <w:iCs/>
                      <w:color w:val="auto"/>
                      <w:szCs w:val="21"/>
                      <w:highlight w:val="none"/>
                    </w:rPr>
                  </w:pPr>
                  <w:r>
                    <w:rPr>
                      <w:iCs/>
                      <w:color w:val="auto"/>
                      <w:szCs w:val="21"/>
                      <w:highlight w:val="none"/>
                    </w:rPr>
                    <w:t>16</w:t>
                  </w:r>
                  <w:r>
                    <w:rPr>
                      <w:rFonts w:hint="eastAsia"/>
                      <w:iCs/>
                      <w:color w:val="auto"/>
                      <w:szCs w:val="21"/>
                      <w:highlight w:val="none"/>
                    </w:rPr>
                    <w:t>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1小时平均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20</w:t>
                  </w:r>
                  <w:r>
                    <w:rPr>
                      <w:rFonts w:hint="eastAsia"/>
                      <w:iCs/>
                      <w:color w:val="auto"/>
                      <w:szCs w:val="21"/>
                      <w:highlight w:val="none"/>
                    </w:rPr>
                    <w:t>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PM</w:t>
                  </w:r>
                  <w:r>
                    <w:rPr>
                      <w:iCs/>
                      <w:color w:val="auto"/>
                      <w:szCs w:val="21"/>
                      <w:highlight w:val="none"/>
                      <w:vertAlign w:val="subscript"/>
                    </w:rPr>
                    <w:t>10</w:t>
                  </w:r>
                </w:p>
              </w:tc>
              <w:tc>
                <w:tcPr>
                  <w:tcW w:w="1142" w:type="pct"/>
                  <w:vAlign w:val="center"/>
                </w:tcPr>
                <w:p>
                  <w:pPr>
                    <w:tabs>
                      <w:tab w:val="left" w:pos="0"/>
                    </w:tabs>
                    <w:jc w:val="center"/>
                    <w:rPr>
                      <w:iCs/>
                      <w:color w:val="auto"/>
                      <w:szCs w:val="21"/>
                      <w:highlight w:val="none"/>
                    </w:rPr>
                  </w:pPr>
                  <w:r>
                    <w:rPr>
                      <w:iCs/>
                      <w:color w:val="auto"/>
                      <w:szCs w:val="21"/>
                      <w:highlight w:val="none"/>
                    </w:rPr>
                    <w:t>年平均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7</w:t>
                  </w:r>
                  <w:r>
                    <w:rPr>
                      <w:rFonts w:hint="eastAsia"/>
                      <w:iCs/>
                      <w:color w:val="auto"/>
                      <w:szCs w:val="21"/>
                      <w:highlight w:val="none"/>
                    </w:rPr>
                    <w:t>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24小时平均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15</w:t>
                  </w:r>
                  <w:r>
                    <w:rPr>
                      <w:rFonts w:hint="eastAsia"/>
                      <w:iCs/>
                      <w:color w:val="auto"/>
                      <w:szCs w:val="21"/>
                      <w:highlight w:val="none"/>
                    </w:rPr>
                    <w:t>0</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614" w:type="pct"/>
                  <w:vMerge w:val="restart"/>
                  <w:vAlign w:val="center"/>
                </w:tcPr>
                <w:p>
                  <w:pPr>
                    <w:tabs>
                      <w:tab w:val="left" w:pos="0"/>
                    </w:tabs>
                    <w:jc w:val="center"/>
                    <w:rPr>
                      <w:iCs/>
                      <w:color w:val="auto"/>
                      <w:szCs w:val="21"/>
                      <w:highlight w:val="none"/>
                    </w:rPr>
                  </w:pPr>
                  <w:r>
                    <w:rPr>
                      <w:iCs/>
                      <w:color w:val="auto"/>
                      <w:szCs w:val="21"/>
                      <w:highlight w:val="none"/>
                    </w:rPr>
                    <w:t>PM</w:t>
                  </w:r>
                  <w:r>
                    <w:rPr>
                      <w:iCs/>
                      <w:color w:val="auto"/>
                      <w:szCs w:val="21"/>
                      <w:highlight w:val="none"/>
                      <w:vertAlign w:val="subscript"/>
                    </w:rPr>
                    <w:t>2.5</w:t>
                  </w:r>
                </w:p>
              </w:tc>
              <w:tc>
                <w:tcPr>
                  <w:tcW w:w="1142" w:type="pct"/>
                  <w:vAlign w:val="center"/>
                </w:tcPr>
                <w:p>
                  <w:pPr>
                    <w:tabs>
                      <w:tab w:val="left" w:pos="0"/>
                    </w:tabs>
                    <w:jc w:val="center"/>
                    <w:rPr>
                      <w:iCs/>
                      <w:color w:val="auto"/>
                      <w:szCs w:val="21"/>
                      <w:highlight w:val="none"/>
                    </w:rPr>
                  </w:pPr>
                  <w:r>
                    <w:rPr>
                      <w:iCs/>
                      <w:color w:val="auto"/>
                      <w:szCs w:val="21"/>
                      <w:highlight w:val="none"/>
                    </w:rPr>
                    <w:t>年平均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35</w:t>
                  </w:r>
                </w:p>
              </w:tc>
              <w:tc>
                <w:tcPr>
                  <w:tcW w:w="1746" w:type="pct"/>
                  <w:vMerge w:val="continue"/>
                  <w:vAlign w:val="center"/>
                </w:tcPr>
                <w:p>
                  <w:pPr>
                    <w:tabs>
                      <w:tab w:val="left" w:pos="0"/>
                    </w:tabs>
                    <w:jc w:val="center"/>
                    <w:rPr>
                      <w:i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614" w:type="pct"/>
                  <w:vMerge w:val="continue"/>
                  <w:vAlign w:val="center"/>
                </w:tcPr>
                <w:p>
                  <w:pPr>
                    <w:tabs>
                      <w:tab w:val="left" w:pos="0"/>
                    </w:tabs>
                    <w:jc w:val="center"/>
                    <w:rPr>
                      <w:iCs/>
                      <w:color w:val="auto"/>
                      <w:szCs w:val="21"/>
                      <w:highlight w:val="none"/>
                    </w:rPr>
                  </w:pPr>
                </w:p>
              </w:tc>
              <w:tc>
                <w:tcPr>
                  <w:tcW w:w="1142" w:type="pct"/>
                  <w:vAlign w:val="center"/>
                </w:tcPr>
                <w:p>
                  <w:pPr>
                    <w:tabs>
                      <w:tab w:val="left" w:pos="0"/>
                    </w:tabs>
                    <w:jc w:val="center"/>
                    <w:rPr>
                      <w:iCs/>
                      <w:color w:val="auto"/>
                      <w:szCs w:val="21"/>
                      <w:highlight w:val="none"/>
                    </w:rPr>
                  </w:pPr>
                  <w:r>
                    <w:rPr>
                      <w:iCs/>
                      <w:color w:val="auto"/>
                      <w:szCs w:val="21"/>
                      <w:highlight w:val="none"/>
                    </w:rPr>
                    <w:t>24小时平均</w:t>
                  </w:r>
                </w:p>
              </w:tc>
              <w:tc>
                <w:tcPr>
                  <w:tcW w:w="662" w:type="pct"/>
                  <w:vMerge w:val="continue"/>
                  <w:vAlign w:val="center"/>
                </w:tcPr>
                <w:p>
                  <w:pPr>
                    <w:tabs>
                      <w:tab w:val="left" w:pos="0"/>
                    </w:tabs>
                    <w:jc w:val="center"/>
                    <w:rPr>
                      <w:iCs/>
                      <w:color w:val="auto"/>
                      <w:szCs w:val="21"/>
                      <w:highlight w:val="none"/>
                    </w:rPr>
                  </w:pPr>
                </w:p>
              </w:tc>
              <w:tc>
                <w:tcPr>
                  <w:tcW w:w="832" w:type="pct"/>
                  <w:vAlign w:val="center"/>
                </w:tcPr>
                <w:p>
                  <w:pPr>
                    <w:tabs>
                      <w:tab w:val="left" w:pos="0"/>
                    </w:tabs>
                    <w:jc w:val="center"/>
                    <w:rPr>
                      <w:iCs/>
                      <w:color w:val="auto"/>
                      <w:szCs w:val="21"/>
                      <w:highlight w:val="none"/>
                    </w:rPr>
                  </w:pPr>
                  <w:r>
                    <w:rPr>
                      <w:iCs/>
                      <w:color w:val="auto"/>
                      <w:szCs w:val="21"/>
                      <w:highlight w:val="none"/>
                    </w:rPr>
                    <w:t>75</w:t>
                  </w:r>
                </w:p>
              </w:tc>
              <w:tc>
                <w:tcPr>
                  <w:tcW w:w="1746" w:type="pct"/>
                  <w:vMerge w:val="continue"/>
                  <w:vAlign w:val="center"/>
                </w:tcPr>
                <w:p>
                  <w:pPr>
                    <w:tabs>
                      <w:tab w:val="left" w:pos="0"/>
                    </w:tabs>
                    <w:jc w:val="center"/>
                    <w:rPr>
                      <w:iCs/>
                      <w:color w:val="auto"/>
                      <w:szCs w:val="21"/>
                      <w:highlight w:val="none"/>
                    </w:rPr>
                  </w:pPr>
                </w:p>
              </w:tc>
            </w:tr>
          </w:tbl>
          <w:p>
            <w:pPr>
              <w:spacing w:line="360" w:lineRule="auto"/>
              <w:ind w:firstLine="480" w:firstLineChars="200"/>
              <w:rPr>
                <w:color w:val="auto"/>
                <w:sz w:val="24"/>
                <w:highlight w:val="none"/>
              </w:rPr>
            </w:pPr>
            <w:r>
              <w:rPr>
                <w:rFonts w:hint="eastAsia"/>
                <w:color w:val="auto"/>
                <w:sz w:val="24"/>
                <w:highlight w:val="none"/>
              </w:rPr>
              <w:t>（2）环境空气质量现状</w:t>
            </w:r>
          </w:p>
          <w:p>
            <w:pPr>
              <w:spacing w:line="360" w:lineRule="auto"/>
              <w:ind w:firstLine="480" w:firstLineChars="200"/>
              <w:rPr>
                <w:color w:val="auto"/>
                <w:sz w:val="24"/>
                <w:highlight w:val="none"/>
              </w:rPr>
            </w:pPr>
            <w:r>
              <w:rPr>
                <w:rFonts w:hint="eastAsia"/>
                <w:color w:val="auto"/>
                <w:sz w:val="24"/>
                <w:highlight w:val="none"/>
              </w:rPr>
              <w:t>①达标区判定</w:t>
            </w:r>
          </w:p>
          <w:p>
            <w:pPr>
              <w:spacing w:line="360" w:lineRule="auto"/>
              <w:ind w:firstLine="480" w:firstLineChars="200"/>
              <w:rPr>
                <w:color w:val="auto"/>
                <w:sz w:val="24"/>
                <w:highlight w:val="none"/>
              </w:rPr>
            </w:pPr>
            <w:r>
              <w:rPr>
                <w:rFonts w:hint="eastAsia"/>
                <w:color w:val="auto"/>
                <w:sz w:val="24"/>
                <w:highlight w:val="none"/>
              </w:rPr>
              <w:t>本次项目评价区域环境空气质量现状采用福清市人民政府网站发布的“2024年1—12月福清市城市空气环境质量月报”进行评价。</w:t>
            </w:r>
          </w:p>
          <w:p>
            <w:pPr>
              <w:spacing w:line="360" w:lineRule="auto"/>
              <w:ind w:firstLine="480" w:firstLineChars="200"/>
              <w:rPr>
                <w:color w:val="auto"/>
                <w:sz w:val="24"/>
                <w:highlight w:val="none"/>
              </w:rPr>
            </w:pPr>
            <w:r>
              <w:rPr>
                <w:rFonts w:hint="eastAsia"/>
                <w:color w:val="auto"/>
                <w:sz w:val="24"/>
                <w:highlight w:val="none"/>
              </w:rPr>
              <w:t>2024年1—12月，</w:t>
            </w:r>
            <w:r>
              <w:rPr>
                <w:color w:val="auto"/>
                <w:sz w:val="24"/>
                <w:highlight w:val="none"/>
              </w:rPr>
              <w:t>202</w:t>
            </w:r>
            <w:r>
              <w:rPr>
                <w:rFonts w:hint="eastAsia"/>
                <w:color w:val="auto"/>
                <w:sz w:val="24"/>
                <w:highlight w:val="none"/>
              </w:rPr>
              <w:t>4年福清市环境空气中</w:t>
            </w:r>
            <w:r>
              <w:rPr>
                <w:color w:val="auto"/>
                <w:sz w:val="24"/>
                <w:highlight w:val="none"/>
              </w:rPr>
              <w:t>SO</w:t>
            </w:r>
            <w:r>
              <w:rPr>
                <w:color w:val="auto"/>
                <w:sz w:val="24"/>
                <w:highlight w:val="none"/>
                <w:vertAlign w:val="subscript"/>
              </w:rPr>
              <w:t>2</w:t>
            </w:r>
            <w:r>
              <w:rPr>
                <w:rFonts w:hint="eastAsia"/>
                <w:color w:val="auto"/>
                <w:sz w:val="24"/>
                <w:highlight w:val="none"/>
              </w:rPr>
              <w:t>、</w:t>
            </w:r>
            <w:r>
              <w:rPr>
                <w:color w:val="auto"/>
                <w:sz w:val="24"/>
                <w:highlight w:val="none"/>
              </w:rPr>
              <w:t>NO</w:t>
            </w:r>
            <w:r>
              <w:rPr>
                <w:color w:val="auto"/>
                <w:sz w:val="24"/>
                <w:highlight w:val="none"/>
                <w:vertAlign w:val="subscript"/>
              </w:rPr>
              <w:t>2</w:t>
            </w:r>
            <w:r>
              <w:rPr>
                <w:rFonts w:hint="eastAsia"/>
                <w:color w:val="auto"/>
                <w:sz w:val="24"/>
                <w:highlight w:val="none"/>
              </w:rPr>
              <w:t>、</w:t>
            </w:r>
            <w:r>
              <w:rPr>
                <w:color w:val="auto"/>
                <w:sz w:val="24"/>
                <w:highlight w:val="none"/>
              </w:rPr>
              <w:t>PM</w:t>
            </w:r>
            <w:r>
              <w:rPr>
                <w:color w:val="auto"/>
                <w:sz w:val="24"/>
                <w:highlight w:val="none"/>
                <w:vertAlign w:val="subscript"/>
              </w:rPr>
              <w:t>10</w:t>
            </w:r>
            <w:r>
              <w:rPr>
                <w:rFonts w:hint="eastAsia"/>
                <w:color w:val="auto"/>
                <w:sz w:val="24"/>
                <w:highlight w:val="none"/>
              </w:rPr>
              <w:t>、</w:t>
            </w:r>
            <w:r>
              <w:rPr>
                <w:color w:val="auto"/>
                <w:sz w:val="24"/>
                <w:highlight w:val="none"/>
              </w:rPr>
              <w:t>PM</w:t>
            </w:r>
            <w:r>
              <w:rPr>
                <w:color w:val="auto"/>
                <w:sz w:val="24"/>
                <w:highlight w:val="none"/>
                <w:vertAlign w:val="subscript"/>
              </w:rPr>
              <w:t>2.5</w:t>
            </w:r>
            <w:r>
              <w:rPr>
                <w:rFonts w:hint="eastAsia"/>
                <w:color w:val="auto"/>
                <w:sz w:val="24"/>
                <w:highlight w:val="none"/>
              </w:rPr>
              <w:t>年平均浓度</w:t>
            </w:r>
            <w:r>
              <w:rPr>
                <w:color w:val="auto"/>
                <w:sz w:val="24"/>
                <w:highlight w:val="none"/>
              </w:rPr>
              <w:t>均未超过国家二级标准</w:t>
            </w:r>
            <w:r>
              <w:rPr>
                <w:rFonts w:hint="eastAsia"/>
                <w:color w:val="auto"/>
                <w:sz w:val="24"/>
                <w:highlight w:val="none"/>
              </w:rPr>
              <w:t>，</w:t>
            </w:r>
            <w:r>
              <w:rPr>
                <w:color w:val="auto"/>
                <w:sz w:val="24"/>
                <w:highlight w:val="none"/>
              </w:rPr>
              <w:t>CO日均值第95百分数和O</w:t>
            </w:r>
            <w:r>
              <w:rPr>
                <w:color w:val="auto"/>
                <w:sz w:val="24"/>
                <w:highlight w:val="none"/>
                <w:vertAlign w:val="subscript"/>
              </w:rPr>
              <w:t>3</w:t>
            </w:r>
            <w:r>
              <w:rPr>
                <w:color w:val="auto"/>
                <w:sz w:val="24"/>
                <w:highlight w:val="none"/>
              </w:rPr>
              <w:t>最大8小时值第90百分数未超过国家二级标准</w:t>
            </w:r>
            <w:r>
              <w:rPr>
                <w:rFonts w:hint="eastAsia"/>
                <w:color w:val="auto"/>
                <w:sz w:val="24"/>
                <w:highlight w:val="none"/>
              </w:rPr>
              <w:t>。福清市环境空气质量综合指数2.17，达标天数比例在99.7%，因此福清市属于达标区，详见表3-2。</w:t>
            </w:r>
          </w:p>
          <w:p>
            <w:pPr>
              <w:spacing w:line="360" w:lineRule="auto"/>
              <w:ind w:firstLine="482" w:firstLineChars="200"/>
              <w:jc w:val="center"/>
              <w:rPr>
                <w:b/>
                <w:bCs/>
                <w:color w:val="auto"/>
                <w:sz w:val="24"/>
                <w:highlight w:val="none"/>
                <w:lang w:val="zh-CN"/>
              </w:rPr>
            </w:pPr>
            <w:r>
              <w:rPr>
                <w:rFonts w:hint="eastAsia"/>
                <w:b/>
                <w:bCs/>
                <w:color w:val="auto"/>
                <w:sz w:val="24"/>
                <w:highlight w:val="none"/>
              </w:rPr>
              <w:t>表</w:t>
            </w:r>
            <w:r>
              <w:rPr>
                <w:b/>
                <w:bCs/>
                <w:color w:val="auto"/>
                <w:sz w:val="24"/>
                <w:highlight w:val="none"/>
                <w:lang w:val="zh-CN"/>
              </w:rPr>
              <w:t>3</w:t>
            </w:r>
            <w:r>
              <w:rPr>
                <w:rFonts w:hint="eastAsia"/>
                <w:b/>
                <w:bCs/>
                <w:color w:val="auto"/>
                <w:sz w:val="24"/>
                <w:highlight w:val="none"/>
              </w:rPr>
              <w:t>-2 2024年1—12月福清市城市环境空气质量状况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123"/>
              <w:gridCol w:w="1124"/>
              <w:gridCol w:w="1123"/>
              <w:gridCol w:w="1124"/>
              <w:gridCol w:w="1123"/>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tcPr>
                <w:p>
                  <w:pPr>
                    <w:ind w:firstLine="440" w:firstLineChars="200"/>
                    <w:rPr>
                      <w:color w:val="auto"/>
                      <w:sz w:val="22"/>
                      <w:highlight w:val="none"/>
                    </w:rPr>
                  </w:pPr>
                  <w:r>
                    <w:rPr>
                      <w:rFonts w:hint="eastAsia"/>
                      <w:color w:val="auto"/>
                      <w:sz w:val="22"/>
                      <w:highlight w:val="none"/>
                    </w:rPr>
                    <w:t>项目</w:t>
                  </w:r>
                </w:p>
                <w:p>
                  <w:pPr>
                    <w:ind w:firstLine="440" w:firstLineChars="200"/>
                    <w:rPr>
                      <w:color w:val="auto"/>
                      <w:sz w:val="22"/>
                      <w:highlight w:val="none"/>
                    </w:rPr>
                  </w:pPr>
                  <w:r>
                    <w:rPr>
                      <w:rFonts w:hint="eastAsia"/>
                      <w:color w:val="auto"/>
                      <w:sz w:val="22"/>
                      <w:highlight w:val="none"/>
                    </w:rPr>
                    <w:t>监测结果</w:t>
                  </w:r>
                </w:p>
              </w:tc>
              <w:tc>
                <w:tcPr>
                  <w:tcW w:w="6741" w:type="dxa"/>
                  <w:gridSpan w:val="6"/>
                  <w:vAlign w:val="center"/>
                </w:tcPr>
                <w:p>
                  <w:pPr>
                    <w:jc w:val="center"/>
                    <w:rPr>
                      <w:color w:val="auto"/>
                      <w:sz w:val="22"/>
                      <w:highlight w:val="none"/>
                    </w:rPr>
                  </w:pPr>
                  <w:r>
                    <w:rPr>
                      <w:color w:val="auto"/>
                      <w:sz w:val="22"/>
                      <w:highlight w:val="none"/>
                    </w:rPr>
                    <w:t>月日均值（mg/m</w:t>
                  </w:r>
                  <w:r>
                    <w:rPr>
                      <w:rFonts w:hint="eastAsia"/>
                      <w:color w:val="auto"/>
                      <w:sz w:val="22"/>
                      <w:highlight w:val="none"/>
                      <w:shd w:val="clear" w:color="auto" w:fill="FFFFFF"/>
                      <w:vertAlign w:val="superscript"/>
                    </w:rPr>
                    <w:t>3</w:t>
                  </w:r>
                  <w:r>
                    <w:rPr>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tcPr>
                <w:p>
                  <w:pPr>
                    <w:rPr>
                      <w:color w:val="auto"/>
                      <w:sz w:val="22"/>
                      <w:highlight w:val="none"/>
                    </w:rPr>
                  </w:pPr>
                </w:p>
              </w:tc>
              <w:tc>
                <w:tcPr>
                  <w:tcW w:w="1123" w:type="dxa"/>
                  <w:vAlign w:val="center"/>
                </w:tcPr>
                <w:p>
                  <w:pPr>
                    <w:jc w:val="center"/>
                    <w:rPr>
                      <w:color w:val="auto"/>
                      <w:sz w:val="22"/>
                      <w:highlight w:val="none"/>
                    </w:rPr>
                  </w:pPr>
                  <w:r>
                    <w:rPr>
                      <w:rFonts w:hint="eastAsia"/>
                      <w:color w:val="auto"/>
                      <w:sz w:val="22"/>
                      <w:highlight w:val="none"/>
                    </w:rPr>
                    <w:t>SO</w:t>
                  </w:r>
                  <w:r>
                    <w:rPr>
                      <w:rFonts w:hint="eastAsia"/>
                      <w:color w:val="auto"/>
                      <w:sz w:val="22"/>
                      <w:highlight w:val="none"/>
                      <w:vertAlign w:val="subscript"/>
                    </w:rPr>
                    <w:t>2</w:t>
                  </w:r>
                </w:p>
              </w:tc>
              <w:tc>
                <w:tcPr>
                  <w:tcW w:w="1124" w:type="dxa"/>
                  <w:vAlign w:val="center"/>
                </w:tcPr>
                <w:p>
                  <w:pPr>
                    <w:jc w:val="center"/>
                    <w:rPr>
                      <w:color w:val="auto"/>
                      <w:sz w:val="22"/>
                      <w:highlight w:val="none"/>
                    </w:rPr>
                  </w:pPr>
                  <w:r>
                    <w:rPr>
                      <w:rFonts w:hint="eastAsia"/>
                      <w:color w:val="auto"/>
                      <w:sz w:val="22"/>
                      <w:highlight w:val="none"/>
                    </w:rPr>
                    <w:t>NO</w:t>
                  </w:r>
                  <w:r>
                    <w:rPr>
                      <w:rFonts w:hint="eastAsia"/>
                      <w:color w:val="auto"/>
                      <w:sz w:val="22"/>
                      <w:highlight w:val="none"/>
                      <w:vertAlign w:val="subscript"/>
                    </w:rPr>
                    <w:t>2</w:t>
                  </w:r>
                </w:p>
              </w:tc>
              <w:tc>
                <w:tcPr>
                  <w:tcW w:w="1123" w:type="dxa"/>
                  <w:vAlign w:val="center"/>
                </w:tcPr>
                <w:p>
                  <w:pPr>
                    <w:jc w:val="center"/>
                    <w:rPr>
                      <w:color w:val="auto"/>
                      <w:sz w:val="22"/>
                      <w:highlight w:val="none"/>
                    </w:rPr>
                  </w:pPr>
                  <w:r>
                    <w:rPr>
                      <w:rFonts w:hint="eastAsia"/>
                      <w:color w:val="auto"/>
                      <w:sz w:val="22"/>
                      <w:highlight w:val="none"/>
                    </w:rPr>
                    <w:t>PM</w:t>
                  </w:r>
                  <w:r>
                    <w:rPr>
                      <w:rFonts w:hint="eastAsia"/>
                      <w:color w:val="auto"/>
                      <w:sz w:val="22"/>
                      <w:highlight w:val="none"/>
                      <w:vertAlign w:val="subscript"/>
                    </w:rPr>
                    <w:t>10</w:t>
                  </w:r>
                </w:p>
              </w:tc>
              <w:tc>
                <w:tcPr>
                  <w:tcW w:w="1124" w:type="dxa"/>
                  <w:vAlign w:val="center"/>
                </w:tcPr>
                <w:p>
                  <w:pPr>
                    <w:jc w:val="center"/>
                    <w:rPr>
                      <w:color w:val="auto"/>
                      <w:sz w:val="22"/>
                      <w:highlight w:val="none"/>
                    </w:rPr>
                  </w:pPr>
                  <w:r>
                    <w:rPr>
                      <w:rFonts w:hint="eastAsia"/>
                      <w:color w:val="auto"/>
                      <w:sz w:val="22"/>
                      <w:highlight w:val="none"/>
                    </w:rPr>
                    <w:t>PM</w:t>
                  </w:r>
                  <w:r>
                    <w:rPr>
                      <w:rFonts w:hint="eastAsia"/>
                      <w:color w:val="auto"/>
                      <w:sz w:val="22"/>
                      <w:highlight w:val="none"/>
                      <w:vertAlign w:val="subscript"/>
                    </w:rPr>
                    <w:t>2.5</w:t>
                  </w:r>
                </w:p>
              </w:tc>
              <w:tc>
                <w:tcPr>
                  <w:tcW w:w="1123" w:type="dxa"/>
                  <w:vAlign w:val="center"/>
                </w:tcPr>
                <w:p>
                  <w:pPr>
                    <w:jc w:val="center"/>
                    <w:rPr>
                      <w:color w:val="auto"/>
                      <w:sz w:val="22"/>
                      <w:highlight w:val="none"/>
                    </w:rPr>
                  </w:pPr>
                  <w:r>
                    <w:rPr>
                      <w:rFonts w:hint="eastAsia"/>
                      <w:color w:val="auto"/>
                      <w:sz w:val="22"/>
                      <w:highlight w:val="none"/>
                    </w:rPr>
                    <w:t>CO</w:t>
                  </w:r>
                </w:p>
              </w:tc>
              <w:tc>
                <w:tcPr>
                  <w:tcW w:w="1124" w:type="dxa"/>
                  <w:vAlign w:val="center"/>
                </w:tcPr>
                <w:p>
                  <w:pPr>
                    <w:jc w:val="center"/>
                    <w:rPr>
                      <w:color w:val="auto"/>
                      <w:sz w:val="22"/>
                      <w:highlight w:val="none"/>
                    </w:rPr>
                  </w:pPr>
                  <w:r>
                    <w:rPr>
                      <w:rFonts w:hint="eastAsia"/>
                      <w:color w:val="auto"/>
                      <w:sz w:val="22"/>
                      <w:highlight w:val="none"/>
                    </w:rPr>
                    <w:t>O</w:t>
                  </w:r>
                  <w:r>
                    <w:rPr>
                      <w:rFonts w:hint="eastAsia"/>
                      <w:color w:val="auto"/>
                      <w:sz w:val="22"/>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2024年1月</w:t>
                  </w:r>
                </w:p>
              </w:tc>
              <w:tc>
                <w:tcPr>
                  <w:tcW w:w="1123" w:type="dxa"/>
                  <w:vAlign w:val="center"/>
                </w:tcPr>
                <w:p>
                  <w:pPr>
                    <w:jc w:val="center"/>
                    <w:rPr>
                      <w:color w:val="auto"/>
                      <w:sz w:val="22"/>
                      <w:highlight w:val="none"/>
                    </w:rPr>
                  </w:pPr>
                  <w:r>
                    <w:rPr>
                      <w:rFonts w:hint="eastAsia"/>
                      <w:color w:val="auto"/>
                      <w:sz w:val="22"/>
                      <w:highlight w:val="none"/>
                    </w:rPr>
                    <w:t>0.003</w:t>
                  </w:r>
                </w:p>
              </w:tc>
              <w:tc>
                <w:tcPr>
                  <w:tcW w:w="1124" w:type="dxa"/>
                  <w:vAlign w:val="center"/>
                </w:tcPr>
                <w:p>
                  <w:pPr>
                    <w:jc w:val="center"/>
                    <w:rPr>
                      <w:color w:val="auto"/>
                      <w:sz w:val="22"/>
                      <w:highlight w:val="none"/>
                    </w:rPr>
                  </w:pPr>
                  <w:r>
                    <w:rPr>
                      <w:rFonts w:hint="eastAsia"/>
                      <w:color w:val="auto"/>
                      <w:sz w:val="22"/>
                      <w:highlight w:val="none"/>
                    </w:rPr>
                    <w:t>0.022</w:t>
                  </w:r>
                </w:p>
              </w:tc>
              <w:tc>
                <w:tcPr>
                  <w:tcW w:w="1123" w:type="dxa"/>
                  <w:vAlign w:val="center"/>
                </w:tcPr>
                <w:p>
                  <w:pPr>
                    <w:jc w:val="center"/>
                    <w:rPr>
                      <w:color w:val="auto"/>
                      <w:sz w:val="22"/>
                      <w:highlight w:val="none"/>
                    </w:rPr>
                  </w:pPr>
                  <w:r>
                    <w:rPr>
                      <w:rFonts w:hint="eastAsia"/>
                      <w:color w:val="auto"/>
                      <w:sz w:val="22"/>
                      <w:highlight w:val="none"/>
                    </w:rPr>
                    <w:t>0.048</w:t>
                  </w:r>
                </w:p>
              </w:tc>
              <w:tc>
                <w:tcPr>
                  <w:tcW w:w="1124" w:type="dxa"/>
                  <w:vAlign w:val="center"/>
                </w:tcPr>
                <w:p>
                  <w:pPr>
                    <w:jc w:val="center"/>
                    <w:rPr>
                      <w:color w:val="auto"/>
                      <w:sz w:val="22"/>
                      <w:highlight w:val="none"/>
                    </w:rPr>
                  </w:pPr>
                  <w:r>
                    <w:rPr>
                      <w:rFonts w:hint="eastAsia"/>
                      <w:color w:val="auto"/>
                      <w:sz w:val="22"/>
                      <w:highlight w:val="none"/>
                    </w:rPr>
                    <w:t>0.030</w:t>
                  </w:r>
                </w:p>
              </w:tc>
              <w:tc>
                <w:tcPr>
                  <w:tcW w:w="1123" w:type="dxa"/>
                  <w:vAlign w:val="center"/>
                </w:tcPr>
                <w:p>
                  <w:pPr>
                    <w:jc w:val="center"/>
                    <w:rPr>
                      <w:color w:val="auto"/>
                      <w:sz w:val="22"/>
                      <w:highlight w:val="none"/>
                    </w:rPr>
                  </w:pPr>
                  <w:r>
                    <w:rPr>
                      <w:rFonts w:hint="eastAsia"/>
                      <w:color w:val="auto"/>
                      <w:sz w:val="22"/>
                      <w:highlight w:val="none"/>
                    </w:rPr>
                    <w:t>0.9</w:t>
                  </w:r>
                </w:p>
              </w:tc>
              <w:tc>
                <w:tcPr>
                  <w:tcW w:w="1124" w:type="dxa"/>
                  <w:vAlign w:val="center"/>
                </w:tcPr>
                <w:p>
                  <w:pPr>
                    <w:jc w:val="center"/>
                    <w:rPr>
                      <w:color w:val="auto"/>
                      <w:sz w:val="22"/>
                      <w:highlight w:val="none"/>
                    </w:rPr>
                  </w:pPr>
                  <w:r>
                    <w:rPr>
                      <w:rFonts w:hint="eastAsia"/>
                      <w:color w:val="auto"/>
                      <w:sz w:val="22"/>
                      <w:highlight w:val="none"/>
                    </w:rP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2024年2月</w:t>
                  </w:r>
                </w:p>
              </w:tc>
              <w:tc>
                <w:tcPr>
                  <w:tcW w:w="1123" w:type="dxa"/>
                  <w:vAlign w:val="center"/>
                </w:tcPr>
                <w:p>
                  <w:pPr>
                    <w:jc w:val="center"/>
                    <w:rPr>
                      <w:color w:val="auto"/>
                      <w:sz w:val="22"/>
                      <w:highlight w:val="none"/>
                    </w:rPr>
                  </w:pPr>
                  <w:r>
                    <w:rPr>
                      <w:rFonts w:hint="eastAsia"/>
                      <w:color w:val="auto"/>
                      <w:sz w:val="22"/>
                      <w:highlight w:val="none"/>
                    </w:rPr>
                    <w:t>0.003</w:t>
                  </w:r>
                </w:p>
              </w:tc>
              <w:tc>
                <w:tcPr>
                  <w:tcW w:w="1124" w:type="dxa"/>
                  <w:vAlign w:val="center"/>
                </w:tcPr>
                <w:p>
                  <w:pPr>
                    <w:jc w:val="center"/>
                    <w:rPr>
                      <w:color w:val="auto"/>
                      <w:sz w:val="22"/>
                      <w:highlight w:val="none"/>
                    </w:rPr>
                  </w:pPr>
                  <w:r>
                    <w:rPr>
                      <w:rFonts w:hint="eastAsia"/>
                      <w:color w:val="auto"/>
                      <w:sz w:val="22"/>
                      <w:highlight w:val="none"/>
                    </w:rPr>
                    <w:t>0.009</w:t>
                  </w:r>
                </w:p>
              </w:tc>
              <w:tc>
                <w:tcPr>
                  <w:tcW w:w="1123" w:type="dxa"/>
                  <w:vAlign w:val="center"/>
                </w:tcPr>
                <w:p>
                  <w:pPr>
                    <w:jc w:val="center"/>
                    <w:rPr>
                      <w:color w:val="auto"/>
                      <w:sz w:val="22"/>
                      <w:highlight w:val="none"/>
                    </w:rPr>
                  </w:pPr>
                  <w:r>
                    <w:rPr>
                      <w:rFonts w:hint="eastAsia"/>
                      <w:color w:val="auto"/>
                      <w:sz w:val="22"/>
                      <w:highlight w:val="none"/>
                    </w:rPr>
                    <w:t>0.038</w:t>
                  </w:r>
                </w:p>
              </w:tc>
              <w:tc>
                <w:tcPr>
                  <w:tcW w:w="1124" w:type="dxa"/>
                  <w:vAlign w:val="center"/>
                </w:tcPr>
                <w:p>
                  <w:pPr>
                    <w:jc w:val="center"/>
                    <w:rPr>
                      <w:color w:val="auto"/>
                      <w:sz w:val="22"/>
                      <w:highlight w:val="none"/>
                    </w:rPr>
                  </w:pPr>
                  <w:r>
                    <w:rPr>
                      <w:rFonts w:hint="eastAsia"/>
                      <w:color w:val="auto"/>
                      <w:sz w:val="22"/>
                      <w:highlight w:val="none"/>
                    </w:rPr>
                    <w:t>0.023</w:t>
                  </w:r>
                </w:p>
              </w:tc>
              <w:tc>
                <w:tcPr>
                  <w:tcW w:w="1123" w:type="dxa"/>
                  <w:vAlign w:val="center"/>
                </w:tcPr>
                <w:p>
                  <w:pPr>
                    <w:jc w:val="center"/>
                    <w:rPr>
                      <w:color w:val="auto"/>
                      <w:sz w:val="22"/>
                      <w:highlight w:val="none"/>
                    </w:rPr>
                  </w:pPr>
                  <w:r>
                    <w:rPr>
                      <w:rFonts w:hint="eastAsia"/>
                      <w:color w:val="auto"/>
                      <w:sz w:val="22"/>
                      <w:highlight w:val="none"/>
                    </w:rPr>
                    <w:t>1.2</w:t>
                  </w:r>
                </w:p>
              </w:tc>
              <w:tc>
                <w:tcPr>
                  <w:tcW w:w="1124" w:type="dxa"/>
                  <w:vAlign w:val="center"/>
                </w:tcPr>
                <w:p>
                  <w:pPr>
                    <w:jc w:val="center"/>
                    <w:rPr>
                      <w:color w:val="auto"/>
                      <w:sz w:val="22"/>
                      <w:highlight w:val="none"/>
                    </w:rPr>
                  </w:pPr>
                  <w:r>
                    <w:rPr>
                      <w:rFonts w:hint="eastAsia"/>
                      <w:color w:val="auto"/>
                      <w:sz w:val="22"/>
                      <w:highlight w:val="none"/>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2024年3月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0.018</w:t>
                  </w:r>
                </w:p>
              </w:tc>
              <w:tc>
                <w:tcPr>
                  <w:tcW w:w="1123" w:type="dxa"/>
                  <w:vAlign w:val="center"/>
                </w:tcPr>
                <w:p>
                  <w:pPr>
                    <w:jc w:val="center"/>
                    <w:rPr>
                      <w:color w:val="auto"/>
                      <w:sz w:val="22"/>
                      <w:highlight w:val="none"/>
                    </w:rPr>
                  </w:pPr>
                  <w:r>
                    <w:rPr>
                      <w:rFonts w:hint="eastAsia"/>
                      <w:color w:val="auto"/>
                      <w:sz w:val="22"/>
                      <w:highlight w:val="none"/>
                    </w:rPr>
                    <w:t>0.050</w:t>
                  </w:r>
                </w:p>
              </w:tc>
              <w:tc>
                <w:tcPr>
                  <w:tcW w:w="1124" w:type="dxa"/>
                  <w:vAlign w:val="center"/>
                </w:tcPr>
                <w:p>
                  <w:pPr>
                    <w:jc w:val="center"/>
                    <w:rPr>
                      <w:color w:val="auto"/>
                      <w:sz w:val="22"/>
                      <w:highlight w:val="none"/>
                    </w:rPr>
                  </w:pPr>
                  <w:r>
                    <w:rPr>
                      <w:rFonts w:hint="eastAsia"/>
                      <w:color w:val="auto"/>
                      <w:sz w:val="22"/>
                      <w:highlight w:val="none"/>
                    </w:rPr>
                    <w:t>0.023</w:t>
                  </w:r>
                </w:p>
              </w:tc>
              <w:tc>
                <w:tcPr>
                  <w:tcW w:w="1123" w:type="dxa"/>
                  <w:vAlign w:val="center"/>
                </w:tcPr>
                <w:p>
                  <w:pPr>
                    <w:jc w:val="center"/>
                    <w:rPr>
                      <w:color w:val="auto"/>
                      <w:sz w:val="22"/>
                      <w:highlight w:val="none"/>
                    </w:rPr>
                  </w:pPr>
                  <w:r>
                    <w:rPr>
                      <w:rFonts w:hint="eastAsia"/>
                      <w:color w:val="auto"/>
                      <w:sz w:val="22"/>
                      <w:highlight w:val="none"/>
                    </w:rPr>
                    <w:t>1.0</w:t>
                  </w:r>
                </w:p>
              </w:tc>
              <w:tc>
                <w:tcPr>
                  <w:tcW w:w="1124" w:type="dxa"/>
                  <w:vAlign w:val="center"/>
                </w:tcPr>
                <w:p>
                  <w:pPr>
                    <w:jc w:val="center"/>
                    <w:rPr>
                      <w:color w:val="auto"/>
                      <w:sz w:val="22"/>
                      <w:highlight w:val="none"/>
                    </w:rPr>
                  </w:pPr>
                  <w:r>
                    <w:rPr>
                      <w:rFonts w:hint="eastAsia"/>
                      <w:color w:val="auto"/>
                      <w:sz w:val="22"/>
                      <w:highlight w:val="none"/>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2024年4月</w:t>
                  </w:r>
                </w:p>
              </w:tc>
              <w:tc>
                <w:tcPr>
                  <w:tcW w:w="1123" w:type="dxa"/>
                  <w:vAlign w:val="center"/>
                </w:tcPr>
                <w:p>
                  <w:pPr>
                    <w:jc w:val="center"/>
                    <w:rPr>
                      <w:color w:val="auto"/>
                      <w:sz w:val="22"/>
                      <w:highlight w:val="none"/>
                    </w:rPr>
                  </w:pPr>
                  <w:r>
                    <w:rPr>
                      <w:rFonts w:hint="eastAsia"/>
                      <w:color w:val="auto"/>
                      <w:sz w:val="22"/>
                      <w:highlight w:val="none"/>
                    </w:rPr>
                    <w:t>0.003</w:t>
                  </w:r>
                </w:p>
              </w:tc>
              <w:tc>
                <w:tcPr>
                  <w:tcW w:w="1124" w:type="dxa"/>
                  <w:vAlign w:val="center"/>
                </w:tcPr>
                <w:p>
                  <w:pPr>
                    <w:jc w:val="center"/>
                    <w:rPr>
                      <w:color w:val="auto"/>
                      <w:sz w:val="22"/>
                      <w:highlight w:val="none"/>
                    </w:rPr>
                  </w:pPr>
                  <w:r>
                    <w:rPr>
                      <w:rFonts w:hint="eastAsia"/>
                      <w:color w:val="auto"/>
                      <w:sz w:val="22"/>
                      <w:highlight w:val="none"/>
                    </w:rPr>
                    <w:t>0.016</w:t>
                  </w:r>
                </w:p>
              </w:tc>
              <w:tc>
                <w:tcPr>
                  <w:tcW w:w="1123" w:type="dxa"/>
                  <w:vAlign w:val="center"/>
                </w:tcPr>
                <w:p>
                  <w:pPr>
                    <w:jc w:val="center"/>
                    <w:rPr>
                      <w:color w:val="auto"/>
                      <w:sz w:val="22"/>
                      <w:highlight w:val="none"/>
                    </w:rPr>
                  </w:pPr>
                  <w:r>
                    <w:rPr>
                      <w:rFonts w:hint="eastAsia"/>
                      <w:color w:val="auto"/>
                      <w:sz w:val="22"/>
                      <w:highlight w:val="none"/>
                    </w:rPr>
                    <w:t>0.041</w:t>
                  </w:r>
                </w:p>
              </w:tc>
              <w:tc>
                <w:tcPr>
                  <w:tcW w:w="1124" w:type="dxa"/>
                  <w:vAlign w:val="center"/>
                </w:tcPr>
                <w:p>
                  <w:pPr>
                    <w:jc w:val="center"/>
                    <w:rPr>
                      <w:color w:val="auto"/>
                      <w:sz w:val="22"/>
                      <w:highlight w:val="none"/>
                    </w:rPr>
                  </w:pPr>
                  <w:r>
                    <w:rPr>
                      <w:rFonts w:hint="eastAsia"/>
                      <w:color w:val="auto"/>
                      <w:sz w:val="22"/>
                      <w:highlight w:val="none"/>
                    </w:rPr>
                    <w:t>0.020</w:t>
                  </w:r>
                </w:p>
              </w:tc>
              <w:tc>
                <w:tcPr>
                  <w:tcW w:w="1123" w:type="dxa"/>
                  <w:vAlign w:val="center"/>
                </w:tcPr>
                <w:p>
                  <w:pPr>
                    <w:jc w:val="center"/>
                    <w:rPr>
                      <w:color w:val="auto"/>
                      <w:sz w:val="22"/>
                      <w:highlight w:val="none"/>
                    </w:rPr>
                  </w:pPr>
                  <w:r>
                    <w:rPr>
                      <w:rFonts w:hint="eastAsia"/>
                      <w:color w:val="auto"/>
                      <w:sz w:val="22"/>
                      <w:highlight w:val="none"/>
                    </w:rPr>
                    <w:t>0.8</w:t>
                  </w:r>
                </w:p>
              </w:tc>
              <w:tc>
                <w:tcPr>
                  <w:tcW w:w="1124" w:type="dxa"/>
                  <w:vAlign w:val="center"/>
                </w:tcPr>
                <w:p>
                  <w:pPr>
                    <w:jc w:val="center"/>
                    <w:rPr>
                      <w:color w:val="auto"/>
                      <w:sz w:val="22"/>
                      <w:highlight w:val="none"/>
                    </w:rPr>
                  </w:pPr>
                  <w:r>
                    <w:rPr>
                      <w:rFonts w:hint="eastAsia"/>
                      <w:color w:val="auto"/>
                      <w:sz w:val="22"/>
                      <w:highlight w:val="none"/>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2024年5月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0.011</w:t>
                  </w:r>
                </w:p>
              </w:tc>
              <w:tc>
                <w:tcPr>
                  <w:tcW w:w="1123" w:type="dxa"/>
                  <w:vAlign w:val="center"/>
                </w:tcPr>
                <w:p>
                  <w:pPr>
                    <w:jc w:val="center"/>
                    <w:rPr>
                      <w:color w:val="auto"/>
                      <w:sz w:val="22"/>
                      <w:highlight w:val="none"/>
                    </w:rPr>
                  </w:pPr>
                  <w:r>
                    <w:rPr>
                      <w:rFonts w:hint="eastAsia"/>
                      <w:color w:val="auto"/>
                      <w:sz w:val="22"/>
                      <w:highlight w:val="none"/>
                    </w:rPr>
                    <w:t>0.028</w:t>
                  </w:r>
                </w:p>
              </w:tc>
              <w:tc>
                <w:tcPr>
                  <w:tcW w:w="1124" w:type="dxa"/>
                  <w:vAlign w:val="center"/>
                </w:tcPr>
                <w:p>
                  <w:pPr>
                    <w:jc w:val="center"/>
                    <w:rPr>
                      <w:color w:val="auto"/>
                      <w:sz w:val="22"/>
                      <w:highlight w:val="none"/>
                    </w:rPr>
                  </w:pPr>
                  <w:r>
                    <w:rPr>
                      <w:rFonts w:hint="eastAsia"/>
                      <w:color w:val="auto"/>
                      <w:sz w:val="22"/>
                      <w:highlight w:val="none"/>
                    </w:rPr>
                    <w:t>0.013</w:t>
                  </w:r>
                </w:p>
              </w:tc>
              <w:tc>
                <w:tcPr>
                  <w:tcW w:w="1123" w:type="dxa"/>
                  <w:vAlign w:val="center"/>
                </w:tcPr>
                <w:p>
                  <w:pPr>
                    <w:jc w:val="center"/>
                    <w:rPr>
                      <w:color w:val="auto"/>
                      <w:sz w:val="22"/>
                      <w:highlight w:val="none"/>
                    </w:rPr>
                  </w:pPr>
                  <w:r>
                    <w:rPr>
                      <w:rFonts w:hint="eastAsia"/>
                      <w:color w:val="auto"/>
                      <w:sz w:val="22"/>
                      <w:highlight w:val="none"/>
                    </w:rPr>
                    <w:t>0.6</w:t>
                  </w:r>
                </w:p>
              </w:tc>
              <w:tc>
                <w:tcPr>
                  <w:tcW w:w="1124" w:type="dxa"/>
                  <w:vAlign w:val="center"/>
                </w:tcPr>
                <w:p>
                  <w:pPr>
                    <w:jc w:val="center"/>
                    <w:rPr>
                      <w:color w:val="auto"/>
                      <w:sz w:val="22"/>
                      <w:highlight w:val="none"/>
                    </w:rPr>
                  </w:pPr>
                  <w:r>
                    <w:rPr>
                      <w:rFonts w:hint="eastAsia"/>
                      <w:color w:val="auto"/>
                      <w:sz w:val="22"/>
                      <w:highlight w:val="none"/>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2024年6月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0.010</w:t>
                  </w:r>
                </w:p>
              </w:tc>
              <w:tc>
                <w:tcPr>
                  <w:tcW w:w="1123" w:type="dxa"/>
                  <w:vAlign w:val="center"/>
                </w:tcPr>
                <w:p>
                  <w:pPr>
                    <w:jc w:val="center"/>
                    <w:rPr>
                      <w:color w:val="auto"/>
                      <w:sz w:val="22"/>
                      <w:highlight w:val="none"/>
                    </w:rPr>
                  </w:pPr>
                  <w:r>
                    <w:rPr>
                      <w:rFonts w:hint="eastAsia"/>
                      <w:color w:val="auto"/>
                      <w:sz w:val="22"/>
                      <w:highlight w:val="none"/>
                    </w:rPr>
                    <w:t>0.022</w:t>
                  </w:r>
                </w:p>
              </w:tc>
              <w:tc>
                <w:tcPr>
                  <w:tcW w:w="1124" w:type="dxa"/>
                  <w:vAlign w:val="center"/>
                </w:tcPr>
                <w:p>
                  <w:pPr>
                    <w:jc w:val="center"/>
                    <w:rPr>
                      <w:color w:val="auto"/>
                      <w:sz w:val="22"/>
                      <w:highlight w:val="none"/>
                    </w:rPr>
                  </w:pPr>
                  <w:r>
                    <w:rPr>
                      <w:rFonts w:hint="eastAsia"/>
                      <w:color w:val="auto"/>
                      <w:sz w:val="22"/>
                      <w:highlight w:val="none"/>
                    </w:rPr>
                    <w:t>0.010</w:t>
                  </w:r>
                </w:p>
              </w:tc>
              <w:tc>
                <w:tcPr>
                  <w:tcW w:w="1123" w:type="dxa"/>
                  <w:vAlign w:val="center"/>
                </w:tcPr>
                <w:p>
                  <w:pPr>
                    <w:jc w:val="center"/>
                    <w:rPr>
                      <w:color w:val="auto"/>
                      <w:sz w:val="22"/>
                      <w:highlight w:val="none"/>
                    </w:rPr>
                  </w:pPr>
                  <w:r>
                    <w:rPr>
                      <w:rFonts w:hint="eastAsia"/>
                      <w:color w:val="auto"/>
                      <w:sz w:val="22"/>
                      <w:highlight w:val="none"/>
                    </w:rPr>
                    <w:t>0.6</w:t>
                  </w:r>
                </w:p>
              </w:tc>
              <w:tc>
                <w:tcPr>
                  <w:tcW w:w="1124" w:type="dxa"/>
                  <w:vAlign w:val="center"/>
                </w:tcPr>
                <w:p>
                  <w:pPr>
                    <w:jc w:val="center"/>
                    <w:rPr>
                      <w:color w:val="auto"/>
                      <w:sz w:val="22"/>
                      <w:highlight w:val="none"/>
                    </w:rPr>
                  </w:pPr>
                  <w:r>
                    <w:rPr>
                      <w:rFonts w:hint="eastAsia"/>
                      <w:color w:val="auto"/>
                      <w:sz w:val="22"/>
                      <w:highlight w:val="none"/>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2024年7月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0.008</w:t>
                  </w:r>
                </w:p>
              </w:tc>
              <w:tc>
                <w:tcPr>
                  <w:tcW w:w="1123" w:type="dxa"/>
                  <w:vAlign w:val="center"/>
                </w:tcPr>
                <w:p>
                  <w:pPr>
                    <w:jc w:val="center"/>
                    <w:rPr>
                      <w:color w:val="auto"/>
                      <w:sz w:val="22"/>
                      <w:highlight w:val="none"/>
                    </w:rPr>
                  </w:pPr>
                  <w:r>
                    <w:rPr>
                      <w:rFonts w:hint="eastAsia"/>
                      <w:color w:val="auto"/>
                      <w:sz w:val="22"/>
                      <w:highlight w:val="none"/>
                    </w:rPr>
                    <w:t>0.020</w:t>
                  </w:r>
                </w:p>
              </w:tc>
              <w:tc>
                <w:tcPr>
                  <w:tcW w:w="1124" w:type="dxa"/>
                  <w:vAlign w:val="center"/>
                </w:tcPr>
                <w:p>
                  <w:pPr>
                    <w:jc w:val="center"/>
                    <w:rPr>
                      <w:color w:val="auto"/>
                      <w:sz w:val="22"/>
                      <w:highlight w:val="none"/>
                    </w:rPr>
                  </w:pPr>
                  <w:r>
                    <w:rPr>
                      <w:rFonts w:hint="eastAsia"/>
                      <w:color w:val="auto"/>
                      <w:sz w:val="22"/>
                      <w:highlight w:val="none"/>
                    </w:rPr>
                    <w:t>0.009</w:t>
                  </w:r>
                </w:p>
              </w:tc>
              <w:tc>
                <w:tcPr>
                  <w:tcW w:w="1123" w:type="dxa"/>
                  <w:vAlign w:val="center"/>
                </w:tcPr>
                <w:p>
                  <w:pPr>
                    <w:jc w:val="center"/>
                    <w:rPr>
                      <w:color w:val="auto"/>
                      <w:sz w:val="22"/>
                      <w:highlight w:val="none"/>
                    </w:rPr>
                  </w:pPr>
                  <w:r>
                    <w:rPr>
                      <w:rFonts w:hint="eastAsia"/>
                      <w:color w:val="auto"/>
                      <w:sz w:val="22"/>
                      <w:highlight w:val="none"/>
                    </w:rPr>
                    <w:t>0.4</w:t>
                  </w:r>
                </w:p>
              </w:tc>
              <w:tc>
                <w:tcPr>
                  <w:tcW w:w="1124" w:type="dxa"/>
                  <w:vAlign w:val="center"/>
                </w:tcPr>
                <w:p>
                  <w:pPr>
                    <w:jc w:val="center"/>
                    <w:rPr>
                      <w:color w:val="auto"/>
                      <w:sz w:val="22"/>
                      <w:highlight w:val="none"/>
                    </w:rPr>
                  </w:pPr>
                  <w:r>
                    <w:rPr>
                      <w:rFonts w:hint="eastAsia"/>
                      <w:color w:val="auto"/>
                      <w:sz w:val="22"/>
                      <w:highlight w:val="none"/>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2024年8月</w:t>
                  </w:r>
                </w:p>
              </w:tc>
              <w:tc>
                <w:tcPr>
                  <w:tcW w:w="1123" w:type="dxa"/>
                  <w:vAlign w:val="center"/>
                </w:tcPr>
                <w:p>
                  <w:pPr>
                    <w:jc w:val="center"/>
                    <w:rPr>
                      <w:color w:val="auto"/>
                      <w:sz w:val="22"/>
                      <w:highlight w:val="none"/>
                    </w:rPr>
                  </w:pPr>
                  <w:r>
                    <w:rPr>
                      <w:rFonts w:hint="eastAsia"/>
                      <w:color w:val="auto"/>
                      <w:sz w:val="22"/>
                      <w:highlight w:val="none"/>
                    </w:rPr>
                    <w:t>0.004</w:t>
                  </w:r>
                </w:p>
              </w:tc>
              <w:tc>
                <w:tcPr>
                  <w:tcW w:w="1124" w:type="dxa"/>
                  <w:vAlign w:val="center"/>
                </w:tcPr>
                <w:p>
                  <w:pPr>
                    <w:jc w:val="center"/>
                    <w:rPr>
                      <w:color w:val="auto"/>
                      <w:sz w:val="22"/>
                      <w:highlight w:val="none"/>
                    </w:rPr>
                  </w:pPr>
                  <w:r>
                    <w:rPr>
                      <w:rFonts w:hint="eastAsia"/>
                      <w:color w:val="auto"/>
                      <w:sz w:val="22"/>
                      <w:highlight w:val="none"/>
                    </w:rPr>
                    <w:t>0.009</w:t>
                  </w:r>
                </w:p>
              </w:tc>
              <w:tc>
                <w:tcPr>
                  <w:tcW w:w="1123" w:type="dxa"/>
                  <w:vAlign w:val="center"/>
                </w:tcPr>
                <w:p>
                  <w:pPr>
                    <w:jc w:val="center"/>
                    <w:rPr>
                      <w:color w:val="auto"/>
                      <w:sz w:val="22"/>
                      <w:highlight w:val="none"/>
                    </w:rPr>
                  </w:pPr>
                  <w:r>
                    <w:rPr>
                      <w:rFonts w:hint="eastAsia"/>
                      <w:color w:val="auto"/>
                      <w:sz w:val="22"/>
                      <w:highlight w:val="none"/>
                    </w:rPr>
                    <w:t>0.032</w:t>
                  </w:r>
                </w:p>
              </w:tc>
              <w:tc>
                <w:tcPr>
                  <w:tcW w:w="1124" w:type="dxa"/>
                  <w:vAlign w:val="center"/>
                </w:tcPr>
                <w:p>
                  <w:pPr>
                    <w:jc w:val="center"/>
                    <w:rPr>
                      <w:color w:val="auto"/>
                      <w:sz w:val="22"/>
                      <w:highlight w:val="none"/>
                    </w:rPr>
                  </w:pPr>
                  <w:r>
                    <w:rPr>
                      <w:rFonts w:hint="eastAsia"/>
                      <w:color w:val="auto"/>
                      <w:sz w:val="22"/>
                      <w:highlight w:val="none"/>
                    </w:rPr>
                    <w:t>0.017</w:t>
                  </w:r>
                </w:p>
              </w:tc>
              <w:tc>
                <w:tcPr>
                  <w:tcW w:w="1123" w:type="dxa"/>
                  <w:vAlign w:val="center"/>
                </w:tcPr>
                <w:p>
                  <w:pPr>
                    <w:jc w:val="center"/>
                    <w:rPr>
                      <w:color w:val="auto"/>
                      <w:sz w:val="22"/>
                      <w:highlight w:val="none"/>
                    </w:rPr>
                  </w:pPr>
                  <w:r>
                    <w:rPr>
                      <w:rFonts w:hint="eastAsia"/>
                      <w:color w:val="auto"/>
                      <w:sz w:val="22"/>
                      <w:highlight w:val="none"/>
                    </w:rPr>
                    <w:t>0.5</w:t>
                  </w:r>
                </w:p>
              </w:tc>
              <w:tc>
                <w:tcPr>
                  <w:tcW w:w="1124" w:type="dxa"/>
                  <w:vAlign w:val="center"/>
                </w:tcPr>
                <w:p>
                  <w:pPr>
                    <w:jc w:val="center"/>
                    <w:rPr>
                      <w:color w:val="auto"/>
                      <w:sz w:val="22"/>
                      <w:highlight w:val="none"/>
                    </w:rPr>
                  </w:pPr>
                  <w:r>
                    <w:rPr>
                      <w:rFonts w:hint="eastAsia"/>
                      <w:color w:val="auto"/>
                      <w:sz w:val="22"/>
                      <w:highlight w:val="none"/>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2024年9月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0.007</w:t>
                  </w:r>
                </w:p>
              </w:tc>
              <w:tc>
                <w:tcPr>
                  <w:tcW w:w="1123" w:type="dxa"/>
                  <w:vAlign w:val="center"/>
                </w:tcPr>
                <w:p>
                  <w:pPr>
                    <w:jc w:val="center"/>
                    <w:rPr>
                      <w:color w:val="auto"/>
                      <w:sz w:val="22"/>
                      <w:highlight w:val="none"/>
                    </w:rPr>
                  </w:pPr>
                  <w:r>
                    <w:rPr>
                      <w:rFonts w:hint="eastAsia"/>
                      <w:color w:val="auto"/>
                      <w:sz w:val="22"/>
                      <w:highlight w:val="none"/>
                    </w:rPr>
                    <w:t>0.020</w:t>
                  </w:r>
                </w:p>
              </w:tc>
              <w:tc>
                <w:tcPr>
                  <w:tcW w:w="1124" w:type="dxa"/>
                  <w:vAlign w:val="center"/>
                </w:tcPr>
                <w:p>
                  <w:pPr>
                    <w:jc w:val="center"/>
                    <w:rPr>
                      <w:color w:val="auto"/>
                      <w:sz w:val="22"/>
                      <w:highlight w:val="none"/>
                    </w:rPr>
                  </w:pPr>
                  <w:r>
                    <w:rPr>
                      <w:rFonts w:hint="eastAsia"/>
                      <w:color w:val="auto"/>
                      <w:sz w:val="22"/>
                      <w:highlight w:val="none"/>
                    </w:rPr>
                    <w:t>0.010</w:t>
                  </w:r>
                </w:p>
              </w:tc>
              <w:tc>
                <w:tcPr>
                  <w:tcW w:w="1123" w:type="dxa"/>
                  <w:vAlign w:val="center"/>
                </w:tcPr>
                <w:p>
                  <w:pPr>
                    <w:jc w:val="center"/>
                    <w:rPr>
                      <w:color w:val="auto"/>
                      <w:sz w:val="22"/>
                      <w:highlight w:val="none"/>
                    </w:rPr>
                  </w:pPr>
                  <w:r>
                    <w:rPr>
                      <w:rFonts w:hint="eastAsia"/>
                      <w:color w:val="auto"/>
                      <w:sz w:val="22"/>
                      <w:highlight w:val="none"/>
                    </w:rPr>
                    <w:t>0.4</w:t>
                  </w:r>
                </w:p>
              </w:tc>
              <w:tc>
                <w:tcPr>
                  <w:tcW w:w="1124" w:type="dxa"/>
                  <w:vAlign w:val="center"/>
                </w:tcPr>
                <w:p>
                  <w:pPr>
                    <w:jc w:val="center"/>
                    <w:rPr>
                      <w:color w:val="auto"/>
                      <w:sz w:val="22"/>
                      <w:highlight w:val="none"/>
                    </w:rPr>
                  </w:pPr>
                  <w:r>
                    <w:rPr>
                      <w:rFonts w:hint="eastAsia"/>
                      <w:color w:val="auto"/>
                      <w:sz w:val="22"/>
                      <w:highlight w:val="none"/>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2024年10月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0.005</w:t>
                  </w:r>
                </w:p>
              </w:tc>
              <w:tc>
                <w:tcPr>
                  <w:tcW w:w="1123" w:type="dxa"/>
                  <w:vAlign w:val="center"/>
                </w:tcPr>
                <w:p>
                  <w:pPr>
                    <w:jc w:val="center"/>
                    <w:rPr>
                      <w:color w:val="auto"/>
                      <w:sz w:val="22"/>
                      <w:highlight w:val="none"/>
                    </w:rPr>
                  </w:pPr>
                  <w:r>
                    <w:rPr>
                      <w:rFonts w:hint="eastAsia"/>
                      <w:color w:val="auto"/>
                      <w:sz w:val="22"/>
                      <w:highlight w:val="none"/>
                    </w:rPr>
                    <w:t>0.022</w:t>
                  </w:r>
                </w:p>
              </w:tc>
              <w:tc>
                <w:tcPr>
                  <w:tcW w:w="1124" w:type="dxa"/>
                  <w:vAlign w:val="center"/>
                </w:tcPr>
                <w:p>
                  <w:pPr>
                    <w:jc w:val="center"/>
                    <w:rPr>
                      <w:color w:val="auto"/>
                      <w:sz w:val="22"/>
                      <w:highlight w:val="none"/>
                    </w:rPr>
                  </w:pPr>
                  <w:r>
                    <w:rPr>
                      <w:rFonts w:hint="eastAsia"/>
                      <w:color w:val="auto"/>
                      <w:sz w:val="22"/>
                      <w:highlight w:val="none"/>
                    </w:rPr>
                    <w:t>0.013</w:t>
                  </w:r>
                </w:p>
              </w:tc>
              <w:tc>
                <w:tcPr>
                  <w:tcW w:w="1123" w:type="dxa"/>
                  <w:vAlign w:val="center"/>
                </w:tcPr>
                <w:p>
                  <w:pPr>
                    <w:jc w:val="center"/>
                    <w:rPr>
                      <w:color w:val="auto"/>
                      <w:sz w:val="22"/>
                      <w:highlight w:val="none"/>
                    </w:rPr>
                  </w:pPr>
                  <w:r>
                    <w:rPr>
                      <w:rFonts w:hint="eastAsia"/>
                      <w:color w:val="auto"/>
                      <w:sz w:val="22"/>
                      <w:highlight w:val="none"/>
                    </w:rPr>
                    <w:t>0.4</w:t>
                  </w:r>
                </w:p>
              </w:tc>
              <w:tc>
                <w:tcPr>
                  <w:tcW w:w="1124" w:type="dxa"/>
                  <w:vAlign w:val="center"/>
                </w:tcPr>
                <w:p>
                  <w:pPr>
                    <w:jc w:val="center"/>
                    <w:rPr>
                      <w:color w:val="auto"/>
                      <w:sz w:val="22"/>
                      <w:highlight w:val="none"/>
                    </w:rPr>
                  </w:pPr>
                  <w:r>
                    <w:rPr>
                      <w:rFonts w:hint="eastAsia"/>
                      <w:color w:val="auto"/>
                      <w:sz w:val="22"/>
                      <w:highlight w:val="none"/>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2024年11月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0.008</w:t>
                  </w:r>
                </w:p>
              </w:tc>
              <w:tc>
                <w:tcPr>
                  <w:tcW w:w="1123" w:type="dxa"/>
                  <w:vAlign w:val="center"/>
                </w:tcPr>
                <w:p>
                  <w:pPr>
                    <w:jc w:val="center"/>
                    <w:rPr>
                      <w:color w:val="auto"/>
                      <w:sz w:val="22"/>
                      <w:highlight w:val="none"/>
                    </w:rPr>
                  </w:pPr>
                  <w:r>
                    <w:rPr>
                      <w:rFonts w:hint="eastAsia"/>
                      <w:color w:val="auto"/>
                      <w:sz w:val="22"/>
                      <w:highlight w:val="none"/>
                    </w:rPr>
                    <w:t>0.023</w:t>
                  </w:r>
                </w:p>
              </w:tc>
              <w:tc>
                <w:tcPr>
                  <w:tcW w:w="1124" w:type="dxa"/>
                  <w:vAlign w:val="center"/>
                </w:tcPr>
                <w:p>
                  <w:pPr>
                    <w:jc w:val="center"/>
                    <w:rPr>
                      <w:color w:val="auto"/>
                      <w:sz w:val="22"/>
                      <w:highlight w:val="none"/>
                    </w:rPr>
                  </w:pPr>
                  <w:r>
                    <w:rPr>
                      <w:rFonts w:hint="eastAsia"/>
                      <w:color w:val="auto"/>
                      <w:sz w:val="22"/>
                      <w:highlight w:val="none"/>
                    </w:rPr>
                    <w:t>0.012</w:t>
                  </w:r>
                </w:p>
              </w:tc>
              <w:tc>
                <w:tcPr>
                  <w:tcW w:w="1123" w:type="dxa"/>
                  <w:vAlign w:val="center"/>
                </w:tcPr>
                <w:p>
                  <w:pPr>
                    <w:jc w:val="center"/>
                    <w:rPr>
                      <w:color w:val="auto"/>
                      <w:sz w:val="22"/>
                      <w:highlight w:val="none"/>
                    </w:rPr>
                  </w:pPr>
                  <w:r>
                    <w:rPr>
                      <w:rFonts w:hint="eastAsia"/>
                      <w:color w:val="auto"/>
                      <w:sz w:val="22"/>
                      <w:highlight w:val="none"/>
                    </w:rPr>
                    <w:t>0.4</w:t>
                  </w:r>
                </w:p>
              </w:tc>
              <w:tc>
                <w:tcPr>
                  <w:tcW w:w="1124" w:type="dxa"/>
                  <w:vAlign w:val="center"/>
                </w:tcPr>
                <w:p>
                  <w:pPr>
                    <w:jc w:val="center"/>
                    <w:rPr>
                      <w:color w:val="auto"/>
                      <w:sz w:val="22"/>
                      <w:highlight w:val="none"/>
                    </w:rPr>
                  </w:pPr>
                  <w:r>
                    <w:rPr>
                      <w:rFonts w:hint="eastAsia"/>
                      <w:color w:val="auto"/>
                      <w:sz w:val="22"/>
                      <w:highlight w:val="none"/>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2024年12月</w:t>
                  </w:r>
                </w:p>
              </w:tc>
              <w:tc>
                <w:tcPr>
                  <w:tcW w:w="1123" w:type="dxa"/>
                  <w:vAlign w:val="center"/>
                </w:tcPr>
                <w:p>
                  <w:pPr>
                    <w:jc w:val="center"/>
                    <w:rPr>
                      <w:color w:val="auto"/>
                      <w:sz w:val="22"/>
                      <w:highlight w:val="none"/>
                    </w:rPr>
                  </w:pPr>
                  <w:r>
                    <w:rPr>
                      <w:rFonts w:hint="eastAsia"/>
                      <w:color w:val="auto"/>
                      <w:sz w:val="22"/>
                      <w:highlight w:val="none"/>
                    </w:rPr>
                    <w:t>0.002</w:t>
                  </w:r>
                </w:p>
              </w:tc>
              <w:tc>
                <w:tcPr>
                  <w:tcW w:w="1124" w:type="dxa"/>
                  <w:vAlign w:val="center"/>
                </w:tcPr>
                <w:p>
                  <w:pPr>
                    <w:jc w:val="center"/>
                    <w:rPr>
                      <w:color w:val="auto"/>
                      <w:sz w:val="22"/>
                      <w:highlight w:val="none"/>
                    </w:rPr>
                  </w:pPr>
                  <w:r>
                    <w:rPr>
                      <w:rFonts w:hint="eastAsia"/>
                      <w:color w:val="auto"/>
                      <w:sz w:val="22"/>
                      <w:highlight w:val="none"/>
                    </w:rPr>
                    <w:t>0.014</w:t>
                  </w:r>
                </w:p>
              </w:tc>
              <w:tc>
                <w:tcPr>
                  <w:tcW w:w="1123" w:type="dxa"/>
                  <w:vAlign w:val="center"/>
                </w:tcPr>
                <w:p>
                  <w:pPr>
                    <w:jc w:val="center"/>
                    <w:rPr>
                      <w:color w:val="auto"/>
                      <w:sz w:val="22"/>
                      <w:highlight w:val="none"/>
                    </w:rPr>
                  </w:pPr>
                  <w:r>
                    <w:rPr>
                      <w:rFonts w:hint="eastAsia"/>
                      <w:color w:val="auto"/>
                      <w:sz w:val="22"/>
                      <w:highlight w:val="none"/>
                    </w:rPr>
                    <w:t>0.036</w:t>
                  </w:r>
                </w:p>
              </w:tc>
              <w:tc>
                <w:tcPr>
                  <w:tcW w:w="1124" w:type="dxa"/>
                  <w:vAlign w:val="center"/>
                </w:tcPr>
                <w:p>
                  <w:pPr>
                    <w:jc w:val="center"/>
                    <w:rPr>
                      <w:color w:val="auto"/>
                      <w:sz w:val="22"/>
                      <w:highlight w:val="none"/>
                    </w:rPr>
                  </w:pPr>
                  <w:r>
                    <w:rPr>
                      <w:rFonts w:hint="eastAsia"/>
                      <w:color w:val="auto"/>
                      <w:sz w:val="22"/>
                      <w:highlight w:val="none"/>
                    </w:rPr>
                    <w:t>0.019</w:t>
                  </w:r>
                </w:p>
              </w:tc>
              <w:tc>
                <w:tcPr>
                  <w:tcW w:w="1123" w:type="dxa"/>
                  <w:vAlign w:val="center"/>
                </w:tcPr>
                <w:p>
                  <w:pPr>
                    <w:jc w:val="center"/>
                    <w:rPr>
                      <w:color w:val="auto"/>
                      <w:sz w:val="22"/>
                      <w:highlight w:val="none"/>
                    </w:rPr>
                  </w:pPr>
                  <w:r>
                    <w:rPr>
                      <w:rFonts w:hint="eastAsia"/>
                      <w:color w:val="auto"/>
                      <w:sz w:val="22"/>
                      <w:highlight w:val="none"/>
                    </w:rPr>
                    <w:t>0.6</w:t>
                  </w:r>
                </w:p>
              </w:tc>
              <w:tc>
                <w:tcPr>
                  <w:tcW w:w="1124" w:type="dxa"/>
                  <w:vAlign w:val="center"/>
                </w:tcPr>
                <w:p>
                  <w:pPr>
                    <w:jc w:val="center"/>
                    <w:rPr>
                      <w:color w:val="auto"/>
                      <w:sz w:val="22"/>
                      <w:highlight w:val="none"/>
                    </w:rPr>
                  </w:pPr>
                  <w:r>
                    <w:rPr>
                      <w:rFonts w:hint="eastAsia"/>
                      <w:color w:val="auto"/>
                      <w:sz w:val="22"/>
                      <w:highlight w:val="none"/>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color w:val="auto"/>
                      <w:sz w:val="22"/>
                      <w:highlight w:val="none"/>
                    </w:rPr>
                  </w:pPr>
                  <w:r>
                    <w:rPr>
                      <w:rFonts w:hint="eastAsia"/>
                      <w:color w:val="auto"/>
                      <w:sz w:val="22"/>
                      <w:highlight w:val="none"/>
                    </w:rPr>
                    <w:t>备注</w:t>
                  </w:r>
                </w:p>
              </w:tc>
              <w:tc>
                <w:tcPr>
                  <w:tcW w:w="6741" w:type="dxa"/>
                  <w:gridSpan w:val="6"/>
                  <w:vAlign w:val="center"/>
                </w:tcPr>
                <w:p>
                  <w:pPr>
                    <w:jc w:val="center"/>
                    <w:rPr>
                      <w:color w:val="auto"/>
                      <w:sz w:val="22"/>
                      <w:highlight w:val="none"/>
                    </w:rPr>
                  </w:pPr>
                  <w:r>
                    <w:rPr>
                      <w:color w:val="auto"/>
                      <w:sz w:val="22"/>
                      <w:highlight w:val="none"/>
                    </w:rPr>
                    <w:t>CO为日均值第95百分位数，O</w:t>
                  </w:r>
                  <w:r>
                    <w:rPr>
                      <w:rFonts w:hint="eastAsia"/>
                      <w:color w:val="auto"/>
                      <w:sz w:val="22"/>
                      <w:highlight w:val="none"/>
                      <w:shd w:val="clear" w:color="auto" w:fill="FFFFFF"/>
                      <w:vertAlign w:val="subscript"/>
                    </w:rPr>
                    <w:t>3</w:t>
                  </w:r>
                  <w:r>
                    <w:rPr>
                      <w:color w:val="auto"/>
                      <w:sz w:val="22"/>
                      <w:highlight w:val="none"/>
                    </w:rPr>
                    <w:t>为日最大8小时值第90百分位数。</w:t>
                  </w:r>
                </w:p>
              </w:tc>
            </w:tr>
          </w:tbl>
          <w:p>
            <w:pPr>
              <w:pStyle w:val="43"/>
              <w:spacing w:line="360" w:lineRule="auto"/>
              <w:ind w:firstLine="480" w:firstLineChars="200"/>
              <w:rPr>
                <w:color w:val="auto"/>
                <w:kern w:val="0"/>
                <w:sz w:val="24"/>
                <w:szCs w:val="28"/>
                <w:highlight w:val="none"/>
              </w:rPr>
            </w:pPr>
            <w:r>
              <w:rPr>
                <w:rFonts w:hint="eastAsia"/>
                <w:color w:val="auto"/>
                <w:kern w:val="0"/>
                <w:sz w:val="24"/>
                <w:szCs w:val="28"/>
                <w:highlight w:val="none"/>
              </w:rPr>
              <w:t>②引用数据有效性分析</w:t>
            </w:r>
          </w:p>
          <w:p>
            <w:pPr>
              <w:spacing w:line="360" w:lineRule="auto"/>
              <w:ind w:firstLine="480" w:firstLineChars="200"/>
              <w:rPr>
                <w:color w:val="auto"/>
                <w:sz w:val="24"/>
                <w:highlight w:val="none"/>
              </w:rPr>
            </w:pPr>
            <w:r>
              <w:rPr>
                <w:rFonts w:hint="eastAsia"/>
                <w:color w:val="auto"/>
                <w:kern w:val="0"/>
                <w:sz w:val="24"/>
                <w:szCs w:val="28"/>
                <w:highlight w:val="none"/>
              </w:rPr>
              <w:t>根据《建设项目环境影响报告表编制技术指南（污染影响类）（试行）》，常规污染物引用与建设项目距离近的有效数据，包括近</w:t>
            </w:r>
            <w:r>
              <w:rPr>
                <w:color w:val="auto"/>
                <w:kern w:val="0"/>
                <w:sz w:val="24"/>
                <w:szCs w:val="28"/>
                <w:highlight w:val="none"/>
              </w:rPr>
              <w:t>3</w:t>
            </w:r>
            <w:r>
              <w:rPr>
                <w:rFonts w:hint="eastAsia"/>
                <w:color w:val="auto"/>
                <w:kern w:val="0"/>
                <w:sz w:val="24"/>
                <w:szCs w:val="28"/>
                <w:highlight w:val="none"/>
              </w:rPr>
              <w:t>年的规划环境影响评价的监测数据，国家、地方环境空气质量监测网数据或生态环境主管部门公开发布的质量数据等。</w:t>
            </w:r>
            <w:r>
              <w:rPr>
                <w:color w:val="auto"/>
                <w:sz w:val="24"/>
                <w:highlight w:val="none"/>
              </w:rPr>
              <w:t>排放国家、地方环境空气质量标准中有标准限值要求的特征污染物时，引用建设项目周边5千米范围内近3年的现有监测数据，无相关数据的选择当季主导风向下风向1个点位补充不少于3天的监测数据。</w:t>
            </w:r>
          </w:p>
          <w:p>
            <w:pPr>
              <w:pStyle w:val="4"/>
              <w:rPr>
                <w:color w:val="auto"/>
                <w:highlight w:val="none"/>
              </w:rPr>
            </w:pPr>
            <w:r>
              <w:rPr>
                <w:rFonts w:hint="eastAsia"/>
                <w:color w:val="auto"/>
                <w:highlight w:val="none"/>
              </w:rPr>
              <w:t>3.1.2水环境质量</w:t>
            </w:r>
          </w:p>
          <w:p>
            <w:pPr>
              <w:pStyle w:val="8"/>
              <w:rPr>
                <w:color w:val="auto"/>
                <w:highlight w:val="none"/>
              </w:rPr>
            </w:pPr>
            <w:r>
              <w:rPr>
                <w:rFonts w:hint="eastAsia"/>
                <w:color w:val="auto"/>
                <w:highlight w:val="none"/>
              </w:rPr>
              <w:t>（1）地表水环境质量现状</w:t>
            </w:r>
          </w:p>
          <w:p>
            <w:pPr>
              <w:wordWrap w:val="0"/>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为了解项目地表水水质环境质量现状，根据《福建省流域水环境质量状况（2024年）》（https://sthjt.fujian.gov.cn/zwgk/sjfb/hjsj/qshjzljtb/202502/t20250208_6712426.htm）显示：2024年，全省主要流域总体水质为优，国控断面Ⅰ～Ⅲ类水质比例100％，Ⅰ～Ⅱ类水质比例77.1％；国控及省控断面Ⅰ～Ⅲ类水质比例99.7％，其中Ⅰ～Ⅱ类水质比例80.0％，各类水质比例如下：Ⅰ类占2.4％，Ⅱ类占77.6％，Ⅲ类占19.7％，Ⅳ类占0.3％，无Ⅴ类和劣Ⅴ类水。</w:t>
            </w:r>
          </w:p>
          <w:p>
            <w:pPr>
              <w:spacing w:line="360" w:lineRule="auto"/>
              <w:ind w:firstLine="480" w:firstLineChars="200"/>
              <w:rPr>
                <w:color w:val="auto"/>
                <w:kern w:val="0"/>
                <w:sz w:val="24"/>
                <w:szCs w:val="20"/>
                <w:highlight w:val="none"/>
              </w:rPr>
            </w:pPr>
            <w:r>
              <w:rPr>
                <w:color w:val="auto"/>
                <w:kern w:val="0"/>
                <w:sz w:val="24"/>
                <w:szCs w:val="20"/>
                <w:highlight w:val="none"/>
              </w:rPr>
              <w:t>2024年，福建省主要流域总体水质从相对较好开始排序，具体为：闽江、交溪、九龙江、汀江（韩江）、霍童溪、晋江、萩芦溪、东西溪、木兰溪、敖江、漳江、诏安东溪、鹿溪、龙江。</w:t>
            </w:r>
          </w:p>
          <w:p>
            <w:pPr>
              <w:spacing w:line="360" w:lineRule="auto"/>
              <w:ind w:firstLine="480" w:firstLineChars="200"/>
              <w:rPr>
                <w:color w:val="auto"/>
                <w:kern w:val="0"/>
                <w:sz w:val="24"/>
                <w:szCs w:val="20"/>
                <w:highlight w:val="none"/>
              </w:rPr>
            </w:pPr>
            <w:r>
              <w:rPr>
                <w:color w:val="auto"/>
                <w:kern w:val="0"/>
                <w:sz w:val="24"/>
                <w:szCs w:val="20"/>
                <w:highlight w:val="none"/>
              </w:rPr>
              <w:t>综上，项目所在区域水质状况良好，属于达标区。</w:t>
            </w:r>
            <w:r>
              <w:rPr>
                <w:rFonts w:hint="eastAsia"/>
                <w:color w:val="auto"/>
                <w:kern w:val="0"/>
                <w:sz w:val="24"/>
                <w:szCs w:val="20"/>
                <w:highlight w:val="none"/>
              </w:rPr>
              <w:t>项目外排废水进入兴化湾。</w:t>
            </w:r>
          </w:p>
          <w:p>
            <w:pPr>
              <w:pStyle w:val="34"/>
              <w:ind w:firstLine="420" w:firstLineChars="200"/>
              <w:rPr>
                <w:color w:val="auto"/>
                <w:highlight w:val="none"/>
              </w:rPr>
            </w:pPr>
            <w:r>
              <w:rPr>
                <w:color w:val="auto"/>
                <w:highlight w:val="none"/>
              </w:rPr>
              <w:drawing>
                <wp:inline distT="0" distB="0" distL="114300" distR="114300">
                  <wp:extent cx="5279390" cy="3420110"/>
                  <wp:effectExtent l="0" t="0" r="8890" b="889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5"/>
                          <a:stretch>
                            <a:fillRect/>
                          </a:stretch>
                        </pic:blipFill>
                        <pic:spPr>
                          <a:xfrm>
                            <a:off x="0" y="0"/>
                            <a:ext cx="5279390" cy="3420110"/>
                          </a:xfrm>
                          <a:prstGeom prst="rect">
                            <a:avLst/>
                          </a:prstGeom>
                          <a:noFill/>
                          <a:ln>
                            <a:noFill/>
                          </a:ln>
                        </pic:spPr>
                      </pic:pic>
                    </a:graphicData>
                  </a:graphic>
                </wp:inline>
              </w:drawing>
            </w:r>
          </w:p>
          <w:p>
            <w:pPr>
              <w:pStyle w:val="43"/>
              <w:spacing w:line="360" w:lineRule="auto"/>
              <w:ind w:firstLine="482" w:firstLineChars="200"/>
              <w:jc w:val="center"/>
              <w:rPr>
                <w:b/>
                <w:bCs/>
                <w:color w:val="auto"/>
                <w:sz w:val="24"/>
                <w:highlight w:val="none"/>
                <w:lang w:val="zh-CN"/>
              </w:rPr>
            </w:pPr>
            <w:r>
              <w:rPr>
                <w:rFonts w:hint="eastAsia"/>
                <w:b/>
                <w:bCs/>
                <w:color w:val="auto"/>
                <w:sz w:val="24"/>
                <w:highlight w:val="none"/>
                <w:lang w:val="zh-CN"/>
              </w:rPr>
              <w:t>图3</w:t>
            </w:r>
            <w:r>
              <w:rPr>
                <w:rFonts w:hint="eastAsia"/>
                <w:b/>
                <w:bCs/>
                <w:color w:val="auto"/>
                <w:sz w:val="24"/>
                <w:highlight w:val="none"/>
              </w:rPr>
              <w:t>-1</w:t>
            </w:r>
            <w:r>
              <w:rPr>
                <w:rFonts w:hint="eastAsia"/>
                <w:b/>
                <w:bCs/>
                <w:color w:val="auto"/>
                <w:sz w:val="24"/>
                <w:highlight w:val="none"/>
                <w:lang w:val="zh-CN"/>
              </w:rPr>
              <w:t>福建省流域水环境质量状况（2024年）</w:t>
            </w:r>
            <w:r>
              <w:rPr>
                <w:rFonts w:hint="eastAsia"/>
                <w:b/>
                <w:bCs/>
                <w:color w:val="auto"/>
                <w:sz w:val="24"/>
                <w:highlight w:val="none"/>
              </w:rPr>
              <w:t>网络</w:t>
            </w:r>
            <w:r>
              <w:rPr>
                <w:rFonts w:hint="eastAsia"/>
                <w:b/>
                <w:bCs/>
                <w:color w:val="auto"/>
                <w:sz w:val="24"/>
                <w:highlight w:val="none"/>
                <w:lang w:val="zh-CN"/>
              </w:rPr>
              <w:t>截图</w:t>
            </w:r>
          </w:p>
          <w:p>
            <w:pPr>
              <w:pStyle w:val="34"/>
              <w:ind w:firstLine="420" w:firstLineChars="200"/>
              <w:rPr>
                <w:color w:val="auto"/>
                <w:highlight w:val="none"/>
              </w:rPr>
            </w:pPr>
            <w:r>
              <w:rPr>
                <w:color w:val="auto"/>
                <w:highlight w:val="none"/>
              </w:rPr>
              <w:drawing>
                <wp:inline distT="0" distB="0" distL="114300" distR="114300">
                  <wp:extent cx="4613275" cy="2655570"/>
                  <wp:effectExtent l="0" t="0" r="4445" b="1143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6"/>
                          <a:stretch>
                            <a:fillRect/>
                          </a:stretch>
                        </pic:blipFill>
                        <pic:spPr>
                          <a:xfrm>
                            <a:off x="0" y="0"/>
                            <a:ext cx="4613275" cy="2655570"/>
                          </a:xfrm>
                          <a:prstGeom prst="rect">
                            <a:avLst/>
                          </a:prstGeom>
                          <a:noFill/>
                          <a:ln>
                            <a:noFill/>
                          </a:ln>
                        </pic:spPr>
                      </pic:pic>
                    </a:graphicData>
                  </a:graphic>
                </wp:inline>
              </w:drawing>
            </w:r>
          </w:p>
          <w:p>
            <w:pPr>
              <w:pStyle w:val="43"/>
              <w:spacing w:line="360" w:lineRule="auto"/>
              <w:ind w:firstLine="482" w:firstLineChars="200"/>
              <w:jc w:val="center"/>
              <w:rPr>
                <w:b/>
                <w:bCs/>
                <w:color w:val="auto"/>
                <w:sz w:val="24"/>
                <w:highlight w:val="none"/>
                <w:lang w:val="zh-CN"/>
              </w:rPr>
            </w:pPr>
            <w:r>
              <w:rPr>
                <w:rFonts w:hint="eastAsia"/>
                <w:b/>
                <w:bCs/>
                <w:color w:val="auto"/>
                <w:sz w:val="24"/>
                <w:highlight w:val="none"/>
                <w:lang w:val="zh-CN"/>
              </w:rPr>
              <w:t>图3</w:t>
            </w:r>
            <w:r>
              <w:rPr>
                <w:rFonts w:hint="eastAsia"/>
                <w:b/>
                <w:bCs/>
                <w:color w:val="auto"/>
                <w:sz w:val="24"/>
                <w:highlight w:val="none"/>
              </w:rPr>
              <w:t>-2</w:t>
            </w:r>
            <w:r>
              <w:rPr>
                <w:rFonts w:hint="eastAsia"/>
                <w:b/>
                <w:bCs/>
                <w:color w:val="auto"/>
                <w:sz w:val="24"/>
                <w:highlight w:val="none"/>
                <w:lang w:val="zh-CN"/>
              </w:rPr>
              <w:t>福建省地表水水质状况排序（2024年）</w:t>
            </w:r>
            <w:r>
              <w:rPr>
                <w:rFonts w:hint="eastAsia"/>
                <w:b/>
                <w:bCs/>
                <w:color w:val="auto"/>
                <w:sz w:val="24"/>
                <w:highlight w:val="none"/>
              </w:rPr>
              <w:t>网络</w:t>
            </w:r>
            <w:r>
              <w:rPr>
                <w:rFonts w:hint="eastAsia"/>
                <w:b/>
                <w:bCs/>
                <w:color w:val="auto"/>
                <w:sz w:val="24"/>
                <w:highlight w:val="none"/>
                <w:lang w:val="zh-CN"/>
              </w:rPr>
              <w:t>截图</w:t>
            </w:r>
          </w:p>
          <w:p>
            <w:pPr>
              <w:pStyle w:val="8"/>
              <w:rPr>
                <w:color w:val="auto"/>
                <w:highlight w:val="none"/>
              </w:rPr>
            </w:pPr>
            <w:r>
              <w:rPr>
                <w:rFonts w:hint="eastAsia"/>
                <w:color w:val="auto"/>
                <w:highlight w:val="none"/>
              </w:rPr>
              <w:t>（2）引用资料有效性分析</w:t>
            </w:r>
          </w:p>
          <w:p>
            <w:pPr>
              <w:spacing w:line="360" w:lineRule="auto"/>
              <w:ind w:firstLine="480" w:firstLineChars="200"/>
              <w:rPr>
                <w:color w:val="auto"/>
                <w:kern w:val="0"/>
                <w:sz w:val="24"/>
                <w:szCs w:val="28"/>
                <w:highlight w:val="none"/>
              </w:rPr>
            </w:pPr>
            <w:r>
              <w:rPr>
                <w:color w:val="auto"/>
                <w:kern w:val="0"/>
                <w:sz w:val="24"/>
                <w:szCs w:val="28"/>
                <w:highlight w:val="none"/>
              </w:rPr>
              <w:t>根据《建设项目环境影响报告表编制技术指南</w:t>
            </w:r>
            <w:r>
              <w:rPr>
                <w:rFonts w:hint="eastAsia"/>
                <w:color w:val="auto"/>
                <w:kern w:val="0"/>
                <w:sz w:val="24"/>
                <w:szCs w:val="28"/>
                <w:highlight w:val="none"/>
              </w:rPr>
              <w:t>（</w:t>
            </w:r>
            <w:r>
              <w:rPr>
                <w:color w:val="auto"/>
                <w:kern w:val="0"/>
                <w:sz w:val="24"/>
                <w:szCs w:val="28"/>
                <w:highlight w:val="none"/>
              </w:rPr>
              <w:t>污染影响类</w:t>
            </w:r>
            <w:r>
              <w:rPr>
                <w:rFonts w:hint="eastAsia"/>
                <w:color w:val="auto"/>
                <w:kern w:val="0"/>
                <w:sz w:val="24"/>
                <w:szCs w:val="28"/>
                <w:highlight w:val="none"/>
              </w:rPr>
              <w:t>）（</w:t>
            </w:r>
            <w:r>
              <w:rPr>
                <w:color w:val="auto"/>
                <w:kern w:val="0"/>
                <w:sz w:val="24"/>
                <w:szCs w:val="28"/>
                <w:highlight w:val="none"/>
              </w:rPr>
              <w:t>试行</w:t>
            </w:r>
            <w:r>
              <w:rPr>
                <w:rFonts w:hint="eastAsia"/>
                <w:color w:val="auto"/>
                <w:kern w:val="0"/>
                <w:sz w:val="24"/>
                <w:szCs w:val="28"/>
                <w:highlight w:val="none"/>
              </w:rPr>
              <w:t>）</w:t>
            </w:r>
            <w:r>
              <w:rPr>
                <w:color w:val="auto"/>
                <w:kern w:val="0"/>
                <w:sz w:val="24"/>
                <w:szCs w:val="28"/>
                <w:highlight w:val="none"/>
              </w:rPr>
              <w:t>》</w:t>
            </w:r>
            <w:r>
              <w:rPr>
                <w:rFonts w:hint="eastAsia"/>
                <w:color w:val="auto"/>
                <w:kern w:val="0"/>
                <w:sz w:val="24"/>
                <w:szCs w:val="28"/>
                <w:highlight w:val="none"/>
              </w:rPr>
              <w:t>（</w:t>
            </w:r>
            <w:r>
              <w:rPr>
                <w:color w:val="auto"/>
                <w:kern w:val="0"/>
                <w:sz w:val="24"/>
                <w:szCs w:val="28"/>
                <w:highlight w:val="none"/>
              </w:rPr>
              <w:t>环办环评〔2020〕33号</w:t>
            </w:r>
            <w:r>
              <w:rPr>
                <w:rFonts w:hint="eastAsia"/>
                <w:color w:val="auto"/>
                <w:kern w:val="0"/>
                <w:sz w:val="24"/>
                <w:szCs w:val="28"/>
                <w:highlight w:val="none"/>
              </w:rPr>
              <w:t>）</w:t>
            </w:r>
            <w:r>
              <w:rPr>
                <w:color w:val="auto"/>
                <w:kern w:val="0"/>
                <w:sz w:val="24"/>
                <w:szCs w:val="28"/>
                <w:highlight w:val="none"/>
              </w:rPr>
              <w:t>的要求：</w:t>
            </w:r>
            <w:r>
              <w:rPr>
                <w:rFonts w:hint="eastAsia"/>
                <w:color w:val="auto"/>
                <w:kern w:val="0"/>
                <w:sz w:val="24"/>
                <w:szCs w:val="28"/>
                <w:highlight w:val="none"/>
              </w:rPr>
              <w:t>“</w:t>
            </w:r>
            <w:r>
              <w:rPr>
                <w:color w:val="auto"/>
                <w:kern w:val="0"/>
                <w:sz w:val="24"/>
                <w:szCs w:val="28"/>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auto"/>
                <w:kern w:val="0"/>
                <w:sz w:val="24"/>
                <w:szCs w:val="28"/>
                <w:highlight w:val="none"/>
              </w:rPr>
              <w:t>”</w:t>
            </w:r>
            <w:r>
              <w:rPr>
                <w:color w:val="auto"/>
                <w:kern w:val="0"/>
                <w:sz w:val="24"/>
                <w:szCs w:val="28"/>
                <w:highlight w:val="none"/>
              </w:rPr>
              <w:t>。本评价引用福建省生态环境厅网站</w:t>
            </w:r>
            <w:r>
              <w:rPr>
                <w:rFonts w:hint="eastAsia"/>
                <w:color w:val="auto"/>
                <w:kern w:val="0"/>
                <w:sz w:val="24"/>
                <w:szCs w:val="28"/>
                <w:highlight w:val="none"/>
              </w:rPr>
              <w:t>发布</w:t>
            </w:r>
            <w:r>
              <w:rPr>
                <w:color w:val="auto"/>
                <w:kern w:val="0"/>
                <w:sz w:val="24"/>
                <w:szCs w:val="28"/>
                <w:highlight w:val="none"/>
              </w:rPr>
              <w:t>地表水水质环境质量现状</w:t>
            </w:r>
            <w:r>
              <w:rPr>
                <w:rFonts w:hint="eastAsia"/>
                <w:color w:val="auto"/>
                <w:kern w:val="0"/>
                <w:sz w:val="24"/>
                <w:szCs w:val="28"/>
                <w:highlight w:val="none"/>
              </w:rPr>
              <w:t>进行分析，</w:t>
            </w:r>
            <w:r>
              <w:rPr>
                <w:color w:val="auto"/>
                <w:kern w:val="0"/>
                <w:sz w:val="24"/>
                <w:szCs w:val="28"/>
                <w:highlight w:val="none"/>
              </w:rPr>
              <w:t>符合《建设项目环境影响报告表编制技术指南</w:t>
            </w:r>
            <w:r>
              <w:rPr>
                <w:rFonts w:hint="eastAsia"/>
                <w:color w:val="auto"/>
                <w:kern w:val="0"/>
                <w:sz w:val="24"/>
                <w:szCs w:val="28"/>
                <w:highlight w:val="none"/>
              </w:rPr>
              <w:t>（</w:t>
            </w:r>
            <w:r>
              <w:rPr>
                <w:color w:val="auto"/>
                <w:kern w:val="0"/>
                <w:sz w:val="24"/>
                <w:szCs w:val="28"/>
                <w:highlight w:val="none"/>
              </w:rPr>
              <w:t>污染影响类</w:t>
            </w:r>
            <w:r>
              <w:rPr>
                <w:rFonts w:hint="eastAsia"/>
                <w:color w:val="auto"/>
                <w:kern w:val="0"/>
                <w:sz w:val="24"/>
                <w:szCs w:val="28"/>
                <w:highlight w:val="none"/>
              </w:rPr>
              <w:t>）（</w:t>
            </w:r>
            <w:r>
              <w:rPr>
                <w:color w:val="auto"/>
                <w:kern w:val="0"/>
                <w:sz w:val="24"/>
                <w:szCs w:val="28"/>
                <w:highlight w:val="none"/>
              </w:rPr>
              <w:t>试行</w:t>
            </w:r>
            <w:r>
              <w:rPr>
                <w:rFonts w:hint="eastAsia"/>
                <w:color w:val="auto"/>
                <w:kern w:val="0"/>
                <w:sz w:val="24"/>
                <w:szCs w:val="28"/>
                <w:highlight w:val="none"/>
              </w:rPr>
              <w:t>）</w:t>
            </w:r>
            <w:r>
              <w:rPr>
                <w:color w:val="auto"/>
                <w:kern w:val="0"/>
                <w:sz w:val="24"/>
                <w:szCs w:val="28"/>
                <w:highlight w:val="none"/>
              </w:rPr>
              <w:t>》</w:t>
            </w:r>
            <w:r>
              <w:rPr>
                <w:rFonts w:hint="eastAsia"/>
                <w:color w:val="auto"/>
                <w:kern w:val="0"/>
                <w:sz w:val="24"/>
                <w:szCs w:val="28"/>
                <w:highlight w:val="none"/>
              </w:rPr>
              <w:t>（</w:t>
            </w:r>
            <w:r>
              <w:rPr>
                <w:color w:val="auto"/>
                <w:kern w:val="0"/>
                <w:sz w:val="24"/>
                <w:szCs w:val="28"/>
                <w:highlight w:val="none"/>
              </w:rPr>
              <w:t>环办环评〔2020〕33号</w:t>
            </w:r>
            <w:r>
              <w:rPr>
                <w:rFonts w:hint="eastAsia"/>
                <w:color w:val="auto"/>
                <w:kern w:val="0"/>
                <w:sz w:val="24"/>
                <w:szCs w:val="28"/>
                <w:highlight w:val="none"/>
              </w:rPr>
              <w:t>）的</w:t>
            </w:r>
            <w:r>
              <w:rPr>
                <w:color w:val="auto"/>
                <w:kern w:val="0"/>
                <w:sz w:val="24"/>
                <w:szCs w:val="28"/>
                <w:highlight w:val="none"/>
              </w:rPr>
              <w:t>要求。</w:t>
            </w:r>
          </w:p>
          <w:p>
            <w:pPr>
              <w:pStyle w:val="4"/>
              <w:rPr>
                <w:color w:val="auto"/>
                <w:highlight w:val="none"/>
              </w:rPr>
            </w:pPr>
            <w:r>
              <w:rPr>
                <w:rFonts w:hint="eastAsia"/>
                <w:color w:val="auto"/>
                <w:highlight w:val="none"/>
              </w:rPr>
              <w:t>3.1.3海水环境质量现状</w:t>
            </w:r>
          </w:p>
          <w:p>
            <w:pPr>
              <w:pStyle w:val="8"/>
              <w:numPr>
                <w:ilvl w:val="0"/>
                <w:numId w:val="8"/>
              </w:numPr>
              <w:rPr>
                <w:color w:val="auto"/>
                <w:highlight w:val="none"/>
              </w:rPr>
            </w:pPr>
            <w:r>
              <w:rPr>
                <w:color w:val="auto"/>
                <w:highlight w:val="none"/>
              </w:rPr>
              <w:t>海水水质标准</w:t>
            </w:r>
          </w:p>
          <w:p>
            <w:pPr>
              <w:pStyle w:val="8"/>
              <w:rPr>
                <w:color w:val="auto"/>
                <w:highlight w:val="none"/>
              </w:rPr>
            </w:pPr>
            <w:r>
              <w:rPr>
                <w:rFonts w:hint="eastAsia"/>
                <w:color w:val="auto"/>
                <w:highlight w:val="none"/>
              </w:rPr>
              <w:t>根据图3-3，福清核电厂区生产污水排放口所在海域为三类区。选取周边海域常规国省控点位2024年秋季、2025年春季和夏季共3季调查数据说明其海域水环境现状。</w:t>
            </w:r>
          </w:p>
          <w:p>
            <w:pPr>
              <w:widowControl/>
              <w:tabs>
                <w:tab w:val="left" w:pos="420"/>
              </w:tabs>
              <w:adjustRightInd w:val="0"/>
              <w:snapToGrid w:val="0"/>
              <w:spacing w:before="120" w:beforeLines="50" w:line="360" w:lineRule="auto"/>
              <w:ind w:firstLine="422" w:firstLineChars="200"/>
              <w:jc w:val="center"/>
              <w:rPr>
                <w:b/>
                <w:color w:val="auto"/>
                <w:highlight w:val="none"/>
              </w:rPr>
            </w:pPr>
            <w:r>
              <w:rPr>
                <w:b/>
                <w:bCs/>
                <w:color w:val="auto"/>
                <w:highlight w:val="none"/>
              </w:rPr>
              <w:t>表3</w:t>
            </w:r>
            <w:r>
              <w:rPr>
                <w:rFonts w:hint="eastAsia"/>
                <w:b/>
                <w:bCs/>
                <w:color w:val="auto"/>
                <w:highlight w:val="none"/>
              </w:rPr>
              <w:t>-3</w:t>
            </w:r>
            <w:r>
              <w:rPr>
                <w:b/>
                <w:bCs/>
                <w:color w:val="auto"/>
                <w:highlight w:val="none"/>
              </w:rPr>
              <w:t>海水水质标准</w:t>
            </w:r>
          </w:p>
          <w:tbl>
            <w:tblPr>
              <w:tblStyle w:val="17"/>
              <w:tblW w:w="4998" w:type="pct"/>
              <w:jc w:val="center"/>
              <w:tblLayout w:type="fixed"/>
              <w:tblCellMar>
                <w:top w:w="56" w:type="dxa"/>
                <w:left w:w="96" w:type="dxa"/>
                <w:bottom w:w="56" w:type="dxa"/>
                <w:right w:w="96" w:type="dxa"/>
              </w:tblCellMar>
            </w:tblPr>
            <w:tblGrid>
              <w:gridCol w:w="1340"/>
              <w:gridCol w:w="907"/>
              <w:gridCol w:w="1769"/>
              <w:gridCol w:w="2094"/>
              <w:gridCol w:w="2096"/>
            </w:tblGrid>
            <w:tr>
              <w:trPr>
                <w:tblHeade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b/>
                      <w:color w:val="auto"/>
                      <w:highlight w:val="none"/>
                    </w:rPr>
                  </w:pPr>
                  <w:r>
                    <w:rPr>
                      <w:rFonts w:hint="eastAsia"/>
                      <w:b/>
                      <w:color w:val="auto"/>
                      <w:highlight w:val="none"/>
                    </w:rPr>
                    <w:t>项目</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b/>
                      <w:color w:val="auto"/>
                      <w:highlight w:val="none"/>
                    </w:rPr>
                  </w:pPr>
                  <w:r>
                    <w:rPr>
                      <w:rFonts w:hint="eastAsia"/>
                      <w:b/>
                      <w:color w:val="auto"/>
                      <w:highlight w:val="none"/>
                    </w:rPr>
                    <w:t>单位</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b/>
                      <w:color w:val="auto"/>
                      <w:highlight w:val="none"/>
                    </w:rPr>
                  </w:pPr>
                  <w:r>
                    <w:rPr>
                      <w:rFonts w:hint="eastAsia"/>
                      <w:b/>
                      <w:color w:val="auto"/>
                      <w:highlight w:val="none"/>
                    </w:rPr>
                    <w:t>GB3097-1997一类标准</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b/>
                      <w:color w:val="auto"/>
                      <w:highlight w:val="none"/>
                    </w:rPr>
                  </w:pPr>
                  <w:r>
                    <w:rPr>
                      <w:rFonts w:hint="eastAsia"/>
                      <w:b/>
                      <w:color w:val="auto"/>
                      <w:highlight w:val="none"/>
                    </w:rPr>
                    <w:t>GB3097-1997二类标准</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b/>
                      <w:color w:val="auto"/>
                      <w:highlight w:val="none"/>
                    </w:rPr>
                  </w:pPr>
                  <w:r>
                    <w:rPr>
                      <w:rFonts w:hint="eastAsia"/>
                      <w:b/>
                      <w:color w:val="auto"/>
                      <w:highlight w:val="none"/>
                    </w:rPr>
                    <w:t>GB3097-1997三类标准</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DO</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mg/L</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&gt;6</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&gt;5</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&gt;4</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pH</w:t>
                  </w:r>
                  <w:r>
                    <w:rPr>
                      <w:rFonts w:hint="eastAsia"/>
                      <w:color w:val="auto"/>
                      <w:highlight w:val="none"/>
                    </w:rPr>
                    <w:t>值</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无量纲</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7.8~8.5</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7.8~8.5</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6.8~8.8</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活性磷酸盐</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mg/L</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0.015</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0.030</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0.0</w:t>
                  </w:r>
                  <w:r>
                    <w:rPr>
                      <w:rFonts w:hint="eastAsia"/>
                      <w:color w:val="auto"/>
                      <w:highlight w:val="none"/>
                    </w:rPr>
                    <w:t>45</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COD</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mg/L</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2</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3</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4</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石油类</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mg/L</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0.05</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0.05</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w:t>
                  </w:r>
                  <w:r>
                    <w:rPr>
                      <w:rFonts w:hint="eastAsia"/>
                      <w:color w:val="auto"/>
                      <w:highlight w:val="none"/>
                    </w:rPr>
                    <w:t>30</w:t>
                  </w:r>
                </w:p>
              </w:tc>
            </w:tr>
            <w:tr>
              <w:trPr>
                <w:jc w:val="center"/>
              </w:trPr>
              <w:tc>
                <w:tcPr>
                  <w:tcW w:w="81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无机氮</w:t>
                  </w:r>
                </w:p>
              </w:tc>
              <w:tc>
                <w:tcPr>
                  <w:tcW w:w="55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mg/L</w:t>
                  </w:r>
                </w:p>
              </w:tc>
              <w:tc>
                <w:tcPr>
                  <w:tcW w:w="1077"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rFonts w:hint="eastAsia"/>
                      <w:color w:val="auto"/>
                      <w:highlight w:val="none"/>
                    </w:rPr>
                    <w:t>0.20</w:t>
                  </w:r>
                </w:p>
              </w:tc>
              <w:tc>
                <w:tcPr>
                  <w:tcW w:w="1275"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0.30</w:t>
                  </w:r>
                </w:p>
              </w:tc>
              <w:tc>
                <w:tcPr>
                  <w:tcW w:w="127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34"/>
                    <w:rPr>
                      <w:color w:val="auto"/>
                      <w:highlight w:val="none"/>
                    </w:rPr>
                  </w:pPr>
                  <w:r>
                    <w:rPr>
                      <w:color w:val="auto"/>
                      <w:highlight w:val="none"/>
                    </w:rPr>
                    <w:t>0.</w:t>
                  </w:r>
                  <w:r>
                    <w:rPr>
                      <w:rFonts w:hint="eastAsia"/>
                      <w:color w:val="auto"/>
                      <w:highlight w:val="none"/>
                    </w:rPr>
                    <w:t>4</w:t>
                  </w:r>
                  <w:r>
                    <w:rPr>
                      <w:color w:val="auto"/>
                      <w:highlight w:val="none"/>
                    </w:rPr>
                    <w:t>0</w:t>
                  </w:r>
                </w:p>
              </w:tc>
            </w:tr>
          </w:tbl>
          <w:p>
            <w:pPr>
              <w:pStyle w:val="8"/>
              <w:numPr>
                <w:ilvl w:val="0"/>
                <w:numId w:val="8"/>
              </w:numPr>
              <w:rPr>
                <w:color w:val="auto"/>
                <w:highlight w:val="none"/>
              </w:rPr>
            </w:pPr>
            <w:r>
              <w:rPr>
                <w:rFonts w:hint="eastAsia"/>
                <w:color w:val="auto"/>
                <w:highlight w:val="none"/>
              </w:rPr>
              <w:t>海水水质现状</w:t>
            </w:r>
          </w:p>
          <w:p>
            <w:pPr>
              <w:pStyle w:val="8"/>
              <w:rPr>
                <w:color w:val="auto"/>
                <w:highlight w:val="none"/>
              </w:rPr>
            </w:pPr>
            <w:r>
              <w:rPr>
                <w:rFonts w:hint="eastAsia"/>
                <w:color w:val="auto"/>
                <w:highlight w:val="none"/>
              </w:rPr>
              <w:t>根据表3-4，项目废水排放口所在的海水功能区为三类，下图3-3中的FJD01019位于福清核电的温排区内，2024年秋季为二类海水水质、2025年春季和夏季均为一类海水水质，满足三类功能区要求。温排区外距离本项目入海排污口10km外的FJD01024点位在2025年夏季监测时段活性磷酸盐超一类海水水质标准。其他二类区的海水水质均满足二类功能区的要求。本项目排放的污染物为常规污染物指标COD、悬浮物等，对海域的污染指标贡献较小，排放口所在的功能区的监测点位水质明显优于三类水（达到一类、二类海水水质标准）。</w:t>
            </w:r>
          </w:p>
          <w:p>
            <w:pPr>
              <w:pStyle w:val="34"/>
              <w:ind w:firstLine="420" w:firstLineChars="200"/>
              <w:rPr>
                <w:rFonts w:hint="default" w:eastAsia="宋体"/>
                <w:color w:val="auto"/>
                <w:highlight w:val="none"/>
                <w:lang w:val="en-US" w:eastAsia="zh-CN"/>
              </w:rPr>
            </w:pPr>
            <w:r>
              <w:rPr>
                <w:rFonts w:hint="eastAsia"/>
                <w:color w:val="auto"/>
                <w:highlight w:val="none"/>
                <w:lang w:val="en-US" w:eastAsia="zh-CN"/>
              </w:rPr>
              <w:t>**</w:t>
            </w:r>
          </w:p>
          <w:p>
            <w:pPr>
              <w:pStyle w:val="34"/>
              <w:ind w:firstLine="480" w:firstLineChars="200"/>
              <w:rPr>
                <w:color w:val="auto"/>
                <w:highlight w:val="none"/>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3008630</wp:posOffset>
                      </wp:positionH>
                      <wp:positionV relativeFrom="paragraph">
                        <wp:posOffset>2020570</wp:posOffset>
                      </wp:positionV>
                      <wp:extent cx="136525" cy="106045"/>
                      <wp:effectExtent l="0" t="0" r="6350" b="8255"/>
                      <wp:wrapNone/>
                      <wp:docPr id="155" name="同心圆 155"/>
                      <wp:cNvGraphicFramePr/>
                      <a:graphic xmlns:a="http://schemas.openxmlformats.org/drawingml/2006/main">
                        <a:graphicData uri="http://schemas.microsoft.com/office/word/2010/wordprocessingShape">
                          <wps:wsp>
                            <wps:cNvSpPr/>
                            <wps:spPr>
                              <a:xfrm>
                                <a:off x="4392930" y="3909695"/>
                                <a:ext cx="136525" cy="106045"/>
                              </a:xfrm>
                              <a:prstGeom prst="donut">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36.9pt;margin-top:159.1pt;height:8.35pt;width:10.75pt;z-index:251665408;v-text-anchor:middle;mso-width-relative:page;mso-height-relative:page;" fillcolor="#FFFF00" filled="t" stroked="f" coordsize="21600,21600" o:gfxdata="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wrfP3AAAAAsBAAAPAAAAAAAAAAEAIAAAACIAAABk&#10;cnMvZG93bnJldi54bWxQSwECFAAUAAAACACHTuJAglZfnXQCAADHBAAADgAAAAAAAAABACAAAAAr&#10;AQAAZHJzL2Uyb0RvYy54bWxQSwUGAAAAAAYABgBZAQAAEQYAAAAA&#10;" adj="4194">
                      <v:fill on="t" focussize="0,0"/>
                      <v:stroke on="f" weight="2pt"/>
                      <v:imagedata o:title=""/>
                      <o:lock v:ext="edit" aspectratio="f"/>
                    </v:shape>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3062605</wp:posOffset>
                      </wp:positionH>
                      <wp:positionV relativeFrom="paragraph">
                        <wp:posOffset>-5805170</wp:posOffset>
                      </wp:positionV>
                      <wp:extent cx="75565" cy="75565"/>
                      <wp:effectExtent l="4445" t="4445" r="11430" b="11430"/>
                      <wp:wrapNone/>
                      <wp:docPr id="35" name="椭圆 66"/>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椭圆 66" o:spid="_x0000_s1026" o:spt="3" type="#_x0000_t3" style="position:absolute;left:0pt;margin-left:241.15pt;margin-top:-457.1pt;height:5.95pt;width:5.95pt;z-index:251662336;mso-width-relative:page;mso-height-relative:page;" fillcolor="#FFFFFF" filled="t" stroked="t" coordsize="21600,21600" o:gfxdata="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8FBraAAAADQEAAA8AAAAA&#10;AAAAAQAgAAAAIgAAAGRycy9kb3ducmV2LnhtbFBLAQIUABQAAAAIAIdO4kBXxROyEgIAAEkEAAAO&#10;AAAAAAAAAAEAIAAAACkBAABkcnMvZTJvRG9jLnhtbFBLBQYAAAAABgAGAFkBAACtBQAAAAA=&#10;">
                      <v:fill on="t" focussize="0,0"/>
                      <v:stroke color="#000000" joinstyle="round"/>
                      <v:imagedata o:title=""/>
                      <o:lock v:ext="edit" aspectratio="f"/>
                    </v:shape>
                  </w:pict>
                </mc:Fallback>
              </mc:AlternateContent>
            </w:r>
            <w:r>
              <w:rPr>
                <w:color w:val="auto"/>
                <w:highlight w:val="none"/>
              </w:rPr>
              <w:drawing>
                <wp:inline distT="0" distB="0" distL="114300" distR="114300">
                  <wp:extent cx="5080" cy="5080"/>
                  <wp:effectExtent l="0" t="0" r="0"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17"/>
                          <a:stretch>
                            <a:fillRect/>
                          </a:stretch>
                        </pic:blipFill>
                        <pic:spPr>
                          <a:xfrm>
                            <a:off x="0" y="0"/>
                            <a:ext cx="5080" cy="5080"/>
                          </a:xfrm>
                          <a:prstGeom prst="rect">
                            <a:avLst/>
                          </a:prstGeom>
                          <a:noFill/>
                          <a:ln>
                            <a:noFill/>
                          </a:ln>
                        </pic:spPr>
                      </pic:pic>
                    </a:graphicData>
                  </a:graphic>
                </wp:inline>
              </w:drawing>
            </w:r>
            <w:r>
              <w:rPr>
                <w:color w:val="auto"/>
                <w:highlight w:val="none"/>
              </w:rPr>
              <w:drawing>
                <wp:inline distT="0" distB="0" distL="114300" distR="114300">
                  <wp:extent cx="5080" cy="5080"/>
                  <wp:effectExtent l="0" t="0" r="0" b="0"/>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17"/>
                          <a:stretch>
                            <a:fillRect/>
                          </a:stretch>
                        </pic:blipFill>
                        <pic:spPr>
                          <a:xfrm>
                            <a:off x="0" y="0"/>
                            <a:ext cx="5080" cy="5080"/>
                          </a:xfrm>
                          <a:prstGeom prst="rect">
                            <a:avLst/>
                          </a:prstGeom>
                          <a:noFill/>
                          <a:ln>
                            <a:noFill/>
                          </a:ln>
                        </pic:spPr>
                      </pic:pic>
                    </a:graphicData>
                  </a:graphic>
                </wp:inline>
              </w:drawing>
            </w:r>
            <w:r>
              <w:rPr>
                <w:rFonts w:hint="eastAsia"/>
                <w:b/>
                <w:bCs/>
                <w:color w:val="auto"/>
                <w:highlight w:val="none"/>
              </w:rPr>
              <w:t>图3-3海水水质调查点位图</w:t>
            </w:r>
          </w:p>
          <w:p>
            <w:pPr>
              <w:widowControl/>
              <w:tabs>
                <w:tab w:val="left" w:pos="420"/>
              </w:tabs>
              <w:adjustRightInd w:val="0"/>
              <w:snapToGrid w:val="0"/>
              <w:spacing w:before="120" w:beforeLines="50" w:line="360" w:lineRule="auto"/>
              <w:ind w:firstLine="422" w:firstLineChars="200"/>
              <w:jc w:val="center"/>
              <w:rPr>
                <w:b/>
                <w:bCs/>
                <w:color w:val="auto"/>
                <w:highlight w:val="none"/>
                <w:u w:val="single"/>
              </w:rPr>
            </w:pPr>
            <w:r>
              <w:rPr>
                <w:b/>
                <w:bCs/>
                <w:color w:val="auto"/>
                <w:highlight w:val="none"/>
                <w:u w:val="single"/>
              </w:rPr>
              <w:t>表3</w:t>
            </w:r>
            <w:r>
              <w:rPr>
                <w:rFonts w:hint="eastAsia"/>
                <w:b/>
                <w:bCs/>
                <w:color w:val="auto"/>
                <w:highlight w:val="none"/>
                <w:u w:val="single"/>
              </w:rPr>
              <w:t>-4调查点位</w:t>
            </w:r>
            <w:r>
              <w:rPr>
                <w:b/>
                <w:bCs/>
                <w:color w:val="auto"/>
                <w:highlight w:val="none"/>
                <w:u w:val="single"/>
              </w:rPr>
              <w:t>海域水质类别</w:t>
            </w:r>
            <w:r>
              <w:rPr>
                <w:rFonts w:hint="eastAsia"/>
                <w:b/>
                <w:bCs/>
                <w:color w:val="auto"/>
                <w:highlight w:val="none"/>
                <w:u w:val="single"/>
              </w:rPr>
              <w:t>（2024年秋季、2025年春季和夏季）</w:t>
            </w:r>
          </w:p>
          <w:tbl>
            <w:tblPr>
              <w:tblStyle w:val="17"/>
              <w:tblW w:w="8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9"/>
              <w:gridCol w:w="1460"/>
              <w:gridCol w:w="978"/>
              <w:gridCol w:w="564"/>
              <w:gridCol w:w="438"/>
              <w:gridCol w:w="632"/>
              <w:gridCol w:w="632"/>
              <w:gridCol w:w="706"/>
              <w:gridCol w:w="632"/>
              <w:gridCol w:w="839"/>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noWrap/>
                  <w:vAlign w:val="center"/>
                </w:tcPr>
                <w:p>
                  <w:pPr>
                    <w:jc w:val="center"/>
                    <w:rPr>
                      <w:color w:val="auto"/>
                      <w:szCs w:val="21"/>
                      <w:highlight w:val="none"/>
                    </w:rPr>
                  </w:pPr>
                  <w:r>
                    <w:rPr>
                      <w:color w:val="auto"/>
                      <w:szCs w:val="21"/>
                      <w:highlight w:val="none"/>
                    </w:rPr>
                    <w:t>站位编码</w:t>
                  </w:r>
                </w:p>
              </w:tc>
              <w:tc>
                <w:tcPr>
                  <w:tcW w:w="865" w:type="pct"/>
                  <w:noWrap/>
                  <w:vAlign w:val="center"/>
                </w:tcPr>
                <w:p>
                  <w:pPr>
                    <w:jc w:val="center"/>
                    <w:rPr>
                      <w:color w:val="auto"/>
                      <w:szCs w:val="21"/>
                      <w:highlight w:val="none"/>
                    </w:rPr>
                  </w:pPr>
                  <w:r>
                    <w:rPr>
                      <w:color w:val="auto"/>
                      <w:szCs w:val="21"/>
                      <w:highlight w:val="none"/>
                    </w:rPr>
                    <w:t>点位名称</w:t>
                  </w:r>
                </w:p>
              </w:tc>
              <w:tc>
                <w:tcPr>
                  <w:tcW w:w="580" w:type="pct"/>
                  <w:noWrap/>
                  <w:vAlign w:val="center"/>
                </w:tcPr>
                <w:p>
                  <w:pPr>
                    <w:jc w:val="center"/>
                    <w:rPr>
                      <w:color w:val="auto"/>
                      <w:szCs w:val="21"/>
                      <w:highlight w:val="none"/>
                    </w:rPr>
                  </w:pPr>
                  <w:r>
                    <w:rPr>
                      <w:color w:val="auto"/>
                      <w:szCs w:val="21"/>
                      <w:highlight w:val="none"/>
                    </w:rPr>
                    <w:t>监测</w:t>
                  </w:r>
                </w:p>
                <w:p>
                  <w:pPr>
                    <w:jc w:val="center"/>
                    <w:rPr>
                      <w:color w:val="auto"/>
                      <w:szCs w:val="21"/>
                      <w:highlight w:val="none"/>
                    </w:rPr>
                  </w:pPr>
                  <w:r>
                    <w:rPr>
                      <w:color w:val="auto"/>
                      <w:szCs w:val="21"/>
                      <w:highlight w:val="none"/>
                    </w:rPr>
                    <w:t>时间</w:t>
                  </w:r>
                </w:p>
              </w:tc>
              <w:tc>
                <w:tcPr>
                  <w:tcW w:w="335" w:type="pct"/>
                  <w:noWrap/>
                  <w:vAlign w:val="center"/>
                </w:tcPr>
                <w:p>
                  <w:pPr>
                    <w:jc w:val="center"/>
                    <w:rPr>
                      <w:color w:val="auto"/>
                      <w:szCs w:val="21"/>
                      <w:highlight w:val="none"/>
                    </w:rPr>
                  </w:pPr>
                  <w:r>
                    <w:rPr>
                      <w:color w:val="auto"/>
                      <w:szCs w:val="21"/>
                      <w:highlight w:val="none"/>
                    </w:rPr>
                    <w:t>溶解氧</w:t>
                  </w:r>
                </w:p>
              </w:tc>
              <w:tc>
                <w:tcPr>
                  <w:tcW w:w="260" w:type="pct"/>
                  <w:noWrap/>
                  <w:vAlign w:val="center"/>
                </w:tcPr>
                <w:p>
                  <w:pPr>
                    <w:jc w:val="center"/>
                    <w:rPr>
                      <w:color w:val="auto"/>
                      <w:szCs w:val="21"/>
                      <w:highlight w:val="none"/>
                    </w:rPr>
                  </w:pPr>
                  <w:r>
                    <w:rPr>
                      <w:color w:val="auto"/>
                      <w:szCs w:val="21"/>
                      <w:highlight w:val="none"/>
                    </w:rPr>
                    <w:t>pH</w:t>
                  </w:r>
                </w:p>
              </w:tc>
              <w:tc>
                <w:tcPr>
                  <w:tcW w:w="375" w:type="pct"/>
                  <w:noWrap/>
                  <w:vAlign w:val="center"/>
                </w:tcPr>
                <w:p>
                  <w:pPr>
                    <w:jc w:val="center"/>
                    <w:rPr>
                      <w:color w:val="auto"/>
                      <w:szCs w:val="21"/>
                      <w:highlight w:val="none"/>
                    </w:rPr>
                  </w:pPr>
                  <w:r>
                    <w:rPr>
                      <w:color w:val="auto"/>
                      <w:szCs w:val="21"/>
                      <w:highlight w:val="none"/>
                    </w:rPr>
                    <w:t>活性</w:t>
                  </w:r>
                </w:p>
                <w:p>
                  <w:pPr>
                    <w:jc w:val="center"/>
                    <w:rPr>
                      <w:color w:val="auto"/>
                      <w:szCs w:val="21"/>
                      <w:highlight w:val="none"/>
                    </w:rPr>
                  </w:pPr>
                  <w:r>
                    <w:rPr>
                      <w:color w:val="auto"/>
                      <w:szCs w:val="21"/>
                      <w:highlight w:val="none"/>
                    </w:rPr>
                    <w:t>磷酸盐</w:t>
                  </w:r>
                </w:p>
              </w:tc>
              <w:tc>
                <w:tcPr>
                  <w:tcW w:w="375" w:type="pct"/>
                  <w:noWrap/>
                  <w:vAlign w:val="center"/>
                </w:tcPr>
                <w:p>
                  <w:pPr>
                    <w:jc w:val="center"/>
                    <w:rPr>
                      <w:color w:val="auto"/>
                      <w:szCs w:val="21"/>
                      <w:highlight w:val="none"/>
                    </w:rPr>
                  </w:pPr>
                  <w:r>
                    <w:rPr>
                      <w:color w:val="auto"/>
                      <w:szCs w:val="21"/>
                      <w:highlight w:val="none"/>
                    </w:rPr>
                    <w:t>化学</w:t>
                  </w:r>
                </w:p>
                <w:p>
                  <w:pPr>
                    <w:jc w:val="center"/>
                    <w:rPr>
                      <w:color w:val="auto"/>
                      <w:szCs w:val="21"/>
                      <w:highlight w:val="none"/>
                    </w:rPr>
                  </w:pPr>
                  <w:r>
                    <w:rPr>
                      <w:color w:val="auto"/>
                      <w:szCs w:val="21"/>
                      <w:highlight w:val="none"/>
                    </w:rPr>
                    <w:t>需氧量</w:t>
                  </w:r>
                </w:p>
              </w:tc>
              <w:tc>
                <w:tcPr>
                  <w:tcW w:w="419" w:type="pct"/>
                  <w:noWrap/>
                  <w:vAlign w:val="center"/>
                </w:tcPr>
                <w:p>
                  <w:pPr>
                    <w:jc w:val="center"/>
                    <w:rPr>
                      <w:color w:val="auto"/>
                      <w:szCs w:val="21"/>
                      <w:highlight w:val="none"/>
                    </w:rPr>
                  </w:pPr>
                  <w:r>
                    <w:rPr>
                      <w:color w:val="auto"/>
                      <w:szCs w:val="21"/>
                      <w:highlight w:val="none"/>
                    </w:rPr>
                    <w:t>石油类</w:t>
                  </w:r>
                </w:p>
              </w:tc>
              <w:tc>
                <w:tcPr>
                  <w:tcW w:w="375" w:type="pct"/>
                  <w:noWrap/>
                  <w:vAlign w:val="center"/>
                </w:tcPr>
                <w:p>
                  <w:pPr>
                    <w:jc w:val="center"/>
                    <w:rPr>
                      <w:color w:val="auto"/>
                      <w:szCs w:val="21"/>
                      <w:highlight w:val="none"/>
                    </w:rPr>
                  </w:pPr>
                  <w:r>
                    <w:rPr>
                      <w:color w:val="auto"/>
                      <w:szCs w:val="21"/>
                      <w:highlight w:val="none"/>
                    </w:rPr>
                    <w:t>无机氮</w:t>
                  </w:r>
                </w:p>
              </w:tc>
              <w:tc>
                <w:tcPr>
                  <w:tcW w:w="498" w:type="pct"/>
                  <w:noWrap/>
                  <w:vAlign w:val="center"/>
                </w:tcPr>
                <w:p>
                  <w:pPr>
                    <w:jc w:val="center"/>
                    <w:rPr>
                      <w:color w:val="auto"/>
                      <w:szCs w:val="21"/>
                      <w:highlight w:val="none"/>
                    </w:rPr>
                  </w:pPr>
                  <w:r>
                    <w:rPr>
                      <w:color w:val="auto"/>
                      <w:szCs w:val="21"/>
                      <w:highlight w:val="none"/>
                    </w:rPr>
                    <w:t>水质类别</w:t>
                  </w:r>
                </w:p>
              </w:tc>
              <w:tc>
                <w:tcPr>
                  <w:tcW w:w="375" w:type="pct"/>
                  <w:noWrap/>
                  <w:vAlign w:val="center"/>
                </w:tcPr>
                <w:p>
                  <w:pPr>
                    <w:jc w:val="center"/>
                    <w:rPr>
                      <w:color w:val="auto"/>
                      <w:szCs w:val="21"/>
                      <w:highlight w:val="none"/>
                    </w:rPr>
                  </w:pPr>
                  <w:r>
                    <w:rPr>
                      <w:color w:val="auto"/>
                      <w:szCs w:val="21"/>
                      <w:highlight w:val="none"/>
                    </w:rPr>
                    <w:t>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restart"/>
                  <w:noWrap/>
                  <w:vAlign w:val="center"/>
                </w:tcPr>
                <w:p>
                  <w:pPr>
                    <w:jc w:val="center"/>
                    <w:rPr>
                      <w:rFonts w:hint="eastAsia" w:eastAsia="宋体"/>
                      <w:b/>
                      <w:bCs/>
                      <w:color w:val="auto"/>
                      <w:szCs w:val="21"/>
                      <w:highlight w:val="none"/>
                      <w:lang w:eastAsia="zh-CN"/>
                    </w:rPr>
                  </w:pPr>
                  <w:r>
                    <w:rPr>
                      <w:rFonts w:hint="eastAsia"/>
                      <w:b/>
                      <w:bCs/>
                      <w:color w:val="auto"/>
                      <w:szCs w:val="21"/>
                      <w:highlight w:val="none"/>
                      <w:lang w:eastAsia="zh-CN"/>
                    </w:rPr>
                    <w:t>*</w:t>
                  </w:r>
                </w:p>
              </w:tc>
              <w:tc>
                <w:tcPr>
                  <w:tcW w:w="865" w:type="pct"/>
                  <w:vMerge w:val="restart"/>
                  <w:noWrap/>
                  <w:vAlign w:val="center"/>
                </w:tcPr>
                <w:p>
                  <w:pPr>
                    <w:jc w:val="center"/>
                    <w:rPr>
                      <w:b/>
                      <w:bCs/>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2024-10</w:t>
                  </w:r>
                </w:p>
              </w:tc>
              <w:tc>
                <w:tcPr>
                  <w:tcW w:w="335" w:type="pct"/>
                  <w:noWrap/>
                  <w:vAlign w:val="center"/>
                </w:tcPr>
                <w:p>
                  <w:pPr>
                    <w:jc w:val="center"/>
                    <w:rPr>
                      <w:color w:val="auto"/>
                      <w:szCs w:val="21"/>
                      <w:highlight w:val="none"/>
                    </w:rPr>
                  </w:pPr>
                  <w:r>
                    <w:rPr>
                      <w:color w:val="auto"/>
                      <w:szCs w:val="21"/>
                      <w:highlight w:val="none"/>
                    </w:rPr>
                    <w:t>6.45</w:t>
                  </w:r>
                </w:p>
              </w:tc>
              <w:tc>
                <w:tcPr>
                  <w:tcW w:w="260" w:type="pct"/>
                  <w:noWrap/>
                  <w:vAlign w:val="center"/>
                </w:tcPr>
                <w:p>
                  <w:pPr>
                    <w:jc w:val="center"/>
                    <w:rPr>
                      <w:color w:val="auto"/>
                      <w:szCs w:val="21"/>
                      <w:highlight w:val="none"/>
                    </w:rPr>
                  </w:pPr>
                  <w:r>
                    <w:rPr>
                      <w:color w:val="auto"/>
                      <w:szCs w:val="21"/>
                      <w:highlight w:val="none"/>
                    </w:rPr>
                    <w:t>8.10</w:t>
                  </w:r>
                </w:p>
              </w:tc>
              <w:tc>
                <w:tcPr>
                  <w:tcW w:w="375" w:type="pct"/>
                  <w:noWrap/>
                  <w:vAlign w:val="center"/>
                </w:tcPr>
                <w:p>
                  <w:pPr>
                    <w:jc w:val="center"/>
                    <w:rPr>
                      <w:color w:val="auto"/>
                      <w:szCs w:val="21"/>
                      <w:highlight w:val="none"/>
                    </w:rPr>
                  </w:pPr>
                  <w:r>
                    <w:rPr>
                      <w:color w:val="auto"/>
                      <w:szCs w:val="21"/>
                      <w:highlight w:val="none"/>
                    </w:rPr>
                    <w:t>0.026</w:t>
                  </w:r>
                </w:p>
              </w:tc>
              <w:tc>
                <w:tcPr>
                  <w:tcW w:w="375" w:type="pct"/>
                  <w:noWrap/>
                  <w:vAlign w:val="center"/>
                </w:tcPr>
                <w:p>
                  <w:pPr>
                    <w:jc w:val="center"/>
                    <w:rPr>
                      <w:color w:val="auto"/>
                      <w:szCs w:val="21"/>
                      <w:highlight w:val="none"/>
                    </w:rPr>
                  </w:pPr>
                  <w:r>
                    <w:rPr>
                      <w:color w:val="auto"/>
                      <w:szCs w:val="21"/>
                      <w:highlight w:val="none"/>
                    </w:rPr>
                    <w:t>0.50</w:t>
                  </w:r>
                </w:p>
              </w:tc>
              <w:tc>
                <w:tcPr>
                  <w:tcW w:w="419" w:type="pct"/>
                  <w:noWrap/>
                  <w:vAlign w:val="center"/>
                </w:tcPr>
                <w:p>
                  <w:pPr>
                    <w:jc w:val="center"/>
                    <w:rPr>
                      <w:color w:val="auto"/>
                      <w:szCs w:val="21"/>
                      <w:highlight w:val="none"/>
                    </w:rPr>
                  </w:pPr>
                  <w:r>
                    <w:rPr>
                      <w:color w:val="auto"/>
                      <w:szCs w:val="21"/>
                      <w:highlight w:val="none"/>
                    </w:rPr>
                    <w:t>0.0029</w:t>
                  </w:r>
                </w:p>
              </w:tc>
              <w:tc>
                <w:tcPr>
                  <w:tcW w:w="375" w:type="pct"/>
                  <w:noWrap/>
                  <w:vAlign w:val="center"/>
                </w:tcPr>
                <w:p>
                  <w:pPr>
                    <w:jc w:val="center"/>
                    <w:rPr>
                      <w:color w:val="auto"/>
                      <w:szCs w:val="21"/>
                      <w:highlight w:val="none"/>
                    </w:rPr>
                  </w:pPr>
                  <w:r>
                    <w:rPr>
                      <w:color w:val="auto"/>
                      <w:szCs w:val="21"/>
                      <w:highlight w:val="none"/>
                    </w:rPr>
                    <w:t>0.266</w:t>
                  </w:r>
                </w:p>
              </w:tc>
              <w:tc>
                <w:tcPr>
                  <w:tcW w:w="498" w:type="pct"/>
                  <w:noWrap/>
                  <w:vAlign w:val="center"/>
                </w:tcPr>
                <w:p>
                  <w:pPr>
                    <w:jc w:val="center"/>
                    <w:rPr>
                      <w:b/>
                      <w:bCs/>
                      <w:color w:val="auto"/>
                      <w:szCs w:val="21"/>
                      <w:highlight w:val="none"/>
                    </w:rPr>
                  </w:pPr>
                  <w:r>
                    <w:rPr>
                      <w:b/>
                      <w:bCs/>
                      <w:color w:val="auto"/>
                      <w:szCs w:val="21"/>
                      <w:highlight w:val="none"/>
                    </w:rPr>
                    <w:t>二类</w:t>
                  </w:r>
                </w:p>
              </w:tc>
              <w:tc>
                <w:tcPr>
                  <w:tcW w:w="375" w:type="pct"/>
                  <w:vMerge w:val="restart"/>
                  <w:noWrap/>
                  <w:vAlign w:val="center"/>
                </w:tcPr>
                <w:p>
                  <w:pPr>
                    <w:jc w:val="center"/>
                    <w:rPr>
                      <w:color w:val="auto"/>
                      <w:szCs w:val="21"/>
                      <w:highlight w:val="none"/>
                    </w:rPr>
                  </w:pPr>
                  <w:r>
                    <w:rPr>
                      <w:b/>
                      <w:bCs/>
                      <w:color w:val="auto"/>
                      <w:szCs w:val="21"/>
                      <w:highlight w:val="none"/>
                    </w:rPr>
                    <w:t>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2025-04</w:t>
                  </w:r>
                </w:p>
              </w:tc>
              <w:tc>
                <w:tcPr>
                  <w:tcW w:w="335" w:type="pct"/>
                  <w:noWrap/>
                  <w:vAlign w:val="center"/>
                </w:tcPr>
                <w:p>
                  <w:pPr>
                    <w:jc w:val="center"/>
                    <w:rPr>
                      <w:color w:val="auto"/>
                      <w:szCs w:val="21"/>
                      <w:highlight w:val="none"/>
                    </w:rPr>
                  </w:pPr>
                  <w:r>
                    <w:rPr>
                      <w:color w:val="auto"/>
                      <w:szCs w:val="21"/>
                      <w:highlight w:val="none"/>
                    </w:rPr>
                    <w:t>7.39</w:t>
                  </w:r>
                </w:p>
              </w:tc>
              <w:tc>
                <w:tcPr>
                  <w:tcW w:w="260" w:type="pct"/>
                  <w:noWrap/>
                  <w:vAlign w:val="center"/>
                </w:tcPr>
                <w:p>
                  <w:pPr>
                    <w:jc w:val="center"/>
                    <w:rPr>
                      <w:color w:val="auto"/>
                      <w:szCs w:val="21"/>
                      <w:highlight w:val="none"/>
                    </w:rPr>
                  </w:pPr>
                  <w:r>
                    <w:rPr>
                      <w:color w:val="auto"/>
                      <w:szCs w:val="21"/>
                      <w:highlight w:val="none"/>
                    </w:rPr>
                    <w:t>8.08</w:t>
                  </w:r>
                </w:p>
              </w:tc>
              <w:tc>
                <w:tcPr>
                  <w:tcW w:w="375" w:type="pct"/>
                  <w:noWrap/>
                  <w:vAlign w:val="center"/>
                </w:tcPr>
                <w:p>
                  <w:pPr>
                    <w:jc w:val="center"/>
                    <w:rPr>
                      <w:color w:val="auto"/>
                      <w:szCs w:val="21"/>
                      <w:highlight w:val="none"/>
                    </w:rPr>
                  </w:pPr>
                  <w:r>
                    <w:rPr>
                      <w:color w:val="auto"/>
                      <w:szCs w:val="21"/>
                      <w:highlight w:val="none"/>
                    </w:rPr>
                    <w:t>0.003</w:t>
                  </w:r>
                </w:p>
              </w:tc>
              <w:tc>
                <w:tcPr>
                  <w:tcW w:w="375" w:type="pct"/>
                  <w:noWrap/>
                  <w:vAlign w:val="center"/>
                </w:tcPr>
                <w:p>
                  <w:pPr>
                    <w:jc w:val="center"/>
                    <w:rPr>
                      <w:color w:val="auto"/>
                      <w:szCs w:val="21"/>
                      <w:highlight w:val="none"/>
                    </w:rPr>
                  </w:pPr>
                  <w:r>
                    <w:rPr>
                      <w:color w:val="auto"/>
                      <w:szCs w:val="21"/>
                      <w:highlight w:val="none"/>
                    </w:rPr>
                    <w:t>0.73</w:t>
                  </w:r>
                </w:p>
              </w:tc>
              <w:tc>
                <w:tcPr>
                  <w:tcW w:w="419" w:type="pct"/>
                  <w:noWrap/>
                  <w:vAlign w:val="center"/>
                </w:tcPr>
                <w:p>
                  <w:pPr>
                    <w:jc w:val="center"/>
                    <w:rPr>
                      <w:color w:val="auto"/>
                      <w:szCs w:val="21"/>
                      <w:highlight w:val="none"/>
                    </w:rPr>
                  </w:pPr>
                  <w:r>
                    <w:rPr>
                      <w:color w:val="auto"/>
                      <w:szCs w:val="21"/>
                      <w:highlight w:val="none"/>
                    </w:rPr>
                    <w:t>0.0043</w:t>
                  </w:r>
                </w:p>
              </w:tc>
              <w:tc>
                <w:tcPr>
                  <w:tcW w:w="375" w:type="pct"/>
                  <w:noWrap/>
                  <w:vAlign w:val="center"/>
                </w:tcPr>
                <w:p>
                  <w:pPr>
                    <w:jc w:val="center"/>
                    <w:rPr>
                      <w:color w:val="auto"/>
                      <w:szCs w:val="21"/>
                      <w:highlight w:val="none"/>
                    </w:rPr>
                  </w:pPr>
                  <w:r>
                    <w:rPr>
                      <w:color w:val="auto"/>
                      <w:szCs w:val="21"/>
                      <w:highlight w:val="none"/>
                    </w:rPr>
                    <w:t>0.025</w:t>
                  </w:r>
                </w:p>
              </w:tc>
              <w:tc>
                <w:tcPr>
                  <w:tcW w:w="498" w:type="pct"/>
                  <w:noWrap/>
                  <w:vAlign w:val="center"/>
                </w:tcPr>
                <w:p>
                  <w:pPr>
                    <w:jc w:val="center"/>
                    <w:rPr>
                      <w:b/>
                      <w:bCs/>
                      <w:color w:val="auto"/>
                      <w:szCs w:val="21"/>
                      <w:highlight w:val="none"/>
                    </w:rPr>
                  </w:pPr>
                  <w:r>
                    <w:rPr>
                      <w:b/>
                      <w:bCs/>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2025-08</w:t>
                  </w:r>
                </w:p>
              </w:tc>
              <w:tc>
                <w:tcPr>
                  <w:tcW w:w="335" w:type="pct"/>
                  <w:noWrap/>
                  <w:vAlign w:val="center"/>
                </w:tcPr>
                <w:p>
                  <w:pPr>
                    <w:jc w:val="center"/>
                    <w:rPr>
                      <w:color w:val="auto"/>
                      <w:szCs w:val="21"/>
                      <w:highlight w:val="none"/>
                    </w:rPr>
                  </w:pPr>
                  <w:r>
                    <w:rPr>
                      <w:color w:val="auto"/>
                      <w:szCs w:val="21"/>
                      <w:highlight w:val="none"/>
                    </w:rPr>
                    <w:t>6.22</w:t>
                  </w:r>
                </w:p>
              </w:tc>
              <w:tc>
                <w:tcPr>
                  <w:tcW w:w="260" w:type="pct"/>
                  <w:noWrap/>
                  <w:vAlign w:val="center"/>
                </w:tcPr>
                <w:p>
                  <w:pPr>
                    <w:jc w:val="center"/>
                    <w:rPr>
                      <w:color w:val="auto"/>
                      <w:szCs w:val="21"/>
                      <w:highlight w:val="none"/>
                    </w:rPr>
                  </w:pPr>
                  <w:r>
                    <w:rPr>
                      <w:color w:val="auto"/>
                      <w:szCs w:val="21"/>
                      <w:highlight w:val="none"/>
                    </w:rPr>
                    <w:t>8.21</w:t>
                  </w:r>
                </w:p>
              </w:tc>
              <w:tc>
                <w:tcPr>
                  <w:tcW w:w="375" w:type="pct"/>
                  <w:noWrap/>
                  <w:vAlign w:val="center"/>
                </w:tcPr>
                <w:p>
                  <w:pPr>
                    <w:jc w:val="center"/>
                    <w:rPr>
                      <w:color w:val="auto"/>
                      <w:szCs w:val="21"/>
                      <w:highlight w:val="none"/>
                    </w:rPr>
                  </w:pPr>
                  <w:r>
                    <w:rPr>
                      <w:color w:val="auto"/>
                      <w:szCs w:val="21"/>
                      <w:highlight w:val="none"/>
                    </w:rPr>
                    <w:t>0.003</w:t>
                  </w:r>
                </w:p>
              </w:tc>
              <w:tc>
                <w:tcPr>
                  <w:tcW w:w="375" w:type="pct"/>
                  <w:noWrap/>
                  <w:vAlign w:val="center"/>
                </w:tcPr>
                <w:p>
                  <w:pPr>
                    <w:jc w:val="center"/>
                    <w:rPr>
                      <w:color w:val="auto"/>
                      <w:szCs w:val="21"/>
                      <w:highlight w:val="none"/>
                    </w:rPr>
                  </w:pPr>
                  <w:r>
                    <w:rPr>
                      <w:color w:val="auto"/>
                      <w:szCs w:val="21"/>
                      <w:highlight w:val="none"/>
                    </w:rPr>
                    <w:t>0.66</w:t>
                  </w:r>
                </w:p>
              </w:tc>
              <w:tc>
                <w:tcPr>
                  <w:tcW w:w="419" w:type="pct"/>
                  <w:noWrap/>
                  <w:vAlign w:val="center"/>
                </w:tcPr>
                <w:p>
                  <w:pPr>
                    <w:jc w:val="center"/>
                    <w:rPr>
                      <w:color w:val="auto"/>
                      <w:szCs w:val="21"/>
                      <w:highlight w:val="none"/>
                    </w:rPr>
                  </w:pPr>
                  <w:r>
                    <w:rPr>
                      <w:color w:val="auto"/>
                      <w:szCs w:val="21"/>
                      <w:highlight w:val="none"/>
                    </w:rPr>
                    <w:t>0.0023</w:t>
                  </w:r>
                </w:p>
              </w:tc>
              <w:tc>
                <w:tcPr>
                  <w:tcW w:w="375" w:type="pct"/>
                  <w:noWrap/>
                  <w:vAlign w:val="center"/>
                </w:tcPr>
                <w:p>
                  <w:pPr>
                    <w:jc w:val="center"/>
                    <w:rPr>
                      <w:color w:val="auto"/>
                      <w:szCs w:val="21"/>
                      <w:highlight w:val="none"/>
                    </w:rPr>
                  </w:pPr>
                  <w:r>
                    <w:rPr>
                      <w:color w:val="auto"/>
                      <w:szCs w:val="21"/>
                      <w:highlight w:val="none"/>
                    </w:rPr>
                    <w:t>0.048</w:t>
                  </w:r>
                </w:p>
              </w:tc>
              <w:tc>
                <w:tcPr>
                  <w:tcW w:w="498" w:type="pct"/>
                  <w:noWrap/>
                  <w:vAlign w:val="center"/>
                </w:tcPr>
                <w:p>
                  <w:pPr>
                    <w:jc w:val="center"/>
                    <w:rPr>
                      <w:b/>
                      <w:bCs/>
                      <w:color w:val="auto"/>
                      <w:szCs w:val="21"/>
                      <w:highlight w:val="none"/>
                    </w:rPr>
                  </w:pPr>
                  <w:r>
                    <w:rPr>
                      <w:b/>
                      <w:bCs/>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restart"/>
                  <w:noWrap/>
                  <w:vAlign w:val="center"/>
                </w:tcPr>
                <w:p>
                  <w:pPr>
                    <w:jc w:val="center"/>
                    <w:rPr>
                      <w:color w:val="auto"/>
                      <w:szCs w:val="21"/>
                      <w:highlight w:val="none"/>
                    </w:rPr>
                  </w:pPr>
                </w:p>
              </w:tc>
              <w:tc>
                <w:tcPr>
                  <w:tcW w:w="865" w:type="pct"/>
                  <w:vMerge w:val="restart"/>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2024-10</w:t>
                  </w:r>
                </w:p>
              </w:tc>
              <w:tc>
                <w:tcPr>
                  <w:tcW w:w="335" w:type="pct"/>
                  <w:noWrap/>
                  <w:vAlign w:val="center"/>
                </w:tcPr>
                <w:p>
                  <w:pPr>
                    <w:jc w:val="center"/>
                    <w:rPr>
                      <w:color w:val="auto"/>
                      <w:szCs w:val="21"/>
                      <w:highlight w:val="none"/>
                    </w:rPr>
                  </w:pPr>
                  <w:r>
                    <w:rPr>
                      <w:color w:val="auto"/>
                      <w:szCs w:val="21"/>
                      <w:highlight w:val="none"/>
                    </w:rPr>
                    <w:t>6.89</w:t>
                  </w:r>
                </w:p>
              </w:tc>
              <w:tc>
                <w:tcPr>
                  <w:tcW w:w="260" w:type="pct"/>
                  <w:noWrap/>
                  <w:vAlign w:val="center"/>
                </w:tcPr>
                <w:p>
                  <w:pPr>
                    <w:jc w:val="center"/>
                    <w:rPr>
                      <w:color w:val="auto"/>
                      <w:szCs w:val="21"/>
                      <w:highlight w:val="none"/>
                    </w:rPr>
                  </w:pPr>
                  <w:r>
                    <w:rPr>
                      <w:color w:val="auto"/>
                      <w:szCs w:val="21"/>
                      <w:highlight w:val="none"/>
                    </w:rPr>
                    <w:t>7.97</w:t>
                  </w:r>
                </w:p>
              </w:tc>
              <w:tc>
                <w:tcPr>
                  <w:tcW w:w="375" w:type="pct"/>
                  <w:noWrap/>
                  <w:vAlign w:val="center"/>
                </w:tcPr>
                <w:p>
                  <w:pPr>
                    <w:jc w:val="center"/>
                    <w:rPr>
                      <w:color w:val="auto"/>
                      <w:szCs w:val="21"/>
                      <w:highlight w:val="none"/>
                    </w:rPr>
                  </w:pPr>
                  <w:r>
                    <w:rPr>
                      <w:color w:val="auto"/>
                      <w:szCs w:val="21"/>
                      <w:highlight w:val="none"/>
                    </w:rPr>
                    <w:t>0.024</w:t>
                  </w:r>
                </w:p>
              </w:tc>
              <w:tc>
                <w:tcPr>
                  <w:tcW w:w="375" w:type="pct"/>
                  <w:noWrap/>
                  <w:vAlign w:val="center"/>
                </w:tcPr>
                <w:p>
                  <w:pPr>
                    <w:jc w:val="center"/>
                    <w:rPr>
                      <w:color w:val="auto"/>
                      <w:szCs w:val="21"/>
                      <w:highlight w:val="none"/>
                    </w:rPr>
                  </w:pPr>
                  <w:r>
                    <w:rPr>
                      <w:color w:val="auto"/>
                      <w:szCs w:val="21"/>
                      <w:highlight w:val="none"/>
                    </w:rPr>
                    <w:t>0.48</w:t>
                  </w:r>
                </w:p>
              </w:tc>
              <w:tc>
                <w:tcPr>
                  <w:tcW w:w="419" w:type="pct"/>
                  <w:noWrap/>
                  <w:vAlign w:val="center"/>
                </w:tcPr>
                <w:p>
                  <w:pPr>
                    <w:jc w:val="center"/>
                    <w:rPr>
                      <w:color w:val="auto"/>
                      <w:szCs w:val="21"/>
                      <w:highlight w:val="none"/>
                    </w:rPr>
                  </w:pPr>
                  <w:r>
                    <w:rPr>
                      <w:color w:val="auto"/>
                      <w:szCs w:val="21"/>
                      <w:highlight w:val="none"/>
                    </w:rPr>
                    <w:t>0.0044</w:t>
                  </w:r>
                </w:p>
              </w:tc>
              <w:tc>
                <w:tcPr>
                  <w:tcW w:w="375" w:type="pct"/>
                  <w:noWrap/>
                  <w:vAlign w:val="center"/>
                </w:tcPr>
                <w:p>
                  <w:pPr>
                    <w:jc w:val="center"/>
                    <w:rPr>
                      <w:color w:val="auto"/>
                      <w:szCs w:val="21"/>
                      <w:highlight w:val="none"/>
                    </w:rPr>
                  </w:pPr>
                  <w:r>
                    <w:rPr>
                      <w:color w:val="auto"/>
                      <w:szCs w:val="21"/>
                      <w:highlight w:val="none"/>
                    </w:rPr>
                    <w:t>0.093</w:t>
                  </w:r>
                </w:p>
              </w:tc>
              <w:tc>
                <w:tcPr>
                  <w:tcW w:w="498" w:type="pct"/>
                  <w:noWrap/>
                  <w:vAlign w:val="center"/>
                </w:tcPr>
                <w:p>
                  <w:pPr>
                    <w:jc w:val="center"/>
                    <w:rPr>
                      <w:color w:val="auto"/>
                      <w:szCs w:val="21"/>
                      <w:highlight w:val="none"/>
                    </w:rPr>
                  </w:pPr>
                  <w:r>
                    <w:rPr>
                      <w:color w:val="auto"/>
                      <w:szCs w:val="21"/>
                      <w:highlight w:val="none"/>
                    </w:rPr>
                    <w:t>二类</w:t>
                  </w:r>
                </w:p>
              </w:tc>
              <w:tc>
                <w:tcPr>
                  <w:tcW w:w="375" w:type="pct"/>
                  <w:vMerge w:val="restart"/>
                  <w:noWrap/>
                  <w:vAlign w:val="center"/>
                </w:tcPr>
                <w:p>
                  <w:pPr>
                    <w:jc w:val="center"/>
                    <w:rPr>
                      <w:color w:val="auto"/>
                      <w:szCs w:val="21"/>
                      <w:highlight w:val="none"/>
                    </w:rPr>
                  </w:pPr>
                  <w:r>
                    <w:rPr>
                      <w:color w:val="auto"/>
                      <w:szCs w:val="21"/>
                      <w:highlight w:val="none"/>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2025-04</w:t>
                  </w:r>
                </w:p>
              </w:tc>
              <w:tc>
                <w:tcPr>
                  <w:tcW w:w="335" w:type="pct"/>
                  <w:noWrap/>
                  <w:vAlign w:val="center"/>
                </w:tcPr>
                <w:p>
                  <w:pPr>
                    <w:jc w:val="center"/>
                    <w:rPr>
                      <w:color w:val="auto"/>
                      <w:szCs w:val="21"/>
                      <w:highlight w:val="none"/>
                    </w:rPr>
                  </w:pPr>
                  <w:r>
                    <w:rPr>
                      <w:color w:val="auto"/>
                      <w:szCs w:val="21"/>
                      <w:highlight w:val="none"/>
                    </w:rPr>
                    <w:t>7.10</w:t>
                  </w:r>
                </w:p>
              </w:tc>
              <w:tc>
                <w:tcPr>
                  <w:tcW w:w="260" w:type="pct"/>
                  <w:noWrap/>
                  <w:vAlign w:val="center"/>
                </w:tcPr>
                <w:p>
                  <w:pPr>
                    <w:jc w:val="center"/>
                    <w:rPr>
                      <w:color w:val="auto"/>
                      <w:szCs w:val="21"/>
                      <w:highlight w:val="none"/>
                    </w:rPr>
                  </w:pPr>
                  <w:r>
                    <w:rPr>
                      <w:color w:val="auto"/>
                      <w:szCs w:val="21"/>
                      <w:highlight w:val="none"/>
                    </w:rPr>
                    <w:t>8.11</w:t>
                  </w:r>
                </w:p>
              </w:tc>
              <w:tc>
                <w:tcPr>
                  <w:tcW w:w="375" w:type="pct"/>
                  <w:noWrap/>
                  <w:vAlign w:val="center"/>
                </w:tcPr>
                <w:p>
                  <w:pPr>
                    <w:jc w:val="center"/>
                    <w:rPr>
                      <w:color w:val="auto"/>
                      <w:szCs w:val="21"/>
                      <w:highlight w:val="none"/>
                    </w:rPr>
                  </w:pPr>
                  <w:r>
                    <w:rPr>
                      <w:color w:val="auto"/>
                      <w:szCs w:val="21"/>
                      <w:highlight w:val="none"/>
                    </w:rPr>
                    <w:t>0.002</w:t>
                  </w:r>
                </w:p>
              </w:tc>
              <w:tc>
                <w:tcPr>
                  <w:tcW w:w="375" w:type="pct"/>
                  <w:noWrap/>
                  <w:vAlign w:val="center"/>
                </w:tcPr>
                <w:p>
                  <w:pPr>
                    <w:jc w:val="center"/>
                    <w:rPr>
                      <w:color w:val="auto"/>
                      <w:szCs w:val="21"/>
                      <w:highlight w:val="none"/>
                    </w:rPr>
                  </w:pPr>
                  <w:r>
                    <w:rPr>
                      <w:color w:val="auto"/>
                      <w:szCs w:val="21"/>
                      <w:highlight w:val="none"/>
                    </w:rPr>
                    <w:t>0.59</w:t>
                  </w:r>
                </w:p>
              </w:tc>
              <w:tc>
                <w:tcPr>
                  <w:tcW w:w="419" w:type="pct"/>
                  <w:noWrap/>
                  <w:vAlign w:val="center"/>
                </w:tcPr>
                <w:p>
                  <w:pPr>
                    <w:jc w:val="center"/>
                    <w:rPr>
                      <w:color w:val="auto"/>
                      <w:szCs w:val="21"/>
                      <w:highlight w:val="none"/>
                    </w:rPr>
                  </w:pPr>
                  <w:r>
                    <w:rPr>
                      <w:color w:val="auto"/>
                      <w:szCs w:val="21"/>
                      <w:highlight w:val="none"/>
                    </w:rPr>
                    <w:t>0.0032</w:t>
                  </w:r>
                </w:p>
              </w:tc>
              <w:tc>
                <w:tcPr>
                  <w:tcW w:w="375" w:type="pct"/>
                  <w:noWrap/>
                  <w:vAlign w:val="center"/>
                </w:tcPr>
                <w:p>
                  <w:pPr>
                    <w:jc w:val="center"/>
                    <w:rPr>
                      <w:color w:val="auto"/>
                      <w:szCs w:val="21"/>
                      <w:highlight w:val="none"/>
                    </w:rPr>
                  </w:pPr>
                  <w:r>
                    <w:rPr>
                      <w:color w:val="auto"/>
                      <w:szCs w:val="21"/>
                      <w:highlight w:val="none"/>
                    </w:rPr>
                    <w:t>0.034</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2025-08</w:t>
                  </w:r>
                </w:p>
              </w:tc>
              <w:tc>
                <w:tcPr>
                  <w:tcW w:w="335" w:type="pct"/>
                  <w:noWrap/>
                  <w:vAlign w:val="center"/>
                </w:tcPr>
                <w:p>
                  <w:pPr>
                    <w:jc w:val="center"/>
                    <w:rPr>
                      <w:color w:val="auto"/>
                      <w:szCs w:val="21"/>
                      <w:highlight w:val="none"/>
                    </w:rPr>
                  </w:pPr>
                  <w:r>
                    <w:rPr>
                      <w:color w:val="auto"/>
                      <w:szCs w:val="21"/>
                      <w:highlight w:val="none"/>
                    </w:rPr>
                    <w:t>6.40</w:t>
                  </w:r>
                </w:p>
              </w:tc>
              <w:tc>
                <w:tcPr>
                  <w:tcW w:w="260" w:type="pct"/>
                  <w:noWrap/>
                  <w:vAlign w:val="center"/>
                </w:tcPr>
                <w:p>
                  <w:pPr>
                    <w:jc w:val="center"/>
                    <w:rPr>
                      <w:color w:val="auto"/>
                      <w:szCs w:val="21"/>
                      <w:highlight w:val="none"/>
                    </w:rPr>
                  </w:pPr>
                  <w:r>
                    <w:rPr>
                      <w:color w:val="auto"/>
                      <w:szCs w:val="21"/>
                      <w:highlight w:val="none"/>
                    </w:rPr>
                    <w:t>8.10</w:t>
                  </w:r>
                </w:p>
              </w:tc>
              <w:tc>
                <w:tcPr>
                  <w:tcW w:w="375" w:type="pct"/>
                  <w:noWrap/>
                  <w:vAlign w:val="center"/>
                </w:tcPr>
                <w:p>
                  <w:pPr>
                    <w:jc w:val="center"/>
                    <w:rPr>
                      <w:color w:val="auto"/>
                      <w:szCs w:val="21"/>
                      <w:highlight w:val="none"/>
                    </w:rPr>
                  </w:pPr>
                  <w:r>
                    <w:rPr>
                      <w:color w:val="auto"/>
                      <w:szCs w:val="21"/>
                      <w:highlight w:val="none"/>
                    </w:rPr>
                    <w:t>0.003</w:t>
                  </w:r>
                </w:p>
              </w:tc>
              <w:tc>
                <w:tcPr>
                  <w:tcW w:w="375" w:type="pct"/>
                  <w:noWrap/>
                  <w:vAlign w:val="center"/>
                </w:tcPr>
                <w:p>
                  <w:pPr>
                    <w:jc w:val="center"/>
                    <w:rPr>
                      <w:color w:val="auto"/>
                      <w:szCs w:val="21"/>
                      <w:highlight w:val="none"/>
                    </w:rPr>
                  </w:pPr>
                  <w:r>
                    <w:rPr>
                      <w:color w:val="auto"/>
                      <w:szCs w:val="21"/>
                      <w:highlight w:val="none"/>
                    </w:rPr>
                    <w:t>0.78</w:t>
                  </w:r>
                </w:p>
              </w:tc>
              <w:tc>
                <w:tcPr>
                  <w:tcW w:w="419" w:type="pct"/>
                  <w:noWrap/>
                  <w:vAlign w:val="center"/>
                </w:tcPr>
                <w:p>
                  <w:pPr>
                    <w:jc w:val="center"/>
                    <w:rPr>
                      <w:color w:val="auto"/>
                      <w:szCs w:val="21"/>
                      <w:highlight w:val="none"/>
                    </w:rPr>
                  </w:pPr>
                  <w:r>
                    <w:rPr>
                      <w:color w:val="auto"/>
                      <w:szCs w:val="21"/>
                      <w:highlight w:val="none"/>
                    </w:rPr>
                    <w:t>0.0037</w:t>
                  </w:r>
                </w:p>
              </w:tc>
              <w:tc>
                <w:tcPr>
                  <w:tcW w:w="375" w:type="pct"/>
                  <w:noWrap/>
                  <w:vAlign w:val="center"/>
                </w:tcPr>
                <w:p>
                  <w:pPr>
                    <w:jc w:val="center"/>
                    <w:rPr>
                      <w:color w:val="auto"/>
                      <w:szCs w:val="21"/>
                      <w:highlight w:val="none"/>
                    </w:rPr>
                  </w:pPr>
                  <w:r>
                    <w:rPr>
                      <w:color w:val="auto"/>
                      <w:szCs w:val="21"/>
                      <w:highlight w:val="none"/>
                    </w:rPr>
                    <w:t>0.066</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restart"/>
                  <w:noWrap/>
                  <w:vAlign w:val="center"/>
                </w:tcPr>
                <w:p>
                  <w:pPr>
                    <w:jc w:val="center"/>
                    <w:rPr>
                      <w:color w:val="auto"/>
                      <w:szCs w:val="21"/>
                      <w:highlight w:val="none"/>
                    </w:rPr>
                  </w:pPr>
                </w:p>
              </w:tc>
              <w:tc>
                <w:tcPr>
                  <w:tcW w:w="865" w:type="pct"/>
                  <w:vMerge w:val="restart"/>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2024-10</w:t>
                  </w:r>
                </w:p>
              </w:tc>
              <w:tc>
                <w:tcPr>
                  <w:tcW w:w="335" w:type="pct"/>
                  <w:noWrap/>
                  <w:vAlign w:val="center"/>
                </w:tcPr>
                <w:p>
                  <w:pPr>
                    <w:jc w:val="center"/>
                    <w:rPr>
                      <w:color w:val="auto"/>
                      <w:szCs w:val="21"/>
                      <w:highlight w:val="none"/>
                    </w:rPr>
                  </w:pPr>
                  <w:r>
                    <w:rPr>
                      <w:color w:val="auto"/>
                      <w:szCs w:val="21"/>
                      <w:highlight w:val="none"/>
                    </w:rPr>
                    <w:t>6.76</w:t>
                  </w:r>
                </w:p>
              </w:tc>
              <w:tc>
                <w:tcPr>
                  <w:tcW w:w="260" w:type="pct"/>
                  <w:noWrap/>
                  <w:vAlign w:val="center"/>
                </w:tcPr>
                <w:p>
                  <w:pPr>
                    <w:jc w:val="center"/>
                    <w:rPr>
                      <w:color w:val="auto"/>
                      <w:szCs w:val="21"/>
                      <w:highlight w:val="none"/>
                    </w:rPr>
                  </w:pPr>
                  <w:r>
                    <w:rPr>
                      <w:color w:val="auto"/>
                      <w:szCs w:val="21"/>
                      <w:highlight w:val="none"/>
                    </w:rPr>
                    <w:t>8.01</w:t>
                  </w:r>
                </w:p>
              </w:tc>
              <w:tc>
                <w:tcPr>
                  <w:tcW w:w="375" w:type="pct"/>
                  <w:noWrap/>
                  <w:vAlign w:val="center"/>
                </w:tcPr>
                <w:p>
                  <w:pPr>
                    <w:jc w:val="center"/>
                    <w:rPr>
                      <w:color w:val="auto"/>
                      <w:szCs w:val="21"/>
                      <w:highlight w:val="none"/>
                    </w:rPr>
                  </w:pPr>
                  <w:r>
                    <w:rPr>
                      <w:color w:val="auto"/>
                      <w:szCs w:val="21"/>
                      <w:highlight w:val="none"/>
                    </w:rPr>
                    <w:t>0.022</w:t>
                  </w:r>
                </w:p>
              </w:tc>
              <w:tc>
                <w:tcPr>
                  <w:tcW w:w="375" w:type="pct"/>
                  <w:noWrap/>
                  <w:vAlign w:val="center"/>
                </w:tcPr>
                <w:p>
                  <w:pPr>
                    <w:jc w:val="center"/>
                    <w:rPr>
                      <w:color w:val="auto"/>
                      <w:szCs w:val="21"/>
                      <w:highlight w:val="none"/>
                    </w:rPr>
                  </w:pPr>
                  <w:r>
                    <w:rPr>
                      <w:color w:val="auto"/>
                      <w:szCs w:val="21"/>
                      <w:highlight w:val="none"/>
                    </w:rPr>
                    <w:t>0.53</w:t>
                  </w:r>
                </w:p>
              </w:tc>
              <w:tc>
                <w:tcPr>
                  <w:tcW w:w="419" w:type="pct"/>
                  <w:noWrap/>
                  <w:vAlign w:val="center"/>
                </w:tcPr>
                <w:p>
                  <w:pPr>
                    <w:jc w:val="center"/>
                    <w:rPr>
                      <w:color w:val="auto"/>
                      <w:szCs w:val="21"/>
                      <w:highlight w:val="none"/>
                    </w:rPr>
                  </w:pPr>
                  <w:r>
                    <w:rPr>
                      <w:color w:val="auto"/>
                      <w:szCs w:val="21"/>
                      <w:highlight w:val="none"/>
                    </w:rPr>
                    <w:t>0.0010L</w:t>
                  </w:r>
                </w:p>
              </w:tc>
              <w:tc>
                <w:tcPr>
                  <w:tcW w:w="375" w:type="pct"/>
                  <w:noWrap/>
                  <w:vAlign w:val="center"/>
                </w:tcPr>
                <w:p>
                  <w:pPr>
                    <w:jc w:val="center"/>
                    <w:rPr>
                      <w:color w:val="auto"/>
                      <w:szCs w:val="21"/>
                      <w:highlight w:val="none"/>
                    </w:rPr>
                  </w:pPr>
                  <w:r>
                    <w:rPr>
                      <w:color w:val="auto"/>
                      <w:szCs w:val="21"/>
                      <w:highlight w:val="none"/>
                    </w:rPr>
                    <w:t>0.230</w:t>
                  </w:r>
                </w:p>
              </w:tc>
              <w:tc>
                <w:tcPr>
                  <w:tcW w:w="498" w:type="pct"/>
                  <w:noWrap/>
                  <w:vAlign w:val="center"/>
                </w:tcPr>
                <w:p>
                  <w:pPr>
                    <w:jc w:val="center"/>
                    <w:rPr>
                      <w:color w:val="auto"/>
                      <w:szCs w:val="21"/>
                      <w:highlight w:val="none"/>
                    </w:rPr>
                  </w:pPr>
                  <w:r>
                    <w:rPr>
                      <w:color w:val="auto"/>
                      <w:szCs w:val="21"/>
                      <w:highlight w:val="none"/>
                    </w:rPr>
                    <w:t>二类</w:t>
                  </w:r>
                </w:p>
              </w:tc>
              <w:tc>
                <w:tcPr>
                  <w:tcW w:w="375" w:type="pct"/>
                  <w:vMerge w:val="restart"/>
                  <w:noWrap/>
                  <w:vAlign w:val="center"/>
                </w:tcPr>
                <w:p>
                  <w:pPr>
                    <w:jc w:val="center"/>
                    <w:rPr>
                      <w:color w:val="auto"/>
                      <w:szCs w:val="21"/>
                      <w:highlight w:val="none"/>
                    </w:rPr>
                  </w:pPr>
                  <w:r>
                    <w:rPr>
                      <w:color w:val="auto"/>
                      <w:szCs w:val="21"/>
                      <w:highlight w:val="none"/>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2025-05</w:t>
                  </w:r>
                </w:p>
              </w:tc>
              <w:tc>
                <w:tcPr>
                  <w:tcW w:w="335" w:type="pct"/>
                  <w:noWrap/>
                  <w:vAlign w:val="center"/>
                </w:tcPr>
                <w:p>
                  <w:pPr>
                    <w:jc w:val="center"/>
                    <w:rPr>
                      <w:color w:val="auto"/>
                      <w:szCs w:val="21"/>
                      <w:highlight w:val="none"/>
                    </w:rPr>
                  </w:pPr>
                  <w:r>
                    <w:rPr>
                      <w:color w:val="auto"/>
                      <w:szCs w:val="21"/>
                      <w:highlight w:val="none"/>
                    </w:rPr>
                    <w:t>8.20</w:t>
                  </w:r>
                </w:p>
              </w:tc>
              <w:tc>
                <w:tcPr>
                  <w:tcW w:w="260" w:type="pct"/>
                  <w:noWrap/>
                  <w:vAlign w:val="center"/>
                </w:tcPr>
                <w:p>
                  <w:pPr>
                    <w:jc w:val="center"/>
                    <w:rPr>
                      <w:color w:val="auto"/>
                      <w:szCs w:val="21"/>
                      <w:highlight w:val="none"/>
                    </w:rPr>
                  </w:pPr>
                  <w:r>
                    <w:rPr>
                      <w:color w:val="auto"/>
                      <w:szCs w:val="21"/>
                      <w:highlight w:val="none"/>
                    </w:rPr>
                    <w:t>8.29</w:t>
                  </w:r>
                </w:p>
              </w:tc>
              <w:tc>
                <w:tcPr>
                  <w:tcW w:w="375" w:type="pct"/>
                  <w:noWrap/>
                  <w:vAlign w:val="center"/>
                </w:tcPr>
                <w:p>
                  <w:pPr>
                    <w:jc w:val="center"/>
                    <w:rPr>
                      <w:color w:val="auto"/>
                      <w:szCs w:val="21"/>
                      <w:highlight w:val="none"/>
                    </w:rPr>
                  </w:pPr>
                  <w:r>
                    <w:rPr>
                      <w:color w:val="auto"/>
                      <w:szCs w:val="21"/>
                      <w:highlight w:val="none"/>
                    </w:rPr>
                    <w:t>0.003</w:t>
                  </w:r>
                </w:p>
              </w:tc>
              <w:tc>
                <w:tcPr>
                  <w:tcW w:w="375" w:type="pct"/>
                  <w:noWrap/>
                  <w:vAlign w:val="center"/>
                </w:tcPr>
                <w:p>
                  <w:pPr>
                    <w:jc w:val="center"/>
                    <w:rPr>
                      <w:color w:val="auto"/>
                      <w:szCs w:val="21"/>
                      <w:highlight w:val="none"/>
                    </w:rPr>
                  </w:pPr>
                  <w:r>
                    <w:rPr>
                      <w:color w:val="auto"/>
                      <w:szCs w:val="21"/>
                      <w:highlight w:val="none"/>
                    </w:rPr>
                    <w:t>0.58</w:t>
                  </w:r>
                </w:p>
              </w:tc>
              <w:tc>
                <w:tcPr>
                  <w:tcW w:w="419" w:type="pct"/>
                  <w:noWrap/>
                  <w:vAlign w:val="center"/>
                </w:tcPr>
                <w:p>
                  <w:pPr>
                    <w:jc w:val="center"/>
                    <w:rPr>
                      <w:color w:val="auto"/>
                      <w:szCs w:val="21"/>
                      <w:highlight w:val="none"/>
                    </w:rPr>
                  </w:pPr>
                  <w:r>
                    <w:rPr>
                      <w:color w:val="auto"/>
                      <w:szCs w:val="21"/>
                      <w:highlight w:val="none"/>
                    </w:rPr>
                    <w:t>0.0146</w:t>
                  </w:r>
                </w:p>
              </w:tc>
              <w:tc>
                <w:tcPr>
                  <w:tcW w:w="375" w:type="pct"/>
                  <w:noWrap/>
                  <w:vAlign w:val="center"/>
                </w:tcPr>
                <w:p>
                  <w:pPr>
                    <w:jc w:val="center"/>
                    <w:rPr>
                      <w:color w:val="auto"/>
                      <w:szCs w:val="21"/>
                      <w:highlight w:val="none"/>
                    </w:rPr>
                  </w:pPr>
                  <w:r>
                    <w:rPr>
                      <w:color w:val="auto"/>
                      <w:szCs w:val="21"/>
                      <w:highlight w:val="none"/>
                    </w:rPr>
                    <w:t>0.032</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2025-08</w:t>
                  </w:r>
                </w:p>
              </w:tc>
              <w:tc>
                <w:tcPr>
                  <w:tcW w:w="335" w:type="pct"/>
                  <w:noWrap/>
                  <w:vAlign w:val="center"/>
                </w:tcPr>
                <w:p>
                  <w:pPr>
                    <w:jc w:val="center"/>
                    <w:rPr>
                      <w:color w:val="auto"/>
                      <w:szCs w:val="21"/>
                      <w:highlight w:val="none"/>
                    </w:rPr>
                  </w:pPr>
                  <w:r>
                    <w:rPr>
                      <w:color w:val="auto"/>
                      <w:szCs w:val="21"/>
                      <w:highlight w:val="none"/>
                    </w:rPr>
                    <w:t>6.58</w:t>
                  </w:r>
                </w:p>
              </w:tc>
              <w:tc>
                <w:tcPr>
                  <w:tcW w:w="260" w:type="pct"/>
                  <w:noWrap/>
                  <w:vAlign w:val="center"/>
                </w:tcPr>
                <w:p>
                  <w:pPr>
                    <w:jc w:val="center"/>
                    <w:rPr>
                      <w:color w:val="auto"/>
                      <w:szCs w:val="21"/>
                      <w:highlight w:val="none"/>
                    </w:rPr>
                  </w:pPr>
                  <w:r>
                    <w:rPr>
                      <w:color w:val="auto"/>
                      <w:szCs w:val="21"/>
                      <w:highlight w:val="none"/>
                    </w:rPr>
                    <w:t>8.10</w:t>
                  </w:r>
                </w:p>
              </w:tc>
              <w:tc>
                <w:tcPr>
                  <w:tcW w:w="375" w:type="pct"/>
                  <w:noWrap/>
                  <w:vAlign w:val="center"/>
                </w:tcPr>
                <w:p>
                  <w:pPr>
                    <w:jc w:val="center"/>
                    <w:rPr>
                      <w:color w:val="auto"/>
                      <w:szCs w:val="21"/>
                      <w:highlight w:val="none"/>
                    </w:rPr>
                  </w:pPr>
                  <w:r>
                    <w:rPr>
                      <w:color w:val="auto"/>
                      <w:szCs w:val="21"/>
                      <w:highlight w:val="none"/>
                    </w:rPr>
                    <w:t>0.001</w:t>
                  </w:r>
                </w:p>
              </w:tc>
              <w:tc>
                <w:tcPr>
                  <w:tcW w:w="375" w:type="pct"/>
                  <w:noWrap/>
                  <w:vAlign w:val="center"/>
                </w:tcPr>
                <w:p>
                  <w:pPr>
                    <w:jc w:val="center"/>
                    <w:rPr>
                      <w:color w:val="auto"/>
                      <w:szCs w:val="21"/>
                      <w:highlight w:val="none"/>
                    </w:rPr>
                  </w:pPr>
                  <w:r>
                    <w:rPr>
                      <w:color w:val="auto"/>
                      <w:szCs w:val="21"/>
                      <w:highlight w:val="none"/>
                    </w:rPr>
                    <w:t>0.63</w:t>
                  </w:r>
                </w:p>
              </w:tc>
              <w:tc>
                <w:tcPr>
                  <w:tcW w:w="419" w:type="pct"/>
                  <w:noWrap/>
                  <w:vAlign w:val="center"/>
                </w:tcPr>
                <w:p>
                  <w:pPr>
                    <w:jc w:val="center"/>
                    <w:rPr>
                      <w:color w:val="auto"/>
                      <w:szCs w:val="21"/>
                      <w:highlight w:val="none"/>
                    </w:rPr>
                  </w:pPr>
                  <w:r>
                    <w:rPr>
                      <w:color w:val="auto"/>
                      <w:szCs w:val="21"/>
                      <w:highlight w:val="none"/>
                    </w:rPr>
                    <w:t>0.0076</w:t>
                  </w:r>
                </w:p>
              </w:tc>
              <w:tc>
                <w:tcPr>
                  <w:tcW w:w="375" w:type="pct"/>
                  <w:noWrap/>
                  <w:vAlign w:val="center"/>
                </w:tcPr>
                <w:p>
                  <w:pPr>
                    <w:jc w:val="center"/>
                    <w:rPr>
                      <w:color w:val="auto"/>
                      <w:szCs w:val="21"/>
                      <w:highlight w:val="none"/>
                    </w:rPr>
                  </w:pPr>
                  <w:r>
                    <w:rPr>
                      <w:color w:val="auto"/>
                      <w:szCs w:val="21"/>
                      <w:highlight w:val="none"/>
                    </w:rPr>
                    <w:t>0.021</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restart"/>
                  <w:noWrap/>
                  <w:vAlign w:val="center"/>
                </w:tcPr>
                <w:p>
                  <w:pPr>
                    <w:jc w:val="center"/>
                    <w:rPr>
                      <w:color w:val="auto"/>
                      <w:szCs w:val="21"/>
                      <w:highlight w:val="none"/>
                    </w:rPr>
                  </w:pPr>
                </w:p>
              </w:tc>
              <w:tc>
                <w:tcPr>
                  <w:tcW w:w="865" w:type="pct"/>
                  <w:vMerge w:val="restart"/>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2024-10</w:t>
                  </w:r>
                </w:p>
              </w:tc>
              <w:tc>
                <w:tcPr>
                  <w:tcW w:w="335" w:type="pct"/>
                  <w:noWrap/>
                  <w:vAlign w:val="center"/>
                </w:tcPr>
                <w:p>
                  <w:pPr>
                    <w:jc w:val="center"/>
                    <w:rPr>
                      <w:color w:val="auto"/>
                      <w:szCs w:val="21"/>
                      <w:highlight w:val="none"/>
                    </w:rPr>
                  </w:pPr>
                  <w:r>
                    <w:rPr>
                      <w:color w:val="auto"/>
                      <w:szCs w:val="21"/>
                      <w:highlight w:val="none"/>
                    </w:rPr>
                    <w:t>6.64</w:t>
                  </w:r>
                </w:p>
              </w:tc>
              <w:tc>
                <w:tcPr>
                  <w:tcW w:w="260" w:type="pct"/>
                  <w:noWrap/>
                  <w:vAlign w:val="center"/>
                </w:tcPr>
                <w:p>
                  <w:pPr>
                    <w:jc w:val="center"/>
                    <w:rPr>
                      <w:color w:val="auto"/>
                      <w:szCs w:val="21"/>
                      <w:highlight w:val="none"/>
                    </w:rPr>
                  </w:pPr>
                  <w:r>
                    <w:rPr>
                      <w:color w:val="auto"/>
                      <w:szCs w:val="21"/>
                      <w:highlight w:val="none"/>
                    </w:rPr>
                    <w:t>8.13</w:t>
                  </w:r>
                </w:p>
              </w:tc>
              <w:tc>
                <w:tcPr>
                  <w:tcW w:w="375" w:type="pct"/>
                  <w:noWrap/>
                  <w:vAlign w:val="center"/>
                </w:tcPr>
                <w:p>
                  <w:pPr>
                    <w:jc w:val="center"/>
                    <w:rPr>
                      <w:color w:val="auto"/>
                      <w:szCs w:val="21"/>
                      <w:highlight w:val="none"/>
                    </w:rPr>
                  </w:pPr>
                  <w:r>
                    <w:rPr>
                      <w:color w:val="auto"/>
                      <w:szCs w:val="21"/>
                      <w:highlight w:val="none"/>
                    </w:rPr>
                    <w:t>0.006</w:t>
                  </w:r>
                </w:p>
              </w:tc>
              <w:tc>
                <w:tcPr>
                  <w:tcW w:w="375" w:type="pct"/>
                  <w:noWrap/>
                  <w:vAlign w:val="center"/>
                </w:tcPr>
                <w:p>
                  <w:pPr>
                    <w:jc w:val="center"/>
                    <w:rPr>
                      <w:color w:val="auto"/>
                      <w:szCs w:val="21"/>
                      <w:highlight w:val="none"/>
                    </w:rPr>
                  </w:pPr>
                  <w:r>
                    <w:rPr>
                      <w:color w:val="auto"/>
                      <w:szCs w:val="21"/>
                      <w:highlight w:val="none"/>
                    </w:rPr>
                    <w:t>0.30</w:t>
                  </w:r>
                </w:p>
              </w:tc>
              <w:tc>
                <w:tcPr>
                  <w:tcW w:w="419" w:type="pct"/>
                  <w:noWrap/>
                  <w:vAlign w:val="center"/>
                </w:tcPr>
                <w:p>
                  <w:pPr>
                    <w:jc w:val="center"/>
                    <w:rPr>
                      <w:color w:val="auto"/>
                      <w:szCs w:val="21"/>
                      <w:highlight w:val="none"/>
                    </w:rPr>
                  </w:pPr>
                  <w:r>
                    <w:rPr>
                      <w:color w:val="auto"/>
                      <w:szCs w:val="21"/>
                      <w:highlight w:val="none"/>
                    </w:rPr>
                    <w:t>0.0032</w:t>
                  </w:r>
                </w:p>
              </w:tc>
              <w:tc>
                <w:tcPr>
                  <w:tcW w:w="375" w:type="pct"/>
                  <w:noWrap/>
                  <w:vAlign w:val="center"/>
                </w:tcPr>
                <w:p>
                  <w:pPr>
                    <w:jc w:val="center"/>
                    <w:rPr>
                      <w:color w:val="auto"/>
                      <w:szCs w:val="21"/>
                      <w:highlight w:val="none"/>
                    </w:rPr>
                  </w:pPr>
                  <w:r>
                    <w:rPr>
                      <w:color w:val="auto"/>
                      <w:szCs w:val="21"/>
                      <w:highlight w:val="none"/>
                    </w:rPr>
                    <w:t>0.250</w:t>
                  </w:r>
                </w:p>
              </w:tc>
              <w:tc>
                <w:tcPr>
                  <w:tcW w:w="498" w:type="pct"/>
                  <w:noWrap/>
                  <w:vAlign w:val="center"/>
                </w:tcPr>
                <w:p>
                  <w:pPr>
                    <w:jc w:val="center"/>
                    <w:rPr>
                      <w:color w:val="auto"/>
                      <w:szCs w:val="21"/>
                      <w:highlight w:val="none"/>
                    </w:rPr>
                  </w:pPr>
                  <w:r>
                    <w:rPr>
                      <w:color w:val="auto"/>
                      <w:szCs w:val="21"/>
                      <w:highlight w:val="none"/>
                    </w:rPr>
                    <w:t>二类</w:t>
                  </w:r>
                </w:p>
              </w:tc>
              <w:tc>
                <w:tcPr>
                  <w:tcW w:w="375" w:type="pct"/>
                  <w:vMerge w:val="restart"/>
                  <w:noWrap/>
                  <w:vAlign w:val="center"/>
                </w:tcPr>
                <w:p>
                  <w:pPr>
                    <w:jc w:val="center"/>
                    <w:rPr>
                      <w:color w:val="auto"/>
                      <w:szCs w:val="21"/>
                      <w:highlight w:val="none"/>
                    </w:rPr>
                  </w:pPr>
                  <w:r>
                    <w:rPr>
                      <w:color w:val="auto"/>
                      <w:szCs w:val="21"/>
                      <w:highlight w:val="none"/>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2025-04</w:t>
                  </w:r>
                </w:p>
              </w:tc>
              <w:tc>
                <w:tcPr>
                  <w:tcW w:w="335" w:type="pct"/>
                  <w:noWrap/>
                  <w:vAlign w:val="center"/>
                </w:tcPr>
                <w:p>
                  <w:pPr>
                    <w:jc w:val="center"/>
                    <w:rPr>
                      <w:color w:val="auto"/>
                      <w:szCs w:val="21"/>
                      <w:highlight w:val="none"/>
                    </w:rPr>
                  </w:pPr>
                  <w:r>
                    <w:rPr>
                      <w:color w:val="auto"/>
                      <w:szCs w:val="21"/>
                      <w:highlight w:val="none"/>
                    </w:rPr>
                    <w:t>7.50</w:t>
                  </w:r>
                </w:p>
              </w:tc>
              <w:tc>
                <w:tcPr>
                  <w:tcW w:w="260" w:type="pct"/>
                  <w:noWrap/>
                  <w:vAlign w:val="center"/>
                </w:tcPr>
                <w:p>
                  <w:pPr>
                    <w:jc w:val="center"/>
                    <w:rPr>
                      <w:color w:val="auto"/>
                      <w:szCs w:val="21"/>
                      <w:highlight w:val="none"/>
                    </w:rPr>
                  </w:pPr>
                  <w:r>
                    <w:rPr>
                      <w:color w:val="auto"/>
                      <w:szCs w:val="21"/>
                      <w:highlight w:val="none"/>
                    </w:rPr>
                    <w:t>8.11</w:t>
                  </w:r>
                </w:p>
              </w:tc>
              <w:tc>
                <w:tcPr>
                  <w:tcW w:w="375" w:type="pct"/>
                  <w:noWrap/>
                  <w:vAlign w:val="center"/>
                </w:tcPr>
                <w:p>
                  <w:pPr>
                    <w:jc w:val="center"/>
                    <w:rPr>
                      <w:color w:val="auto"/>
                      <w:szCs w:val="21"/>
                      <w:highlight w:val="none"/>
                    </w:rPr>
                  </w:pPr>
                  <w:r>
                    <w:rPr>
                      <w:color w:val="auto"/>
                      <w:szCs w:val="21"/>
                      <w:highlight w:val="none"/>
                    </w:rPr>
                    <w:t>0.002</w:t>
                  </w:r>
                </w:p>
              </w:tc>
              <w:tc>
                <w:tcPr>
                  <w:tcW w:w="375" w:type="pct"/>
                  <w:noWrap/>
                  <w:vAlign w:val="center"/>
                </w:tcPr>
                <w:p>
                  <w:pPr>
                    <w:jc w:val="center"/>
                    <w:rPr>
                      <w:color w:val="auto"/>
                      <w:szCs w:val="21"/>
                      <w:highlight w:val="none"/>
                    </w:rPr>
                  </w:pPr>
                  <w:r>
                    <w:rPr>
                      <w:color w:val="auto"/>
                      <w:szCs w:val="21"/>
                      <w:highlight w:val="none"/>
                    </w:rPr>
                    <w:t>0.33</w:t>
                  </w:r>
                </w:p>
              </w:tc>
              <w:tc>
                <w:tcPr>
                  <w:tcW w:w="419" w:type="pct"/>
                  <w:noWrap/>
                  <w:vAlign w:val="center"/>
                </w:tcPr>
                <w:p>
                  <w:pPr>
                    <w:jc w:val="center"/>
                    <w:rPr>
                      <w:color w:val="auto"/>
                      <w:szCs w:val="21"/>
                      <w:highlight w:val="none"/>
                    </w:rPr>
                  </w:pPr>
                  <w:r>
                    <w:rPr>
                      <w:color w:val="auto"/>
                      <w:szCs w:val="21"/>
                      <w:highlight w:val="none"/>
                    </w:rPr>
                    <w:t>0.0020</w:t>
                  </w:r>
                </w:p>
              </w:tc>
              <w:tc>
                <w:tcPr>
                  <w:tcW w:w="375" w:type="pct"/>
                  <w:noWrap/>
                  <w:vAlign w:val="center"/>
                </w:tcPr>
                <w:p>
                  <w:pPr>
                    <w:jc w:val="center"/>
                    <w:rPr>
                      <w:color w:val="auto"/>
                      <w:szCs w:val="21"/>
                      <w:highlight w:val="none"/>
                    </w:rPr>
                  </w:pPr>
                  <w:r>
                    <w:rPr>
                      <w:color w:val="auto"/>
                      <w:szCs w:val="21"/>
                      <w:highlight w:val="none"/>
                    </w:rPr>
                    <w:t>0.091</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jc w:val="center"/>
                    <w:rPr>
                      <w:color w:val="auto"/>
                      <w:szCs w:val="21"/>
                      <w:highlight w:val="none"/>
                    </w:rPr>
                  </w:pPr>
                  <w:r>
                    <w:rPr>
                      <w:color w:val="auto"/>
                      <w:szCs w:val="21"/>
                      <w:highlight w:val="none"/>
                    </w:rPr>
                    <w:t>2025-08</w:t>
                  </w:r>
                </w:p>
              </w:tc>
              <w:tc>
                <w:tcPr>
                  <w:tcW w:w="335" w:type="pct"/>
                  <w:noWrap/>
                  <w:vAlign w:val="center"/>
                </w:tcPr>
                <w:p>
                  <w:pPr>
                    <w:jc w:val="center"/>
                    <w:rPr>
                      <w:color w:val="auto"/>
                      <w:szCs w:val="21"/>
                      <w:highlight w:val="none"/>
                    </w:rPr>
                  </w:pPr>
                  <w:r>
                    <w:rPr>
                      <w:color w:val="auto"/>
                      <w:szCs w:val="21"/>
                      <w:highlight w:val="none"/>
                    </w:rPr>
                    <w:t>6.66</w:t>
                  </w:r>
                </w:p>
              </w:tc>
              <w:tc>
                <w:tcPr>
                  <w:tcW w:w="260" w:type="pct"/>
                  <w:noWrap/>
                  <w:vAlign w:val="center"/>
                </w:tcPr>
                <w:p>
                  <w:pPr>
                    <w:jc w:val="center"/>
                    <w:rPr>
                      <w:color w:val="auto"/>
                      <w:szCs w:val="21"/>
                      <w:highlight w:val="none"/>
                    </w:rPr>
                  </w:pPr>
                  <w:r>
                    <w:rPr>
                      <w:color w:val="auto"/>
                      <w:szCs w:val="21"/>
                      <w:highlight w:val="none"/>
                    </w:rPr>
                    <w:t>7.94</w:t>
                  </w:r>
                </w:p>
              </w:tc>
              <w:tc>
                <w:tcPr>
                  <w:tcW w:w="375" w:type="pct"/>
                  <w:noWrap/>
                  <w:vAlign w:val="center"/>
                </w:tcPr>
                <w:p>
                  <w:pPr>
                    <w:jc w:val="center"/>
                    <w:rPr>
                      <w:color w:val="auto"/>
                      <w:szCs w:val="21"/>
                      <w:highlight w:val="none"/>
                    </w:rPr>
                  </w:pPr>
                  <w:r>
                    <w:rPr>
                      <w:color w:val="auto"/>
                      <w:szCs w:val="21"/>
                      <w:highlight w:val="none"/>
                    </w:rPr>
                    <w:t>0.002</w:t>
                  </w:r>
                </w:p>
              </w:tc>
              <w:tc>
                <w:tcPr>
                  <w:tcW w:w="375" w:type="pct"/>
                  <w:noWrap/>
                  <w:vAlign w:val="center"/>
                </w:tcPr>
                <w:p>
                  <w:pPr>
                    <w:jc w:val="center"/>
                    <w:rPr>
                      <w:color w:val="auto"/>
                      <w:szCs w:val="21"/>
                      <w:highlight w:val="none"/>
                    </w:rPr>
                  </w:pPr>
                  <w:r>
                    <w:rPr>
                      <w:color w:val="auto"/>
                      <w:szCs w:val="21"/>
                      <w:highlight w:val="none"/>
                    </w:rPr>
                    <w:t>0.50</w:t>
                  </w:r>
                </w:p>
              </w:tc>
              <w:tc>
                <w:tcPr>
                  <w:tcW w:w="419" w:type="pct"/>
                  <w:noWrap/>
                  <w:vAlign w:val="center"/>
                </w:tcPr>
                <w:p>
                  <w:pPr>
                    <w:jc w:val="center"/>
                    <w:rPr>
                      <w:color w:val="auto"/>
                      <w:szCs w:val="21"/>
                      <w:highlight w:val="none"/>
                    </w:rPr>
                  </w:pPr>
                  <w:r>
                    <w:rPr>
                      <w:color w:val="auto"/>
                      <w:szCs w:val="21"/>
                      <w:highlight w:val="none"/>
                    </w:rPr>
                    <w:t>0.0054</w:t>
                  </w:r>
                </w:p>
              </w:tc>
              <w:tc>
                <w:tcPr>
                  <w:tcW w:w="375" w:type="pct"/>
                  <w:noWrap/>
                  <w:vAlign w:val="center"/>
                </w:tcPr>
                <w:p>
                  <w:pPr>
                    <w:jc w:val="center"/>
                    <w:rPr>
                      <w:color w:val="auto"/>
                      <w:szCs w:val="21"/>
                      <w:highlight w:val="none"/>
                    </w:rPr>
                  </w:pPr>
                  <w:r>
                    <w:rPr>
                      <w:color w:val="auto"/>
                      <w:szCs w:val="21"/>
                      <w:highlight w:val="none"/>
                    </w:rPr>
                    <w:t>0.030</w:t>
                  </w:r>
                </w:p>
              </w:tc>
              <w:tc>
                <w:tcPr>
                  <w:tcW w:w="498" w:type="pct"/>
                  <w:noWrap/>
                  <w:vAlign w:val="center"/>
                </w:tcPr>
                <w:p>
                  <w:pPr>
                    <w:jc w:val="center"/>
                    <w:rPr>
                      <w:color w:val="auto"/>
                      <w:szCs w:val="21"/>
                      <w:highlight w:val="none"/>
                    </w:rPr>
                  </w:pPr>
                  <w:r>
                    <w:rPr>
                      <w:color w:val="auto"/>
                      <w:szCs w:val="21"/>
                      <w:highlight w:val="none"/>
                    </w:rPr>
                    <w:t>一类</w:t>
                  </w:r>
                </w:p>
              </w:tc>
              <w:tc>
                <w:tcPr>
                  <w:tcW w:w="375" w:type="pct"/>
                  <w:vMerge w:val="continue"/>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restart"/>
                  <w:noWrap/>
                  <w:vAlign w:val="center"/>
                </w:tcPr>
                <w:p>
                  <w:pPr>
                    <w:pStyle w:val="36"/>
                    <w:widowControl/>
                    <w:textAlignment w:val="bottom"/>
                    <w:rPr>
                      <w:rFonts w:hint="default" w:cs="Times New Roman"/>
                      <w:color w:val="auto"/>
                      <w:highlight w:val="none"/>
                      <w:lang w:val="en-US"/>
                    </w:rPr>
                  </w:pPr>
                </w:p>
              </w:tc>
              <w:tc>
                <w:tcPr>
                  <w:tcW w:w="865" w:type="pct"/>
                  <w:vMerge w:val="restart"/>
                  <w:noWrap/>
                  <w:vAlign w:val="center"/>
                </w:tcPr>
                <w:p>
                  <w:pPr>
                    <w:pStyle w:val="36"/>
                    <w:widowControl/>
                    <w:textAlignment w:val="bottom"/>
                    <w:rPr>
                      <w:rFonts w:hint="default" w:cs="Times New Roman"/>
                      <w:color w:val="auto"/>
                      <w:highlight w:val="none"/>
                      <w:lang w:val="en-US"/>
                    </w:rPr>
                  </w:pPr>
                </w:p>
              </w:tc>
              <w:tc>
                <w:tcPr>
                  <w:tcW w:w="580" w:type="pct"/>
                  <w:noWrap/>
                  <w:vAlign w:val="center"/>
                </w:tcPr>
                <w:p>
                  <w:pPr>
                    <w:pStyle w:val="36"/>
                    <w:snapToGrid w:val="0"/>
                    <w:rPr>
                      <w:rFonts w:cs="Times New Roman"/>
                      <w:color w:val="auto"/>
                      <w:highlight w:val="none"/>
                    </w:rPr>
                  </w:pPr>
                  <w:r>
                    <w:rPr>
                      <w:rFonts w:hint="eastAsia"/>
                      <w:color w:val="auto"/>
                      <w:highlight w:val="none"/>
                    </w:rPr>
                    <w:t>2024-10-12</w:t>
                  </w:r>
                </w:p>
              </w:tc>
              <w:tc>
                <w:tcPr>
                  <w:tcW w:w="335" w:type="pct"/>
                  <w:noWrap/>
                  <w:vAlign w:val="center"/>
                </w:tcPr>
                <w:p>
                  <w:pPr>
                    <w:pStyle w:val="36"/>
                    <w:snapToGrid w:val="0"/>
                    <w:rPr>
                      <w:rFonts w:cs="Times New Roman"/>
                      <w:color w:val="auto"/>
                      <w:highlight w:val="none"/>
                    </w:rPr>
                  </w:pPr>
                  <w:r>
                    <w:rPr>
                      <w:rFonts w:hint="eastAsia"/>
                      <w:color w:val="auto"/>
                      <w:highlight w:val="none"/>
                    </w:rPr>
                    <w:t>6.55</w:t>
                  </w:r>
                </w:p>
              </w:tc>
              <w:tc>
                <w:tcPr>
                  <w:tcW w:w="260" w:type="pct"/>
                  <w:noWrap/>
                  <w:vAlign w:val="center"/>
                </w:tcPr>
                <w:p>
                  <w:pPr>
                    <w:pStyle w:val="36"/>
                    <w:snapToGrid w:val="0"/>
                    <w:rPr>
                      <w:rFonts w:cs="Times New Roman"/>
                      <w:color w:val="auto"/>
                      <w:highlight w:val="none"/>
                    </w:rPr>
                  </w:pPr>
                  <w:r>
                    <w:rPr>
                      <w:rFonts w:hint="eastAsia"/>
                      <w:color w:val="auto"/>
                      <w:highlight w:val="none"/>
                    </w:rPr>
                    <w:t>8.16</w:t>
                  </w:r>
                </w:p>
              </w:tc>
              <w:tc>
                <w:tcPr>
                  <w:tcW w:w="375" w:type="pct"/>
                  <w:noWrap/>
                  <w:vAlign w:val="center"/>
                </w:tcPr>
                <w:p>
                  <w:pPr>
                    <w:pStyle w:val="36"/>
                    <w:snapToGrid w:val="0"/>
                    <w:rPr>
                      <w:rFonts w:cs="Times New Roman"/>
                      <w:color w:val="auto"/>
                      <w:highlight w:val="none"/>
                    </w:rPr>
                  </w:pPr>
                  <w:r>
                    <w:rPr>
                      <w:rFonts w:hint="eastAsia"/>
                      <w:color w:val="auto"/>
                      <w:highlight w:val="none"/>
                    </w:rPr>
                    <w:t>0.008</w:t>
                  </w:r>
                </w:p>
              </w:tc>
              <w:tc>
                <w:tcPr>
                  <w:tcW w:w="375" w:type="pct"/>
                  <w:noWrap/>
                  <w:vAlign w:val="center"/>
                </w:tcPr>
                <w:p>
                  <w:pPr>
                    <w:pStyle w:val="36"/>
                    <w:snapToGrid w:val="0"/>
                    <w:rPr>
                      <w:rFonts w:cs="Times New Roman"/>
                      <w:color w:val="auto"/>
                      <w:highlight w:val="none"/>
                    </w:rPr>
                  </w:pPr>
                  <w:r>
                    <w:rPr>
                      <w:rFonts w:hint="eastAsia"/>
                      <w:color w:val="auto"/>
                      <w:highlight w:val="none"/>
                    </w:rPr>
                    <w:t>0.38</w:t>
                  </w:r>
                </w:p>
              </w:tc>
              <w:tc>
                <w:tcPr>
                  <w:tcW w:w="419" w:type="pct"/>
                  <w:noWrap/>
                  <w:vAlign w:val="center"/>
                </w:tcPr>
                <w:p>
                  <w:pPr>
                    <w:pStyle w:val="36"/>
                    <w:snapToGrid w:val="0"/>
                    <w:rPr>
                      <w:rFonts w:cs="Times New Roman"/>
                      <w:color w:val="auto"/>
                      <w:highlight w:val="none"/>
                    </w:rPr>
                  </w:pPr>
                  <w:r>
                    <w:rPr>
                      <w:rFonts w:hint="eastAsia"/>
                      <w:color w:val="auto"/>
                      <w:highlight w:val="none"/>
                    </w:rPr>
                    <w:t>0.0254</w:t>
                  </w:r>
                </w:p>
              </w:tc>
              <w:tc>
                <w:tcPr>
                  <w:tcW w:w="375" w:type="pct"/>
                  <w:noWrap/>
                  <w:vAlign w:val="center"/>
                </w:tcPr>
                <w:p>
                  <w:pPr>
                    <w:pStyle w:val="36"/>
                    <w:snapToGrid w:val="0"/>
                    <w:rPr>
                      <w:rFonts w:cs="Times New Roman"/>
                      <w:color w:val="auto"/>
                      <w:highlight w:val="none"/>
                    </w:rPr>
                  </w:pPr>
                  <w:r>
                    <w:rPr>
                      <w:rFonts w:hint="eastAsia"/>
                      <w:color w:val="auto"/>
                      <w:highlight w:val="none"/>
                    </w:rPr>
                    <w:t>0.162</w:t>
                  </w:r>
                </w:p>
              </w:tc>
              <w:tc>
                <w:tcPr>
                  <w:tcW w:w="498" w:type="pct"/>
                  <w:noWrap/>
                  <w:vAlign w:val="center"/>
                </w:tcPr>
                <w:p>
                  <w:pPr>
                    <w:pStyle w:val="36"/>
                    <w:snapToGrid w:val="0"/>
                    <w:rPr>
                      <w:rFonts w:cs="Times New Roman"/>
                      <w:color w:val="auto"/>
                      <w:highlight w:val="none"/>
                    </w:rPr>
                  </w:pPr>
                  <w:r>
                    <w:rPr>
                      <w:rFonts w:hint="eastAsia"/>
                      <w:color w:val="auto"/>
                      <w:highlight w:val="none"/>
                    </w:rPr>
                    <w:t>一类</w:t>
                  </w:r>
                </w:p>
              </w:tc>
              <w:tc>
                <w:tcPr>
                  <w:tcW w:w="375" w:type="pct"/>
                  <w:vMerge w:val="restart"/>
                  <w:noWrap/>
                  <w:vAlign w:val="center"/>
                </w:tcPr>
                <w:p>
                  <w:pPr>
                    <w:pStyle w:val="36"/>
                    <w:snapToGrid w:val="0"/>
                    <w:rPr>
                      <w:color w:val="auto"/>
                      <w:highlight w:val="none"/>
                    </w:rPr>
                  </w:pPr>
                  <w:r>
                    <w:rPr>
                      <w:rFonts w:hint="eastAsia"/>
                      <w:color w:val="auto"/>
                      <w:highlight w:val="none"/>
                    </w:rPr>
                    <w:t>一类</w:t>
                  </w:r>
                </w:p>
                <w:p>
                  <w:pPr>
                    <w:pStyle w:val="36"/>
                    <w:widowControl/>
                    <w:textAlignment w:val="bottom"/>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pStyle w:val="36"/>
                    <w:widowControl/>
                    <w:textAlignment w:val="center"/>
                    <w:rPr>
                      <w:rFonts w:cs="Times New Roman"/>
                      <w:color w:val="auto"/>
                      <w:highlight w:val="none"/>
                    </w:rPr>
                  </w:pPr>
                  <w:r>
                    <w:rPr>
                      <w:rFonts w:hint="eastAsia"/>
                      <w:color w:val="auto"/>
                      <w:highlight w:val="none"/>
                    </w:rPr>
                    <w:t>2025-05-07</w:t>
                  </w:r>
                </w:p>
              </w:tc>
              <w:tc>
                <w:tcPr>
                  <w:tcW w:w="335" w:type="pct"/>
                  <w:noWrap/>
                  <w:vAlign w:val="center"/>
                </w:tcPr>
                <w:p>
                  <w:pPr>
                    <w:pStyle w:val="36"/>
                    <w:widowControl/>
                    <w:textAlignment w:val="center"/>
                    <w:rPr>
                      <w:rFonts w:cs="Times New Roman"/>
                      <w:color w:val="auto"/>
                      <w:highlight w:val="none"/>
                    </w:rPr>
                  </w:pPr>
                  <w:r>
                    <w:rPr>
                      <w:rFonts w:hint="eastAsia"/>
                      <w:color w:val="auto"/>
                      <w:highlight w:val="none"/>
                    </w:rPr>
                    <w:t>7.06</w:t>
                  </w:r>
                </w:p>
              </w:tc>
              <w:tc>
                <w:tcPr>
                  <w:tcW w:w="260" w:type="pct"/>
                  <w:noWrap/>
                  <w:vAlign w:val="center"/>
                </w:tcPr>
                <w:p>
                  <w:pPr>
                    <w:pStyle w:val="36"/>
                    <w:widowControl/>
                    <w:textAlignment w:val="center"/>
                    <w:rPr>
                      <w:rFonts w:cs="Times New Roman"/>
                      <w:color w:val="auto"/>
                      <w:highlight w:val="none"/>
                    </w:rPr>
                  </w:pPr>
                  <w:r>
                    <w:rPr>
                      <w:rFonts w:hint="eastAsia"/>
                      <w:color w:val="auto"/>
                      <w:highlight w:val="none"/>
                    </w:rPr>
                    <w:t>8.20</w:t>
                  </w:r>
                </w:p>
              </w:tc>
              <w:tc>
                <w:tcPr>
                  <w:tcW w:w="375" w:type="pct"/>
                  <w:noWrap/>
                  <w:vAlign w:val="center"/>
                </w:tcPr>
                <w:p>
                  <w:pPr>
                    <w:pStyle w:val="36"/>
                    <w:widowControl/>
                    <w:textAlignment w:val="center"/>
                    <w:rPr>
                      <w:rFonts w:cs="Times New Roman"/>
                      <w:color w:val="auto"/>
                      <w:highlight w:val="none"/>
                    </w:rPr>
                  </w:pPr>
                  <w:r>
                    <w:rPr>
                      <w:rFonts w:hint="eastAsia"/>
                      <w:color w:val="auto"/>
                      <w:highlight w:val="none"/>
                    </w:rPr>
                    <w:t>0.008</w:t>
                  </w:r>
                </w:p>
              </w:tc>
              <w:tc>
                <w:tcPr>
                  <w:tcW w:w="375" w:type="pct"/>
                  <w:noWrap/>
                  <w:vAlign w:val="center"/>
                </w:tcPr>
                <w:p>
                  <w:pPr>
                    <w:pStyle w:val="36"/>
                    <w:widowControl/>
                    <w:textAlignment w:val="center"/>
                    <w:rPr>
                      <w:rFonts w:cs="Times New Roman"/>
                      <w:color w:val="auto"/>
                      <w:highlight w:val="none"/>
                    </w:rPr>
                  </w:pPr>
                  <w:r>
                    <w:rPr>
                      <w:rFonts w:hint="eastAsia"/>
                      <w:color w:val="auto"/>
                      <w:highlight w:val="none"/>
                    </w:rPr>
                    <w:t>0.70</w:t>
                  </w:r>
                </w:p>
              </w:tc>
              <w:tc>
                <w:tcPr>
                  <w:tcW w:w="419" w:type="pct"/>
                  <w:noWrap/>
                  <w:vAlign w:val="center"/>
                </w:tcPr>
                <w:p>
                  <w:pPr>
                    <w:pStyle w:val="36"/>
                    <w:widowControl/>
                    <w:textAlignment w:val="center"/>
                    <w:rPr>
                      <w:rFonts w:cs="Times New Roman"/>
                      <w:color w:val="auto"/>
                      <w:highlight w:val="none"/>
                    </w:rPr>
                  </w:pPr>
                  <w:r>
                    <w:rPr>
                      <w:rFonts w:hint="eastAsia"/>
                      <w:color w:val="auto"/>
                      <w:highlight w:val="none"/>
                    </w:rPr>
                    <w:t>0.0114</w:t>
                  </w:r>
                </w:p>
              </w:tc>
              <w:tc>
                <w:tcPr>
                  <w:tcW w:w="375" w:type="pct"/>
                  <w:noWrap/>
                  <w:vAlign w:val="center"/>
                </w:tcPr>
                <w:p>
                  <w:pPr>
                    <w:pStyle w:val="36"/>
                    <w:widowControl/>
                    <w:textAlignment w:val="center"/>
                    <w:rPr>
                      <w:rFonts w:cs="Times New Roman"/>
                      <w:color w:val="auto"/>
                      <w:highlight w:val="none"/>
                    </w:rPr>
                  </w:pPr>
                  <w:r>
                    <w:rPr>
                      <w:rFonts w:hint="eastAsia"/>
                      <w:color w:val="auto"/>
                      <w:highlight w:val="none"/>
                    </w:rPr>
                    <w:t>0.010</w:t>
                  </w:r>
                </w:p>
              </w:tc>
              <w:tc>
                <w:tcPr>
                  <w:tcW w:w="498" w:type="pct"/>
                  <w:noWrap/>
                  <w:vAlign w:val="center"/>
                </w:tcPr>
                <w:p>
                  <w:pPr>
                    <w:pStyle w:val="36"/>
                    <w:widowControl/>
                    <w:textAlignment w:val="center"/>
                    <w:rPr>
                      <w:rFonts w:cs="Times New Roman"/>
                      <w:color w:val="auto"/>
                      <w:highlight w:val="none"/>
                    </w:rPr>
                  </w:pPr>
                  <w:r>
                    <w:rPr>
                      <w:rFonts w:hint="eastAsia"/>
                      <w:color w:val="auto"/>
                      <w:highlight w:val="none"/>
                    </w:rPr>
                    <w:t>一类</w:t>
                  </w:r>
                </w:p>
              </w:tc>
              <w:tc>
                <w:tcPr>
                  <w:tcW w:w="375" w:type="pct"/>
                  <w:vMerge w:val="continue"/>
                  <w:noWrap/>
                  <w:vAlign w:val="center"/>
                </w:tcPr>
                <w:p>
                  <w:pPr>
                    <w:pStyle w:val="36"/>
                    <w:widowControl/>
                    <w:textAlignment w:val="bottom"/>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539" w:type="pct"/>
                  <w:vMerge w:val="continue"/>
                  <w:noWrap/>
                  <w:vAlign w:val="center"/>
                </w:tcPr>
                <w:p>
                  <w:pPr>
                    <w:jc w:val="center"/>
                    <w:rPr>
                      <w:color w:val="auto"/>
                      <w:szCs w:val="21"/>
                      <w:highlight w:val="none"/>
                    </w:rPr>
                  </w:pPr>
                </w:p>
              </w:tc>
              <w:tc>
                <w:tcPr>
                  <w:tcW w:w="865" w:type="pct"/>
                  <w:vMerge w:val="continue"/>
                  <w:noWrap/>
                  <w:vAlign w:val="center"/>
                </w:tcPr>
                <w:p>
                  <w:pPr>
                    <w:jc w:val="center"/>
                    <w:rPr>
                      <w:color w:val="auto"/>
                      <w:szCs w:val="21"/>
                      <w:highlight w:val="none"/>
                    </w:rPr>
                  </w:pPr>
                </w:p>
              </w:tc>
              <w:tc>
                <w:tcPr>
                  <w:tcW w:w="580" w:type="pct"/>
                  <w:noWrap/>
                  <w:vAlign w:val="center"/>
                </w:tcPr>
                <w:p>
                  <w:pPr>
                    <w:pStyle w:val="36"/>
                    <w:widowControl/>
                    <w:textAlignment w:val="bottom"/>
                    <w:rPr>
                      <w:rFonts w:cs="Times New Roman"/>
                      <w:color w:val="auto"/>
                      <w:highlight w:val="none"/>
                    </w:rPr>
                  </w:pPr>
                  <w:r>
                    <w:rPr>
                      <w:rFonts w:hint="eastAsia"/>
                      <w:color w:val="auto"/>
                      <w:highlight w:val="none"/>
                    </w:rPr>
                    <w:t>2025-08-07</w:t>
                  </w:r>
                </w:p>
              </w:tc>
              <w:tc>
                <w:tcPr>
                  <w:tcW w:w="335" w:type="pct"/>
                  <w:noWrap/>
                  <w:vAlign w:val="center"/>
                </w:tcPr>
                <w:p>
                  <w:pPr>
                    <w:pStyle w:val="36"/>
                    <w:widowControl/>
                    <w:textAlignment w:val="bottom"/>
                    <w:rPr>
                      <w:rFonts w:cs="Times New Roman"/>
                      <w:color w:val="auto"/>
                      <w:highlight w:val="none"/>
                    </w:rPr>
                  </w:pPr>
                  <w:r>
                    <w:rPr>
                      <w:rFonts w:hint="eastAsia"/>
                      <w:color w:val="auto"/>
                      <w:highlight w:val="none"/>
                    </w:rPr>
                    <w:t>6.24</w:t>
                  </w:r>
                </w:p>
              </w:tc>
              <w:tc>
                <w:tcPr>
                  <w:tcW w:w="260" w:type="pct"/>
                  <w:noWrap/>
                  <w:vAlign w:val="center"/>
                </w:tcPr>
                <w:p>
                  <w:pPr>
                    <w:pStyle w:val="36"/>
                    <w:widowControl/>
                    <w:textAlignment w:val="bottom"/>
                    <w:rPr>
                      <w:rFonts w:cs="Times New Roman"/>
                      <w:color w:val="auto"/>
                      <w:highlight w:val="none"/>
                    </w:rPr>
                  </w:pPr>
                  <w:r>
                    <w:rPr>
                      <w:rFonts w:hint="eastAsia"/>
                      <w:color w:val="auto"/>
                      <w:highlight w:val="none"/>
                    </w:rPr>
                    <w:t>8.29</w:t>
                  </w:r>
                </w:p>
              </w:tc>
              <w:tc>
                <w:tcPr>
                  <w:tcW w:w="375" w:type="pct"/>
                  <w:noWrap/>
                  <w:vAlign w:val="center"/>
                </w:tcPr>
                <w:p>
                  <w:pPr>
                    <w:pStyle w:val="36"/>
                    <w:widowControl/>
                    <w:textAlignment w:val="bottom"/>
                    <w:rPr>
                      <w:rFonts w:cs="Times New Roman"/>
                      <w:color w:val="auto"/>
                      <w:highlight w:val="none"/>
                    </w:rPr>
                  </w:pPr>
                  <w:r>
                    <w:rPr>
                      <w:rFonts w:hint="eastAsia"/>
                      <w:b/>
                      <w:bCs/>
                      <w:color w:val="auto"/>
                      <w:highlight w:val="none"/>
                    </w:rPr>
                    <w:t>0.016</w:t>
                  </w:r>
                </w:p>
              </w:tc>
              <w:tc>
                <w:tcPr>
                  <w:tcW w:w="375" w:type="pct"/>
                  <w:noWrap/>
                  <w:vAlign w:val="center"/>
                </w:tcPr>
                <w:p>
                  <w:pPr>
                    <w:pStyle w:val="36"/>
                    <w:widowControl/>
                    <w:textAlignment w:val="bottom"/>
                    <w:rPr>
                      <w:rFonts w:cs="Times New Roman"/>
                      <w:color w:val="auto"/>
                      <w:highlight w:val="none"/>
                    </w:rPr>
                  </w:pPr>
                  <w:r>
                    <w:rPr>
                      <w:rFonts w:hint="eastAsia"/>
                      <w:color w:val="auto"/>
                      <w:highlight w:val="none"/>
                    </w:rPr>
                    <w:t>0.68</w:t>
                  </w:r>
                </w:p>
              </w:tc>
              <w:tc>
                <w:tcPr>
                  <w:tcW w:w="419" w:type="pct"/>
                  <w:noWrap/>
                  <w:vAlign w:val="center"/>
                </w:tcPr>
                <w:p>
                  <w:pPr>
                    <w:pStyle w:val="36"/>
                    <w:widowControl/>
                    <w:textAlignment w:val="bottom"/>
                    <w:rPr>
                      <w:rFonts w:cs="Times New Roman"/>
                      <w:color w:val="auto"/>
                      <w:highlight w:val="none"/>
                    </w:rPr>
                  </w:pPr>
                  <w:r>
                    <w:rPr>
                      <w:rFonts w:hint="eastAsia"/>
                      <w:color w:val="auto"/>
                      <w:highlight w:val="none"/>
                    </w:rPr>
                    <w:t>0.0107</w:t>
                  </w:r>
                </w:p>
              </w:tc>
              <w:tc>
                <w:tcPr>
                  <w:tcW w:w="375" w:type="pct"/>
                  <w:noWrap/>
                  <w:vAlign w:val="center"/>
                </w:tcPr>
                <w:p>
                  <w:pPr>
                    <w:pStyle w:val="36"/>
                    <w:widowControl/>
                    <w:textAlignment w:val="bottom"/>
                    <w:rPr>
                      <w:rFonts w:cs="Times New Roman"/>
                      <w:color w:val="auto"/>
                      <w:highlight w:val="none"/>
                    </w:rPr>
                  </w:pPr>
                  <w:r>
                    <w:rPr>
                      <w:rFonts w:hint="eastAsia"/>
                      <w:color w:val="auto"/>
                      <w:highlight w:val="none"/>
                    </w:rPr>
                    <w:t>0.085</w:t>
                  </w:r>
                </w:p>
              </w:tc>
              <w:tc>
                <w:tcPr>
                  <w:tcW w:w="498" w:type="pct"/>
                  <w:noWrap/>
                  <w:vAlign w:val="center"/>
                </w:tcPr>
                <w:p>
                  <w:pPr>
                    <w:pStyle w:val="36"/>
                    <w:widowControl/>
                    <w:textAlignment w:val="bottom"/>
                    <w:rPr>
                      <w:rFonts w:cs="Times New Roman"/>
                      <w:color w:val="auto"/>
                      <w:highlight w:val="none"/>
                    </w:rPr>
                  </w:pPr>
                  <w:r>
                    <w:rPr>
                      <w:rFonts w:hint="eastAsia"/>
                      <w:color w:val="auto"/>
                      <w:highlight w:val="none"/>
                    </w:rPr>
                    <w:t>二类</w:t>
                  </w:r>
                </w:p>
              </w:tc>
              <w:tc>
                <w:tcPr>
                  <w:tcW w:w="375" w:type="pct"/>
                  <w:vMerge w:val="continue"/>
                  <w:noWrap/>
                  <w:vAlign w:val="center"/>
                </w:tcPr>
                <w:p>
                  <w:pPr>
                    <w:pStyle w:val="36"/>
                    <w:widowControl/>
                    <w:textAlignment w:val="bottom"/>
                    <w:rPr>
                      <w:rFonts w:cs="Times New Roman"/>
                      <w:color w:val="auto"/>
                      <w:highlight w:val="none"/>
                    </w:rPr>
                  </w:pPr>
                </w:p>
              </w:tc>
            </w:tr>
          </w:tbl>
          <w:p>
            <w:pPr>
              <w:pStyle w:val="4"/>
              <w:rPr>
                <w:color w:val="auto"/>
                <w:highlight w:val="none"/>
              </w:rPr>
            </w:pPr>
            <w:r>
              <w:rPr>
                <w:rFonts w:hint="eastAsia"/>
                <w:color w:val="auto"/>
                <w:highlight w:val="none"/>
              </w:rPr>
              <w:t>3.1.4声环境质量现状</w:t>
            </w:r>
          </w:p>
          <w:p>
            <w:pPr>
              <w:pStyle w:val="8"/>
              <w:rPr>
                <w:color w:val="auto"/>
                <w:highlight w:val="none"/>
              </w:rPr>
            </w:pPr>
            <w:r>
              <w:rPr>
                <w:rFonts w:hint="eastAsia"/>
                <w:color w:val="auto"/>
                <w:highlight w:val="none"/>
              </w:rPr>
              <w:t>（1）声环境质量标准</w:t>
            </w:r>
          </w:p>
          <w:p>
            <w:pPr>
              <w:widowControl/>
              <w:spacing w:line="360" w:lineRule="auto"/>
              <w:ind w:firstLine="480" w:firstLineChars="200"/>
              <w:jc w:val="left"/>
              <w:rPr>
                <w:color w:val="auto"/>
                <w:sz w:val="24"/>
                <w:highlight w:val="none"/>
              </w:rPr>
            </w:pPr>
            <w:r>
              <w:rPr>
                <w:color w:val="auto"/>
                <w:kern w:val="0"/>
                <w:sz w:val="24"/>
                <w:szCs w:val="28"/>
                <w:highlight w:val="none"/>
              </w:rPr>
              <w:t>根据《福清市人民政府办公室关于印发福清市城市建成区声环境功能区划的通知》融政办〔2022〕48号可知，项目所在区域划为3类功能区</w:t>
            </w:r>
            <w:r>
              <w:rPr>
                <w:rFonts w:hint="eastAsia"/>
                <w:color w:val="auto"/>
                <w:kern w:val="0"/>
                <w:sz w:val="24"/>
                <w:szCs w:val="28"/>
                <w:highlight w:val="none"/>
              </w:rPr>
              <w:t>，</w:t>
            </w:r>
            <w:r>
              <w:rPr>
                <w:color w:val="auto"/>
                <w:kern w:val="0"/>
                <w:sz w:val="24"/>
                <w:szCs w:val="28"/>
                <w:highlight w:val="none"/>
              </w:rPr>
              <w:t>执行GB3096-2008《声环境质量标准》中的3类标准</w:t>
            </w:r>
            <w:r>
              <w:rPr>
                <w:rFonts w:hint="eastAsia"/>
                <w:color w:val="auto"/>
                <w:kern w:val="0"/>
                <w:sz w:val="24"/>
                <w:szCs w:val="28"/>
                <w:highlight w:val="none"/>
              </w:rPr>
              <w:t>，详见表3-5</w:t>
            </w:r>
            <w:r>
              <w:rPr>
                <w:rFonts w:hint="eastAsia"/>
                <w:color w:val="auto"/>
                <w:sz w:val="24"/>
                <w:highlight w:val="none"/>
              </w:rPr>
              <w:t>。</w:t>
            </w:r>
          </w:p>
          <w:p>
            <w:pPr>
              <w:widowControl/>
              <w:ind w:firstLine="482" w:firstLineChars="200"/>
              <w:jc w:val="center"/>
              <w:rPr>
                <w:b/>
                <w:bCs/>
                <w:color w:val="auto"/>
                <w:sz w:val="24"/>
                <w:highlight w:val="none"/>
              </w:rPr>
            </w:pPr>
            <w:r>
              <w:rPr>
                <w:rFonts w:hint="eastAsia"/>
                <w:b/>
                <w:bCs/>
                <w:color w:val="auto"/>
                <w:sz w:val="24"/>
                <w:highlight w:val="none"/>
              </w:rPr>
              <w:t>表3-5《声环境质量标准》（</w:t>
            </w:r>
            <w:r>
              <w:rPr>
                <w:b/>
                <w:bCs/>
                <w:color w:val="auto"/>
                <w:sz w:val="24"/>
                <w:highlight w:val="none"/>
              </w:rPr>
              <w:t>GB3096-2008</w:t>
            </w:r>
            <w:r>
              <w:rPr>
                <w:rFonts w:hint="eastAsia"/>
                <w:b/>
                <w:bCs/>
                <w:color w:val="auto"/>
                <w:sz w:val="24"/>
                <w:highlight w:val="none"/>
              </w:rPr>
              <w:t>）</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5318"/>
              <w:gridCol w:w="818"/>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811" w:type="pct"/>
                  <w:vAlign w:val="center"/>
                </w:tcPr>
                <w:p>
                  <w:pPr>
                    <w:jc w:val="center"/>
                    <w:rPr>
                      <w:color w:val="auto"/>
                      <w:szCs w:val="21"/>
                      <w:highlight w:val="none"/>
                    </w:rPr>
                  </w:pPr>
                  <w:r>
                    <w:rPr>
                      <w:color w:val="auto"/>
                      <w:szCs w:val="21"/>
                      <w:highlight w:val="none"/>
                    </w:rPr>
                    <w:t>类别</w:t>
                  </w:r>
                </w:p>
              </w:tc>
              <w:tc>
                <w:tcPr>
                  <w:tcW w:w="3243" w:type="pct"/>
                  <w:vAlign w:val="center"/>
                </w:tcPr>
                <w:p>
                  <w:pPr>
                    <w:jc w:val="center"/>
                    <w:rPr>
                      <w:color w:val="auto"/>
                      <w:szCs w:val="21"/>
                      <w:highlight w:val="none"/>
                    </w:rPr>
                  </w:pPr>
                  <w:r>
                    <w:rPr>
                      <w:color w:val="auto"/>
                      <w:szCs w:val="21"/>
                      <w:highlight w:val="none"/>
                    </w:rPr>
                    <w:t>适用区域</w:t>
                  </w:r>
                </w:p>
              </w:tc>
              <w:tc>
                <w:tcPr>
                  <w:tcW w:w="499" w:type="pct"/>
                  <w:vAlign w:val="center"/>
                </w:tcPr>
                <w:p>
                  <w:pPr>
                    <w:jc w:val="center"/>
                    <w:rPr>
                      <w:color w:val="auto"/>
                      <w:szCs w:val="21"/>
                      <w:highlight w:val="none"/>
                    </w:rPr>
                  </w:pPr>
                  <w:r>
                    <w:rPr>
                      <w:color w:val="auto"/>
                      <w:szCs w:val="21"/>
                      <w:highlight w:val="none"/>
                    </w:rPr>
                    <w:t>昼间</w:t>
                  </w:r>
                </w:p>
              </w:tc>
              <w:tc>
                <w:tcPr>
                  <w:tcW w:w="445" w:type="pct"/>
                  <w:vAlign w:val="center"/>
                </w:tcPr>
                <w:p>
                  <w:pPr>
                    <w:jc w:val="center"/>
                    <w:rPr>
                      <w:color w:val="auto"/>
                      <w:szCs w:val="21"/>
                      <w:highlight w:val="none"/>
                    </w:rPr>
                  </w:pPr>
                  <w:r>
                    <w:rPr>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811" w:type="pct"/>
                  <w:vAlign w:val="center"/>
                </w:tcPr>
                <w:p>
                  <w:pPr>
                    <w:jc w:val="center"/>
                    <w:rPr>
                      <w:color w:val="auto"/>
                      <w:szCs w:val="21"/>
                      <w:highlight w:val="none"/>
                    </w:rPr>
                  </w:pPr>
                  <w:r>
                    <w:rPr>
                      <w:rFonts w:hint="eastAsia"/>
                      <w:color w:val="auto"/>
                      <w:szCs w:val="21"/>
                      <w:highlight w:val="none"/>
                    </w:rPr>
                    <w:t>3</w:t>
                  </w:r>
                  <w:r>
                    <w:rPr>
                      <w:color w:val="auto"/>
                      <w:szCs w:val="21"/>
                      <w:highlight w:val="none"/>
                    </w:rPr>
                    <w:t>类</w:t>
                  </w:r>
                </w:p>
              </w:tc>
              <w:tc>
                <w:tcPr>
                  <w:tcW w:w="3243" w:type="pct"/>
                  <w:vAlign w:val="center"/>
                </w:tcPr>
                <w:p>
                  <w:pPr>
                    <w:jc w:val="center"/>
                    <w:rPr>
                      <w:color w:val="auto"/>
                      <w:szCs w:val="21"/>
                      <w:highlight w:val="none"/>
                    </w:rPr>
                  </w:pPr>
                  <w:r>
                    <w:rPr>
                      <w:color w:val="auto"/>
                      <w:szCs w:val="21"/>
                      <w:highlight w:val="none"/>
                    </w:rPr>
                    <w:t>以工业生产、仓储物流为主要功能，需要防止工业噪声对周围环境产生严重影响的区域</w:t>
                  </w:r>
                </w:p>
              </w:tc>
              <w:tc>
                <w:tcPr>
                  <w:tcW w:w="499" w:type="pct"/>
                  <w:vAlign w:val="center"/>
                </w:tcPr>
                <w:p>
                  <w:pPr>
                    <w:jc w:val="center"/>
                    <w:rPr>
                      <w:color w:val="auto"/>
                      <w:szCs w:val="21"/>
                      <w:highlight w:val="none"/>
                    </w:rPr>
                  </w:pPr>
                  <w:r>
                    <w:rPr>
                      <w:color w:val="auto"/>
                      <w:szCs w:val="21"/>
                      <w:highlight w:val="none"/>
                    </w:rPr>
                    <w:t>6</w:t>
                  </w:r>
                  <w:r>
                    <w:rPr>
                      <w:rFonts w:hint="eastAsia"/>
                      <w:color w:val="auto"/>
                      <w:szCs w:val="21"/>
                      <w:highlight w:val="none"/>
                    </w:rPr>
                    <w:t>5</w:t>
                  </w:r>
                </w:p>
              </w:tc>
              <w:tc>
                <w:tcPr>
                  <w:tcW w:w="445" w:type="pct"/>
                  <w:vAlign w:val="center"/>
                </w:tcPr>
                <w:p>
                  <w:pPr>
                    <w:jc w:val="center"/>
                    <w:rPr>
                      <w:color w:val="auto"/>
                      <w:szCs w:val="21"/>
                      <w:highlight w:val="none"/>
                    </w:rPr>
                  </w:pPr>
                  <w:r>
                    <w:rPr>
                      <w:color w:val="auto"/>
                      <w:szCs w:val="21"/>
                      <w:highlight w:val="none"/>
                    </w:rPr>
                    <w:t>5</w:t>
                  </w:r>
                  <w:r>
                    <w:rPr>
                      <w:rFonts w:hint="eastAsia"/>
                      <w:color w:val="auto"/>
                      <w:szCs w:val="21"/>
                      <w:highlight w:val="none"/>
                    </w:rPr>
                    <w:t>5</w:t>
                  </w:r>
                </w:p>
              </w:tc>
            </w:tr>
          </w:tbl>
          <w:p>
            <w:pPr>
              <w:pStyle w:val="8"/>
              <w:rPr>
                <w:color w:val="auto"/>
                <w:highlight w:val="none"/>
              </w:rPr>
            </w:pPr>
            <w:r>
              <w:rPr>
                <w:rFonts w:hint="eastAsia"/>
                <w:color w:val="auto"/>
                <w:highlight w:val="none"/>
              </w:rPr>
              <w:t>（2）声环境质量现状</w:t>
            </w:r>
          </w:p>
          <w:p>
            <w:pPr>
              <w:spacing w:line="360" w:lineRule="auto"/>
              <w:ind w:firstLine="480" w:firstLineChars="200"/>
              <w:rPr>
                <w:color w:val="auto"/>
                <w:sz w:val="24"/>
                <w:highlight w:val="none"/>
              </w:rPr>
            </w:pPr>
            <w:r>
              <w:rPr>
                <w:rFonts w:hint="eastAsia"/>
                <w:color w:val="auto"/>
                <w:sz w:val="24"/>
                <w:highlight w:val="none"/>
              </w:rPr>
              <w:t>本项目声环境评价范围厂界外周边</w:t>
            </w:r>
            <w:r>
              <w:rPr>
                <w:color w:val="auto"/>
                <w:sz w:val="24"/>
                <w:highlight w:val="none"/>
              </w:rPr>
              <w:t>50</w:t>
            </w:r>
            <w:r>
              <w:rPr>
                <w:rFonts w:hint="eastAsia"/>
                <w:color w:val="auto"/>
                <w:sz w:val="24"/>
                <w:highlight w:val="none"/>
              </w:rPr>
              <w:t>米范围内无声环境保护目标，依据《建设项目环境影响报告表编制技术指南（污染影响类）（试行）》，故本项目不需要开展声环境现状监测。</w:t>
            </w:r>
          </w:p>
          <w:p>
            <w:pPr>
              <w:pStyle w:val="4"/>
              <w:rPr>
                <w:color w:val="auto"/>
                <w:highlight w:val="none"/>
              </w:rPr>
            </w:pPr>
            <w:r>
              <w:rPr>
                <w:rFonts w:hint="eastAsia"/>
                <w:color w:val="auto"/>
                <w:highlight w:val="none"/>
              </w:rPr>
              <w:t>3.1.5生态环境</w:t>
            </w:r>
          </w:p>
          <w:p>
            <w:pPr>
              <w:pStyle w:val="4"/>
              <w:ind w:firstLine="480" w:firstLineChars="200"/>
              <w:rPr>
                <w:b w:val="0"/>
                <w:bCs w:val="0"/>
                <w:color w:val="auto"/>
                <w:highlight w:val="none"/>
                <w:lang w:val="zh-CN"/>
              </w:rPr>
            </w:pPr>
            <w:r>
              <w:rPr>
                <w:rFonts w:hint="eastAsia"/>
                <w:b w:val="0"/>
                <w:bCs w:val="0"/>
                <w:color w:val="auto"/>
                <w:highlight w:val="none"/>
              </w:rPr>
              <w:t>本项目利用在核电厂区内进行建设，未新征土地用地面积</w:t>
            </w:r>
            <w:r>
              <w:rPr>
                <w:b w:val="0"/>
                <w:bCs w:val="0"/>
                <w:color w:val="auto"/>
                <w:highlight w:val="none"/>
                <w:lang w:val="zh-CN"/>
              </w:rPr>
              <w:t>，</w:t>
            </w:r>
            <w:r>
              <w:rPr>
                <w:rFonts w:hint="eastAsia"/>
                <w:b w:val="0"/>
                <w:bCs w:val="0"/>
                <w:color w:val="auto"/>
                <w:highlight w:val="none"/>
              </w:rPr>
              <w:t>排放口所在海域为核电厂温排区，属于三类区功能</w:t>
            </w:r>
            <w:r>
              <w:rPr>
                <w:b w:val="0"/>
                <w:bCs w:val="0"/>
                <w:color w:val="auto"/>
                <w:highlight w:val="none"/>
                <w:lang w:val="zh-CN"/>
              </w:rPr>
              <w:t>，</w:t>
            </w:r>
            <w:r>
              <w:rPr>
                <w:rFonts w:hint="eastAsia"/>
                <w:b w:val="0"/>
                <w:bCs w:val="0"/>
                <w:color w:val="auto"/>
                <w:highlight w:val="none"/>
              </w:rPr>
              <w:t>三类功能区内无生态敏感目标分布</w:t>
            </w:r>
            <w:r>
              <w:rPr>
                <w:b w:val="0"/>
                <w:bCs w:val="0"/>
                <w:color w:val="auto"/>
                <w:highlight w:val="none"/>
                <w:lang w:val="zh-CN"/>
              </w:rPr>
              <w:t>，本环评不对生态环境现状进行评价。</w:t>
            </w:r>
          </w:p>
          <w:p>
            <w:pPr>
              <w:pStyle w:val="4"/>
              <w:rPr>
                <w:color w:val="auto"/>
                <w:highlight w:val="none"/>
              </w:rPr>
            </w:pPr>
            <w:r>
              <w:rPr>
                <w:rFonts w:hint="eastAsia"/>
                <w:color w:val="auto"/>
                <w:highlight w:val="none"/>
              </w:rPr>
              <w:t>3.1.6电磁辐射</w:t>
            </w:r>
          </w:p>
          <w:p>
            <w:pPr>
              <w:widowControl/>
              <w:spacing w:line="360" w:lineRule="auto"/>
              <w:ind w:firstLine="480" w:firstLineChars="200"/>
              <w:jc w:val="left"/>
              <w:rPr>
                <w:color w:val="auto"/>
                <w:sz w:val="24"/>
                <w:highlight w:val="none"/>
              </w:rPr>
            </w:pPr>
            <w:r>
              <w:rPr>
                <w:rFonts w:hint="eastAsia"/>
                <w:color w:val="auto"/>
                <w:sz w:val="24"/>
                <w:highlight w:val="none"/>
              </w:rPr>
              <w:t>本项目不属于新建或改建、扩建广播电台、差转台、电视塔台、卫星地球上行站、雷达等电磁辐射类项目，不需要开展电磁辐射现状监测与评价。</w:t>
            </w:r>
          </w:p>
          <w:p>
            <w:pPr>
              <w:pStyle w:val="4"/>
              <w:rPr>
                <w:color w:val="auto"/>
                <w:highlight w:val="none"/>
              </w:rPr>
            </w:pPr>
            <w:r>
              <w:rPr>
                <w:rFonts w:hint="eastAsia"/>
                <w:color w:val="auto"/>
                <w:highlight w:val="none"/>
              </w:rPr>
              <w:t>3.1.7土壤、地下水环境</w:t>
            </w:r>
          </w:p>
          <w:p>
            <w:pPr>
              <w:adjustRightInd w:val="0"/>
              <w:snapToGrid w:val="0"/>
              <w:spacing w:line="360" w:lineRule="auto"/>
              <w:ind w:firstLine="480" w:firstLineChars="200"/>
              <w:rPr>
                <w:color w:val="auto"/>
                <w:sz w:val="24"/>
                <w:highlight w:val="none"/>
              </w:rPr>
            </w:pPr>
            <w:r>
              <w:rPr>
                <w:color w:val="auto"/>
                <w:sz w:val="24"/>
                <w:highlight w:val="none"/>
              </w:rPr>
              <w:t>根据《建设项目环境影响报告表编制技术指南</w:t>
            </w:r>
            <w:r>
              <w:rPr>
                <w:rFonts w:hint="eastAsia"/>
                <w:color w:val="auto"/>
                <w:sz w:val="24"/>
                <w:highlight w:val="none"/>
              </w:rPr>
              <w:t>（</w:t>
            </w:r>
            <w:r>
              <w:rPr>
                <w:color w:val="auto"/>
                <w:sz w:val="24"/>
                <w:highlight w:val="none"/>
              </w:rPr>
              <w:t>污染影响类</w:t>
            </w:r>
            <w:r>
              <w:rPr>
                <w:rFonts w:hint="eastAsia"/>
                <w:color w:val="auto"/>
                <w:sz w:val="24"/>
                <w:highlight w:val="none"/>
              </w:rPr>
              <w:t>）（</w:t>
            </w:r>
            <w:r>
              <w:rPr>
                <w:color w:val="auto"/>
                <w:sz w:val="24"/>
                <w:highlight w:val="none"/>
              </w:rPr>
              <w:t>试行</w:t>
            </w:r>
            <w:r>
              <w:rPr>
                <w:rFonts w:hint="eastAsia"/>
                <w:color w:val="auto"/>
                <w:sz w:val="24"/>
                <w:highlight w:val="none"/>
              </w:rPr>
              <w:t>）</w:t>
            </w:r>
            <w:r>
              <w:rPr>
                <w:color w:val="auto"/>
                <w:sz w:val="24"/>
                <w:highlight w:val="none"/>
              </w:rPr>
              <w:t>》</w:t>
            </w:r>
            <w:r>
              <w:rPr>
                <w:rFonts w:hint="eastAsia"/>
                <w:color w:val="auto"/>
                <w:sz w:val="24"/>
                <w:highlight w:val="none"/>
              </w:rPr>
              <w:t>（</w:t>
            </w:r>
            <w:r>
              <w:rPr>
                <w:color w:val="auto"/>
                <w:sz w:val="24"/>
                <w:highlight w:val="none"/>
              </w:rPr>
              <w:t>环办环评〔2020〕33号</w:t>
            </w:r>
            <w:r>
              <w:rPr>
                <w:rFonts w:hint="eastAsia"/>
                <w:color w:val="auto"/>
                <w:sz w:val="24"/>
                <w:highlight w:val="none"/>
              </w:rPr>
              <w:t>）规定，“</w:t>
            </w:r>
            <w:r>
              <w:rPr>
                <w:color w:val="auto"/>
                <w:sz w:val="24"/>
                <w:highlight w:val="none"/>
              </w:rPr>
              <w:t>地下水、土壤环境</w:t>
            </w:r>
            <w:r>
              <w:rPr>
                <w:rFonts w:hint="eastAsia"/>
                <w:color w:val="auto"/>
                <w:sz w:val="24"/>
                <w:highlight w:val="none"/>
              </w:rPr>
              <w:t>原则上不开展环境质量现状调查。建设项目存在土壤、地下水环境污染途径的，应结合污染源、保护目标分布情况开展现状调查以留作背景值。”</w:t>
            </w:r>
          </w:p>
          <w:p>
            <w:pPr>
              <w:spacing w:line="360" w:lineRule="auto"/>
              <w:ind w:firstLine="480" w:firstLineChars="200"/>
              <w:rPr>
                <w:color w:val="auto"/>
                <w:szCs w:val="21"/>
                <w:highlight w:val="none"/>
              </w:rPr>
            </w:pPr>
            <w:r>
              <w:rPr>
                <w:rFonts w:hint="eastAsia"/>
                <w:color w:val="auto"/>
                <w:sz w:val="24"/>
                <w:highlight w:val="none"/>
              </w:rPr>
              <w:t>本项目利用现有已建厂区作为生产经营场所，根据调查，目前用地范围已场地平整，生产过程中不排放重点重金属或持久性有机污染物，严格按照要求进行分区防渗防控，</w:t>
            </w:r>
            <w:r>
              <w:rPr>
                <w:color w:val="auto"/>
                <w:sz w:val="24"/>
                <w:highlight w:val="none"/>
              </w:rPr>
              <w:t>采取有效的防渗措施</w:t>
            </w:r>
            <w:r>
              <w:rPr>
                <w:rFonts w:hint="eastAsia"/>
                <w:color w:val="auto"/>
                <w:sz w:val="24"/>
                <w:highlight w:val="none"/>
              </w:rPr>
              <w:t>；</w:t>
            </w:r>
            <w:r>
              <w:rPr>
                <w:color w:val="auto"/>
                <w:sz w:val="24"/>
                <w:highlight w:val="none"/>
              </w:rPr>
              <w:t>根据</w:t>
            </w:r>
            <w:r>
              <w:rPr>
                <w:rFonts w:hint="eastAsia"/>
                <w:color w:val="auto"/>
                <w:sz w:val="24"/>
                <w:highlight w:val="none"/>
              </w:rPr>
              <w:t>调查，项目周边地下水、土壤环境相对不敏感，</w:t>
            </w:r>
            <w:r>
              <w:rPr>
                <w:color w:val="auto"/>
                <w:sz w:val="24"/>
                <w:highlight w:val="none"/>
              </w:rPr>
              <w:t>项目对地下水、土壤环境影响很小，因此，本评价不对项目地下水、土壤环境质量进行补充监测。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66" w:type="dxa"/>
            <w:vAlign w:val="center"/>
          </w:tcPr>
          <w:p>
            <w:pPr>
              <w:rPr>
                <w:color w:val="auto"/>
                <w:highlight w:val="none"/>
              </w:rPr>
            </w:pPr>
            <w:r>
              <w:rPr>
                <w:rFonts w:hint="eastAsia"/>
                <w:color w:val="auto"/>
                <w:highlight w:val="none"/>
              </w:rPr>
              <w:t>环境</w:t>
            </w:r>
          </w:p>
          <w:p>
            <w:pPr>
              <w:rPr>
                <w:color w:val="auto"/>
                <w:highlight w:val="none"/>
              </w:rPr>
            </w:pPr>
            <w:r>
              <w:rPr>
                <w:rFonts w:hint="eastAsia"/>
                <w:color w:val="auto"/>
                <w:highlight w:val="none"/>
              </w:rPr>
              <w:t>保护</w:t>
            </w:r>
          </w:p>
          <w:p>
            <w:pPr>
              <w:rPr>
                <w:color w:val="auto"/>
                <w:highlight w:val="none"/>
              </w:rPr>
            </w:pPr>
            <w:r>
              <w:rPr>
                <w:rFonts w:hint="eastAsia"/>
                <w:color w:val="auto"/>
                <w:highlight w:val="none"/>
              </w:rPr>
              <w:t>目标</w:t>
            </w:r>
          </w:p>
        </w:tc>
        <w:tc>
          <w:tcPr>
            <w:tcW w:w="8424" w:type="dxa"/>
            <w:vAlign w:val="center"/>
          </w:tcPr>
          <w:p>
            <w:pPr>
              <w:pStyle w:val="3"/>
              <w:rPr>
                <w:color w:val="auto"/>
                <w:highlight w:val="none"/>
              </w:rPr>
            </w:pPr>
            <w:bookmarkStart w:id="25" w:name="_Toc4207"/>
            <w:bookmarkStart w:id="26" w:name="_Toc10395"/>
            <w:r>
              <w:rPr>
                <w:rFonts w:hint="eastAsia"/>
                <w:color w:val="auto"/>
                <w:highlight w:val="none"/>
              </w:rPr>
              <w:t>3.2环境保护目标</w:t>
            </w:r>
            <w:bookmarkEnd w:id="25"/>
            <w:bookmarkEnd w:id="26"/>
          </w:p>
          <w:p>
            <w:pPr>
              <w:pStyle w:val="4"/>
              <w:rPr>
                <w:color w:val="auto"/>
                <w:highlight w:val="none"/>
              </w:rPr>
            </w:pPr>
            <w:r>
              <w:rPr>
                <w:color w:val="auto"/>
                <w:highlight w:val="none"/>
              </w:rPr>
              <w:t>3.2.1大气环境</w:t>
            </w:r>
          </w:p>
          <w:p>
            <w:pPr>
              <w:pStyle w:val="8"/>
              <w:rPr>
                <w:color w:val="auto"/>
                <w:highlight w:val="none"/>
              </w:rPr>
            </w:pPr>
            <w:r>
              <w:rPr>
                <w:color w:val="auto"/>
                <w:highlight w:val="none"/>
              </w:rPr>
              <w:t>本项目边界外500米范围内不涉及自然保护区、风景名胜区、居住区、文化区和农村地区中人群较集中的区域等大气环境保护目标。</w:t>
            </w:r>
          </w:p>
          <w:p>
            <w:pPr>
              <w:pStyle w:val="4"/>
              <w:rPr>
                <w:color w:val="auto"/>
                <w:highlight w:val="none"/>
              </w:rPr>
            </w:pPr>
            <w:r>
              <w:rPr>
                <w:color w:val="auto"/>
                <w:highlight w:val="none"/>
              </w:rPr>
              <w:t>3.2.2声环境</w:t>
            </w:r>
          </w:p>
          <w:p>
            <w:pPr>
              <w:pStyle w:val="8"/>
              <w:rPr>
                <w:color w:val="auto"/>
                <w:highlight w:val="none"/>
              </w:rPr>
            </w:pPr>
            <w:r>
              <w:rPr>
                <w:color w:val="auto"/>
                <w:highlight w:val="none"/>
              </w:rPr>
              <w:t>本项目边界外50米范围内无声环境保护目标。</w:t>
            </w:r>
          </w:p>
          <w:p>
            <w:pPr>
              <w:pStyle w:val="4"/>
              <w:rPr>
                <w:color w:val="auto"/>
                <w:highlight w:val="none"/>
              </w:rPr>
            </w:pPr>
            <w:r>
              <w:rPr>
                <w:color w:val="auto"/>
                <w:highlight w:val="none"/>
              </w:rPr>
              <w:t>3.2.3地下水环境</w:t>
            </w:r>
          </w:p>
          <w:p>
            <w:pPr>
              <w:pStyle w:val="8"/>
              <w:rPr>
                <w:color w:val="auto"/>
                <w:highlight w:val="none"/>
              </w:rPr>
            </w:pPr>
            <w:r>
              <w:rPr>
                <w:color w:val="auto"/>
                <w:highlight w:val="none"/>
              </w:rPr>
              <w:t>本项目边界外500米范围</w:t>
            </w:r>
            <w:r>
              <w:rPr>
                <w:rFonts w:hint="eastAsia"/>
                <w:color w:val="auto"/>
                <w:highlight w:val="none"/>
              </w:rPr>
              <w:t>内</w:t>
            </w:r>
            <w:r>
              <w:rPr>
                <w:color w:val="auto"/>
                <w:highlight w:val="none"/>
              </w:rPr>
              <w:t>不涉及地下水集中式饮用水水源和热水、矿泉水、温泉等特殊地下水资源等地下水环境保护目标。</w:t>
            </w:r>
          </w:p>
          <w:p>
            <w:pPr>
              <w:pStyle w:val="4"/>
              <w:rPr>
                <w:color w:val="auto"/>
                <w:highlight w:val="none"/>
              </w:rPr>
            </w:pPr>
            <w:r>
              <w:rPr>
                <w:color w:val="auto"/>
                <w:highlight w:val="none"/>
              </w:rPr>
              <w:t>3.2.4</w:t>
            </w:r>
            <w:r>
              <w:rPr>
                <w:rFonts w:hint="eastAsia"/>
                <w:color w:val="auto"/>
                <w:highlight w:val="none"/>
              </w:rPr>
              <w:t>陆域</w:t>
            </w:r>
            <w:r>
              <w:rPr>
                <w:color w:val="auto"/>
                <w:highlight w:val="none"/>
              </w:rPr>
              <w:t>生态环境</w:t>
            </w:r>
          </w:p>
          <w:p>
            <w:pPr>
              <w:pStyle w:val="8"/>
              <w:rPr>
                <w:color w:val="auto"/>
                <w:highlight w:val="none"/>
              </w:rPr>
            </w:pPr>
            <w:r>
              <w:rPr>
                <w:color w:val="auto"/>
                <w:highlight w:val="none"/>
              </w:rPr>
              <w:t>本项目在现有核电厂厂区内建设，不新增用地，故无新增生态环境保护目标。</w:t>
            </w:r>
          </w:p>
          <w:p>
            <w:pPr>
              <w:pStyle w:val="4"/>
              <w:rPr>
                <w:color w:val="auto"/>
                <w:highlight w:val="none"/>
              </w:rPr>
            </w:pPr>
            <w:r>
              <w:rPr>
                <w:rFonts w:hint="eastAsia"/>
                <w:color w:val="auto"/>
                <w:highlight w:val="none"/>
              </w:rPr>
              <w:t>3.2.5</w:t>
            </w:r>
            <w:r>
              <w:rPr>
                <w:color w:val="auto"/>
                <w:highlight w:val="none"/>
              </w:rPr>
              <w:t>海洋环境</w:t>
            </w:r>
          </w:p>
          <w:p>
            <w:pPr>
              <w:pStyle w:val="8"/>
              <w:rPr>
                <w:color w:val="auto"/>
                <w:highlight w:val="none"/>
              </w:rPr>
            </w:pPr>
            <w:r>
              <w:rPr>
                <w:color w:val="auto"/>
                <w:highlight w:val="none"/>
              </w:rPr>
              <w:t>本项目</w:t>
            </w:r>
            <w:r>
              <w:rPr>
                <w:rFonts w:hint="eastAsia"/>
                <w:color w:val="auto"/>
                <w:highlight w:val="none"/>
              </w:rPr>
              <w:t>排放口距离最近的“兴化湾水鸟省级自然保护区”约</w:t>
            </w:r>
            <w:r>
              <w:rPr>
                <w:rFonts w:hint="eastAsia"/>
                <w:color w:val="auto"/>
                <w:highlight w:val="none"/>
                <w:lang w:val="en-US" w:eastAsia="zh-CN"/>
              </w:rPr>
              <w:t>**</w:t>
            </w:r>
            <w:r>
              <w:rPr>
                <w:rFonts w:hint="eastAsia"/>
                <w:color w:val="auto"/>
                <w:highlight w:val="none"/>
              </w:rPr>
              <w:t>，距离优先保护单元“兴化湾前薛-牛头尾一般生态空间</w:t>
            </w:r>
            <w:r>
              <w:rPr>
                <w:rFonts w:hint="eastAsia"/>
                <w:color w:val="auto"/>
                <w:highlight w:val="none"/>
                <w:lang w:val="en-US" w:eastAsia="zh-CN"/>
              </w:rPr>
              <w:t>**</w:t>
            </w:r>
            <w:r>
              <w:rPr>
                <w:rFonts w:hint="eastAsia"/>
                <w:color w:val="auto"/>
                <w:highlight w:val="none"/>
              </w:rPr>
              <w:t>（附图7），项目废水排放依托现有的排放口，不新增污染物排放量。根据项目与福清市养殖水域滩涂规划位置关系图（附图5）可知，现有厂区总排放口位于</w:t>
            </w:r>
            <w:r>
              <w:rPr>
                <w:rFonts w:hint="eastAsia"/>
                <w:color w:val="auto"/>
                <w:highlight w:val="none"/>
                <w:lang w:val="en-US" w:eastAsia="zh-CN"/>
              </w:rPr>
              <w:t>**</w:t>
            </w: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66" w:type="dxa"/>
            <w:tcMar>
              <w:left w:w="28" w:type="dxa"/>
              <w:right w:w="28" w:type="dxa"/>
            </w:tcMar>
            <w:vAlign w:val="center"/>
          </w:tcPr>
          <w:p>
            <w:pPr>
              <w:rPr>
                <w:color w:val="auto"/>
                <w:highlight w:val="none"/>
              </w:rPr>
            </w:pPr>
            <w:r>
              <w:rPr>
                <w:rFonts w:hint="eastAsia"/>
                <w:color w:val="auto"/>
                <w:highlight w:val="none"/>
              </w:rPr>
              <w:t>污染</w:t>
            </w:r>
          </w:p>
          <w:p>
            <w:pPr>
              <w:rPr>
                <w:color w:val="auto"/>
                <w:highlight w:val="none"/>
              </w:rPr>
            </w:pPr>
            <w:r>
              <w:rPr>
                <w:rFonts w:hint="eastAsia"/>
                <w:color w:val="auto"/>
                <w:highlight w:val="none"/>
              </w:rPr>
              <w:t>物排</w:t>
            </w:r>
          </w:p>
          <w:p>
            <w:pPr>
              <w:rPr>
                <w:color w:val="auto"/>
                <w:highlight w:val="none"/>
              </w:rPr>
            </w:pPr>
            <w:r>
              <w:rPr>
                <w:rFonts w:hint="eastAsia"/>
                <w:color w:val="auto"/>
                <w:highlight w:val="none"/>
              </w:rPr>
              <w:t>放控</w:t>
            </w:r>
          </w:p>
          <w:p>
            <w:pPr>
              <w:rPr>
                <w:color w:val="auto"/>
                <w:highlight w:val="none"/>
              </w:rPr>
            </w:pPr>
            <w:r>
              <w:rPr>
                <w:rFonts w:hint="eastAsia"/>
                <w:color w:val="auto"/>
                <w:highlight w:val="none"/>
              </w:rPr>
              <w:t>制标</w:t>
            </w:r>
          </w:p>
          <w:p>
            <w:pPr>
              <w:rPr>
                <w:color w:val="auto"/>
                <w:highlight w:val="none"/>
              </w:rPr>
            </w:pPr>
            <w:r>
              <w:rPr>
                <w:rFonts w:hint="eastAsia"/>
                <w:color w:val="auto"/>
                <w:highlight w:val="none"/>
              </w:rPr>
              <w:t>准</w:t>
            </w:r>
          </w:p>
        </w:tc>
        <w:tc>
          <w:tcPr>
            <w:tcW w:w="8424" w:type="dxa"/>
            <w:vAlign w:val="center"/>
          </w:tcPr>
          <w:p>
            <w:pPr>
              <w:pStyle w:val="3"/>
              <w:rPr>
                <w:color w:val="auto"/>
                <w:highlight w:val="none"/>
              </w:rPr>
            </w:pPr>
            <w:bookmarkStart w:id="27" w:name="_Toc8685"/>
            <w:bookmarkStart w:id="28" w:name="_Toc7152"/>
            <w:r>
              <w:rPr>
                <w:rFonts w:hint="eastAsia"/>
                <w:color w:val="auto"/>
                <w:highlight w:val="none"/>
              </w:rPr>
              <w:t>3.3污染物排放控制标准</w:t>
            </w:r>
            <w:bookmarkEnd w:id="27"/>
            <w:bookmarkEnd w:id="28"/>
          </w:p>
          <w:p>
            <w:pPr>
              <w:pStyle w:val="4"/>
              <w:rPr>
                <w:color w:val="auto"/>
                <w:highlight w:val="none"/>
              </w:rPr>
            </w:pPr>
            <w:r>
              <w:rPr>
                <w:rFonts w:hint="eastAsia"/>
                <w:color w:val="auto"/>
                <w:highlight w:val="none"/>
              </w:rPr>
              <w:t>3.3.1</w:t>
            </w:r>
            <w:r>
              <w:rPr>
                <w:color w:val="auto"/>
                <w:highlight w:val="none"/>
              </w:rPr>
              <w:t>施工期</w:t>
            </w:r>
          </w:p>
          <w:p>
            <w:pPr>
              <w:pStyle w:val="8"/>
              <w:rPr>
                <w:color w:val="auto"/>
                <w:highlight w:val="none"/>
              </w:rPr>
            </w:pPr>
            <w:r>
              <w:rPr>
                <w:rFonts w:hint="eastAsia"/>
                <w:color w:val="auto"/>
                <w:highlight w:val="none"/>
              </w:rPr>
              <w:t>（1）</w:t>
            </w:r>
            <w:r>
              <w:rPr>
                <w:color w:val="auto"/>
                <w:highlight w:val="none"/>
              </w:rPr>
              <w:t>废气</w:t>
            </w:r>
          </w:p>
          <w:p>
            <w:pPr>
              <w:pStyle w:val="8"/>
              <w:rPr>
                <w:color w:val="auto"/>
                <w:highlight w:val="none"/>
              </w:rPr>
            </w:pPr>
            <w:r>
              <w:rPr>
                <w:color w:val="auto"/>
                <w:highlight w:val="none"/>
              </w:rPr>
              <w:t>本项目施工期大气污染物排放执行《大气污染物综合排放标准》（GB16297-1996）无组织排放监控浓度限值，见表</w:t>
            </w:r>
            <w:r>
              <w:rPr>
                <w:rFonts w:hint="eastAsia"/>
                <w:color w:val="auto"/>
                <w:highlight w:val="none"/>
              </w:rPr>
              <w:t>3.3-1</w:t>
            </w:r>
            <w:r>
              <w:rPr>
                <w:color w:val="auto"/>
                <w:highlight w:val="none"/>
              </w:rPr>
              <w:t>。</w:t>
            </w:r>
          </w:p>
          <w:p>
            <w:pPr>
              <w:widowControl/>
              <w:spacing w:before="120" w:beforeLines="50" w:line="360" w:lineRule="auto"/>
              <w:ind w:firstLine="422" w:firstLineChars="200"/>
              <w:jc w:val="center"/>
              <w:rPr>
                <w:b/>
                <w:color w:val="auto"/>
                <w:highlight w:val="none"/>
              </w:rPr>
            </w:pPr>
            <w:r>
              <w:rPr>
                <w:b/>
                <w:color w:val="auto"/>
                <w:highlight w:val="none"/>
              </w:rPr>
              <w:t>表</w:t>
            </w:r>
            <w:r>
              <w:rPr>
                <w:rFonts w:hint="eastAsia"/>
                <w:b/>
                <w:color w:val="auto"/>
                <w:highlight w:val="none"/>
              </w:rPr>
              <w:t>3-6</w:t>
            </w:r>
            <w:r>
              <w:rPr>
                <w:b/>
                <w:bCs/>
                <w:color w:val="auto"/>
                <w:szCs w:val="20"/>
                <w:highlight w:val="none"/>
              </w:rPr>
              <w:t>大气污染物综合排放标准（GB16297-1996）</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2854"/>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restart"/>
                  <w:vAlign w:val="center"/>
                </w:tcPr>
                <w:p>
                  <w:pPr>
                    <w:jc w:val="center"/>
                    <w:rPr>
                      <w:color w:val="auto"/>
                      <w:szCs w:val="21"/>
                      <w:highlight w:val="none"/>
                    </w:rPr>
                  </w:pPr>
                  <w:r>
                    <w:rPr>
                      <w:color w:val="auto"/>
                      <w:szCs w:val="21"/>
                      <w:highlight w:val="none"/>
                    </w:rPr>
                    <w:t>污染物</w:t>
                  </w:r>
                </w:p>
              </w:tc>
              <w:tc>
                <w:tcPr>
                  <w:tcW w:w="5708" w:type="dxa"/>
                  <w:gridSpan w:val="2"/>
                  <w:vAlign w:val="center"/>
                </w:tcPr>
                <w:p>
                  <w:pPr>
                    <w:jc w:val="center"/>
                    <w:rPr>
                      <w:color w:val="auto"/>
                      <w:szCs w:val="21"/>
                      <w:highlight w:val="none"/>
                    </w:rPr>
                  </w:pPr>
                  <w:r>
                    <w:rPr>
                      <w:color w:val="auto"/>
                      <w:szCs w:val="21"/>
                      <w:highlight w:val="none"/>
                    </w:rPr>
                    <w:t>无组织排放监控浓度限值（厂界）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continue"/>
                  <w:vAlign w:val="center"/>
                </w:tcPr>
                <w:p>
                  <w:pPr>
                    <w:jc w:val="center"/>
                    <w:rPr>
                      <w:color w:val="auto"/>
                      <w:szCs w:val="21"/>
                      <w:highlight w:val="none"/>
                    </w:rPr>
                  </w:pPr>
                </w:p>
              </w:tc>
              <w:tc>
                <w:tcPr>
                  <w:tcW w:w="2854" w:type="dxa"/>
                  <w:vAlign w:val="center"/>
                </w:tcPr>
                <w:p>
                  <w:pPr>
                    <w:jc w:val="center"/>
                    <w:rPr>
                      <w:color w:val="auto"/>
                      <w:szCs w:val="21"/>
                      <w:highlight w:val="none"/>
                    </w:rPr>
                  </w:pPr>
                  <w:r>
                    <w:rPr>
                      <w:color w:val="auto"/>
                      <w:szCs w:val="21"/>
                      <w:highlight w:val="none"/>
                    </w:rPr>
                    <w:t>监控点</w:t>
                  </w:r>
                </w:p>
              </w:tc>
              <w:tc>
                <w:tcPr>
                  <w:tcW w:w="2854" w:type="dxa"/>
                  <w:vAlign w:val="center"/>
                </w:tcPr>
                <w:p>
                  <w:pPr>
                    <w:jc w:val="center"/>
                    <w:rPr>
                      <w:color w:val="auto"/>
                      <w:szCs w:val="21"/>
                      <w:highlight w:val="none"/>
                    </w:rPr>
                  </w:pPr>
                  <w:r>
                    <w:rPr>
                      <w:color w:val="auto"/>
                      <w:szCs w:val="21"/>
                      <w:highlight w:val="none"/>
                    </w:rPr>
                    <w:t>浓度</w:t>
                  </w:r>
                  <w:r>
                    <w:rPr>
                      <w:rFonts w:hint="eastAsia"/>
                      <w:color w:val="auto"/>
                      <w:szCs w:val="21"/>
                      <w:highlight w:val="none"/>
                    </w:rPr>
                    <w:t>（</w:t>
                  </w:r>
                  <w:r>
                    <w:rPr>
                      <w:color w:val="auto"/>
                      <w:szCs w:val="21"/>
                      <w:highlight w:val="none"/>
                    </w:rPr>
                    <w:t>mg/</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jc w:val="center"/>
                    <w:rPr>
                      <w:color w:val="auto"/>
                      <w:szCs w:val="21"/>
                      <w:highlight w:val="none"/>
                    </w:rPr>
                  </w:pPr>
                  <w:r>
                    <w:rPr>
                      <w:color w:val="auto"/>
                      <w:szCs w:val="21"/>
                      <w:highlight w:val="none"/>
                    </w:rPr>
                    <w:t>颗粒物</w:t>
                  </w:r>
                </w:p>
              </w:tc>
              <w:tc>
                <w:tcPr>
                  <w:tcW w:w="2854" w:type="dxa"/>
                  <w:vAlign w:val="center"/>
                </w:tcPr>
                <w:p>
                  <w:pPr>
                    <w:pStyle w:val="14"/>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周界外浓度最高点</w:t>
                  </w:r>
                </w:p>
              </w:tc>
              <w:tc>
                <w:tcPr>
                  <w:tcW w:w="2854" w:type="dxa"/>
                  <w:vAlign w:val="center"/>
                </w:tcPr>
                <w:p>
                  <w:pPr>
                    <w:jc w:val="center"/>
                    <w:rPr>
                      <w:color w:val="auto"/>
                      <w:szCs w:val="21"/>
                      <w:highlight w:val="none"/>
                    </w:rPr>
                  </w:pPr>
                  <w:r>
                    <w:rPr>
                      <w:color w:val="auto"/>
                      <w:szCs w:val="21"/>
                      <w:highlight w:val="none"/>
                    </w:rPr>
                    <w:t>1.0</w:t>
                  </w:r>
                </w:p>
              </w:tc>
            </w:tr>
          </w:tbl>
          <w:p>
            <w:pPr>
              <w:spacing w:line="500" w:lineRule="exact"/>
              <w:ind w:firstLine="422" w:firstLineChars="200"/>
              <w:rPr>
                <w:b/>
                <w:color w:val="auto"/>
                <w:highlight w:val="none"/>
              </w:rPr>
            </w:pPr>
            <w:r>
              <w:rPr>
                <w:rFonts w:hint="eastAsia"/>
                <w:b/>
                <w:color w:val="auto"/>
                <w:highlight w:val="none"/>
              </w:rPr>
              <w:t>（2）</w:t>
            </w:r>
            <w:r>
              <w:rPr>
                <w:b/>
                <w:color w:val="auto"/>
                <w:highlight w:val="none"/>
              </w:rPr>
              <w:t>废水</w:t>
            </w:r>
          </w:p>
          <w:p>
            <w:pPr>
              <w:spacing w:line="500" w:lineRule="exact"/>
              <w:ind w:firstLine="420" w:firstLineChars="200"/>
              <w:rPr>
                <w:color w:val="auto"/>
                <w:highlight w:val="none"/>
              </w:rPr>
            </w:pPr>
            <w:r>
              <w:rPr>
                <w:color w:val="auto"/>
                <w:highlight w:val="none"/>
              </w:rPr>
              <w:t>本</w:t>
            </w:r>
            <w:r>
              <w:rPr>
                <w:rStyle w:val="25"/>
                <w:color w:val="auto"/>
                <w:highlight w:val="none"/>
              </w:rPr>
              <w:t>项目施工期</w:t>
            </w:r>
            <w:r>
              <w:rPr>
                <w:rStyle w:val="25"/>
                <w:rFonts w:hint="eastAsia"/>
                <w:color w:val="auto"/>
                <w:highlight w:val="none"/>
              </w:rPr>
              <w:t>生活污水</w:t>
            </w:r>
            <w:r>
              <w:rPr>
                <w:rStyle w:val="25"/>
                <w:color w:val="auto"/>
                <w:highlight w:val="none"/>
              </w:rPr>
              <w:t>依托</w:t>
            </w:r>
            <w:r>
              <w:rPr>
                <w:rStyle w:val="25"/>
                <w:rFonts w:hint="eastAsia"/>
                <w:color w:val="auto"/>
                <w:highlight w:val="none"/>
              </w:rPr>
              <w:t>核电基地现有生活污水处理站</w:t>
            </w:r>
            <w:r>
              <w:rPr>
                <w:rStyle w:val="25"/>
                <w:color w:val="auto"/>
                <w:highlight w:val="none"/>
              </w:rPr>
              <w:t>处理</w:t>
            </w:r>
            <w:r>
              <w:rPr>
                <w:rStyle w:val="25"/>
                <w:rFonts w:hint="eastAsia"/>
                <w:color w:val="auto"/>
                <w:highlight w:val="none"/>
              </w:rPr>
              <w:t>，</w:t>
            </w:r>
            <w:r>
              <w:rPr>
                <w:rStyle w:val="25"/>
                <w:rFonts w:hint="eastAsia"/>
                <w:color w:val="auto"/>
                <w:highlight w:val="none"/>
                <w:lang w:val="en-US"/>
              </w:rPr>
              <w:t>原批复要求执行一级B，企业已提标改造</w:t>
            </w:r>
            <w:r>
              <w:rPr>
                <w:rStyle w:val="25"/>
                <w:color w:val="auto"/>
                <w:highlight w:val="none"/>
              </w:rPr>
              <w:t>执行《城镇污水处理厂污染物排放标准》（GB18918-2002）一级A</w:t>
            </w:r>
            <w:r>
              <w:rPr>
                <w:rStyle w:val="25"/>
                <w:rFonts w:hint="eastAsia"/>
                <w:color w:val="auto"/>
                <w:highlight w:val="none"/>
              </w:rPr>
              <w:t>标准</w:t>
            </w:r>
            <w:r>
              <w:rPr>
                <w:rStyle w:val="25"/>
                <w:color w:val="auto"/>
                <w:highlight w:val="none"/>
              </w:rPr>
              <w:t>，见表3</w:t>
            </w:r>
            <w:r>
              <w:rPr>
                <w:rStyle w:val="25"/>
                <w:rFonts w:hint="eastAsia"/>
                <w:color w:val="auto"/>
                <w:highlight w:val="none"/>
                <w:lang w:val="en-US"/>
              </w:rPr>
              <w:t>-7</w:t>
            </w:r>
            <w:r>
              <w:rPr>
                <w:bCs/>
                <w:color w:val="auto"/>
                <w:highlight w:val="none"/>
              </w:rPr>
              <w:t>。</w:t>
            </w:r>
          </w:p>
          <w:p>
            <w:pPr>
              <w:widowControl/>
              <w:adjustRightInd w:val="0"/>
              <w:snapToGrid w:val="0"/>
              <w:spacing w:before="120" w:beforeLines="50" w:line="360" w:lineRule="auto"/>
              <w:ind w:firstLine="422" w:firstLineChars="200"/>
              <w:jc w:val="center"/>
              <w:rPr>
                <w:b/>
                <w:bCs/>
                <w:color w:val="auto"/>
                <w:highlight w:val="none"/>
              </w:rPr>
            </w:pPr>
            <w:r>
              <w:rPr>
                <w:b/>
                <w:bCs/>
                <w:color w:val="auto"/>
                <w:highlight w:val="none"/>
              </w:rPr>
              <w:t>表</w:t>
            </w:r>
            <w:r>
              <w:rPr>
                <w:rFonts w:hint="eastAsia"/>
                <w:b/>
                <w:bCs/>
                <w:color w:val="auto"/>
                <w:highlight w:val="none"/>
              </w:rPr>
              <w:t>3-7</w:t>
            </w:r>
            <w:r>
              <w:rPr>
                <w:b/>
                <w:bCs/>
                <w:color w:val="auto"/>
                <w:highlight w:val="none"/>
              </w:rPr>
              <w:t>《城镇污水处理厂污染物排放标准》（GB18918-2002）</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42"/>
              <w:gridCol w:w="3078"/>
              <w:gridCol w:w="3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序号</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基本控制项目</w:t>
                  </w:r>
                </w:p>
              </w:tc>
              <w:tc>
                <w:tcPr>
                  <w:tcW w:w="1875"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r>
                    <w:rPr>
                      <w:rFonts w:hint="eastAsia" w:ascii="Times New Roman" w:hAnsi="Times New Roman"/>
                      <w:color w:val="auto"/>
                      <w:sz w:val="21"/>
                      <w:szCs w:val="21"/>
                      <w:highlight w:val="none"/>
                      <w:lang w:val="en-US" w:eastAsia="zh-CN"/>
                    </w:rPr>
                    <w:t>A</w:t>
                  </w:r>
                  <w:r>
                    <w:rPr>
                      <w:rFonts w:ascii="Times New Roman" w:hAnsi="Times New Roman"/>
                      <w:color w:val="auto"/>
                      <w:sz w:val="21"/>
                      <w:szCs w:val="21"/>
                      <w:highlight w:val="none"/>
                    </w:rPr>
                    <w:t>标准，mg/L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1</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pH</w:t>
                  </w:r>
                </w:p>
              </w:tc>
              <w:tc>
                <w:tcPr>
                  <w:tcW w:w="1875"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6~9（无量纲）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2</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化学需氧量（COD）</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5</w:t>
                  </w:r>
                  <w:r>
                    <w:rPr>
                      <w:rFonts w:hint="eastAsia" w:ascii="Times New Roman" w:hAnsi="Times New Roman"/>
                      <w:color w:val="auto"/>
                      <w:sz w:val="21"/>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3</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生化需氧量（</w:t>
                  </w:r>
                  <w:r>
                    <w:rPr>
                      <w:rFonts w:hint="eastAsia" w:ascii="Times New Roman" w:hAnsi="Times New Roman"/>
                      <w:color w:val="auto"/>
                      <w:sz w:val="21"/>
                      <w:szCs w:val="21"/>
                      <w:highlight w:val="none"/>
                    </w:rPr>
                    <w:t>BOD</w:t>
                  </w:r>
                  <w:r>
                    <w:rPr>
                      <w:rFonts w:hint="eastAsia" w:ascii="Times New Roman" w:hAnsi="Times New Roman"/>
                      <w:color w:val="auto"/>
                      <w:sz w:val="21"/>
                      <w:szCs w:val="21"/>
                      <w:highlight w:val="none"/>
                      <w:vertAlign w:val="subscript"/>
                    </w:rPr>
                    <w:t>5</w:t>
                  </w:r>
                  <w:r>
                    <w:rPr>
                      <w:rFonts w:ascii="Times New Roman" w:hAnsi="Times New Roman"/>
                      <w:color w:val="auto"/>
                      <w:sz w:val="21"/>
                      <w:szCs w:val="21"/>
                      <w:highlight w:val="none"/>
                    </w:rPr>
                    <w:t>）</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r>
                    <w:rPr>
                      <w:rFonts w:hint="eastAsia" w:ascii="Times New Roman" w:hAnsi="Times New Roman"/>
                      <w:color w:val="auto"/>
                      <w:sz w:val="21"/>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4</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悬浮物（SS）</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r>
                    <w:rPr>
                      <w:rFonts w:hint="eastAsia" w:ascii="Times New Roman" w:hAnsi="Times New Roman"/>
                      <w:color w:val="auto"/>
                      <w:sz w:val="21"/>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5</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动植物油</w:t>
                  </w:r>
                </w:p>
              </w:tc>
              <w:tc>
                <w:tcPr>
                  <w:tcW w:w="1875" w:type="pct"/>
                  <w:vAlign w:val="center"/>
                </w:tcPr>
                <w:p>
                  <w:pPr>
                    <w:pStyle w:val="14"/>
                    <w:adjustRightInd w:val="0"/>
                    <w:snapToGrid w:val="0"/>
                    <w:spacing w:before="0" w:beforeAutospacing="0" w:after="0" w:afterAutospacing="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6</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石油类</w:t>
                  </w:r>
                </w:p>
              </w:tc>
              <w:tc>
                <w:tcPr>
                  <w:tcW w:w="1875" w:type="pct"/>
                  <w:vAlign w:val="center"/>
                </w:tcPr>
                <w:p>
                  <w:pPr>
                    <w:pStyle w:val="14"/>
                    <w:adjustRightInd w:val="0"/>
                    <w:snapToGrid w:val="0"/>
                    <w:spacing w:before="0" w:beforeAutospacing="0" w:after="0" w:afterAutospacing="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7</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阴离子表面活性剂</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0</w:t>
                  </w:r>
                  <w:r>
                    <w:rPr>
                      <w:rFonts w:hint="eastAsia" w:ascii="Times New Roman" w:hAnsi="Times New Roman"/>
                      <w:color w:val="auto"/>
                      <w:sz w:val="21"/>
                      <w:szCs w:val="21"/>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8</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总氮（以N计）</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r>
                    <w:rPr>
                      <w:rFonts w:hint="eastAsia" w:ascii="Times New Roman" w:hAnsi="Times New Roman"/>
                      <w:color w:val="auto"/>
                      <w:sz w:val="21"/>
                      <w:szCs w:val="21"/>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9</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氨氮（以N计）</w:t>
                  </w:r>
                </w:p>
              </w:tc>
              <w:tc>
                <w:tcPr>
                  <w:tcW w:w="1875"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5</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eastAsia="zh-CN"/>
                    </w:rPr>
                    <w:t>8</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color w:val="auto"/>
                      <w:szCs w:val="21"/>
                      <w:highlight w:val="none"/>
                    </w:rPr>
                    <w:t>10</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总磷（以P计）</w:t>
                  </w:r>
                </w:p>
              </w:tc>
              <w:tc>
                <w:tcPr>
                  <w:tcW w:w="1875" w:type="pct"/>
                  <w:vAlign w:val="center"/>
                </w:tcPr>
                <w:p>
                  <w:pPr>
                    <w:pStyle w:val="14"/>
                    <w:adjustRightInd w:val="0"/>
                    <w:snapToGrid w:val="0"/>
                    <w:spacing w:before="0" w:beforeAutospacing="0" w:after="0" w:afterAutospacing="0"/>
                    <w:jc w:val="center"/>
                    <w:rPr>
                      <w:rFonts w:hint="default" w:ascii="Times New Roman" w:hAnsi="Times New Roman"/>
                      <w:color w:val="auto"/>
                      <w:sz w:val="21"/>
                      <w:szCs w:val="21"/>
                      <w:highlight w:val="none"/>
                    </w:rPr>
                  </w:pPr>
                  <w:r>
                    <w:rPr>
                      <w:rFonts w:hint="eastAsia" w:ascii="Times New Roman" w:hAnsi="Times New Roman"/>
                      <w:color w:val="auto"/>
                      <w:sz w:val="21"/>
                      <w:szCs w:val="21"/>
                      <w:highlight w:val="none"/>
                      <w:lang w:eastAsia="zh-CN"/>
                    </w:rPr>
                    <w:t>0</w:t>
                  </w:r>
                  <w:r>
                    <w:rPr>
                      <w:rFonts w:hint="eastAsia" w:ascii="Times New Roman" w:hAnsi="Times New Roman"/>
                      <w:color w:val="auto"/>
                      <w:sz w:val="21"/>
                      <w:szCs w:val="21"/>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246" w:type="pct"/>
                  <w:vAlign w:val="center"/>
                </w:tcPr>
                <w:p>
                  <w:pPr>
                    <w:adjustRightInd w:val="0"/>
                    <w:snapToGrid w:val="0"/>
                    <w:jc w:val="center"/>
                    <w:rPr>
                      <w:color w:val="auto"/>
                      <w:szCs w:val="21"/>
                      <w:highlight w:val="none"/>
                    </w:rPr>
                  </w:pPr>
                  <w:r>
                    <w:rPr>
                      <w:rFonts w:hint="eastAsia"/>
                      <w:color w:val="auto"/>
                      <w:szCs w:val="21"/>
                      <w:highlight w:val="none"/>
                    </w:rPr>
                    <w:t>11</w:t>
                  </w:r>
                </w:p>
              </w:tc>
              <w:tc>
                <w:tcPr>
                  <w:tcW w:w="1878"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粪大肠菌群数（个/L）</w:t>
                  </w:r>
                </w:p>
              </w:tc>
              <w:tc>
                <w:tcPr>
                  <w:tcW w:w="1875" w:type="pct"/>
                  <w:vAlign w:val="center"/>
                </w:tcPr>
                <w:p>
                  <w:pPr>
                    <w:pStyle w:val="14"/>
                    <w:adjustRightInd w:val="0"/>
                    <w:snapToGrid w:val="0"/>
                    <w:spacing w:before="0" w:beforeAutospacing="0" w:after="0" w:afterAutospacing="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10</w:t>
                  </w:r>
                  <w:r>
                    <w:rPr>
                      <w:rFonts w:hint="eastAsia" w:ascii="Times New Roman" w:hAnsi="Times New Roman"/>
                      <w:color w:val="auto"/>
                      <w:sz w:val="21"/>
                      <w:szCs w:val="21"/>
                      <w:highlight w:val="none"/>
                      <w:vertAlign w:val="superscript"/>
                      <w:lang w:eastAsia="zh-CN"/>
                    </w:rPr>
                    <w:t>3</w:t>
                  </w:r>
                </w:p>
              </w:tc>
            </w:tr>
          </w:tbl>
          <w:p>
            <w:pPr>
              <w:adjustRightInd w:val="0"/>
              <w:snapToGrid w:val="0"/>
              <w:ind w:firstLine="420" w:firstLineChars="200"/>
              <w:rPr>
                <w:color w:val="auto"/>
                <w:szCs w:val="20"/>
                <w:highlight w:val="none"/>
              </w:rPr>
            </w:pPr>
            <w:r>
              <w:rPr>
                <w:color w:val="auto"/>
                <w:szCs w:val="20"/>
                <w:highlight w:val="none"/>
              </w:rPr>
              <w:t>*括号外数值为水温＞12℃时的控制指标，括号内数值为水温≤12℃时的控制指标。</w:t>
            </w:r>
          </w:p>
          <w:p>
            <w:pPr>
              <w:spacing w:line="500" w:lineRule="exact"/>
              <w:ind w:firstLine="422" w:firstLineChars="200"/>
              <w:rPr>
                <w:b/>
                <w:color w:val="auto"/>
                <w:highlight w:val="none"/>
              </w:rPr>
            </w:pPr>
            <w:r>
              <w:rPr>
                <w:rFonts w:hint="eastAsia"/>
                <w:b/>
                <w:color w:val="auto"/>
                <w:highlight w:val="none"/>
              </w:rPr>
              <w:t>（3）</w:t>
            </w:r>
            <w:r>
              <w:rPr>
                <w:b/>
                <w:color w:val="auto"/>
                <w:highlight w:val="none"/>
              </w:rPr>
              <w:t>噪声</w:t>
            </w:r>
          </w:p>
          <w:p>
            <w:pPr>
              <w:pStyle w:val="8"/>
              <w:adjustRightInd w:val="0"/>
              <w:rPr>
                <w:color w:val="auto"/>
                <w:highlight w:val="none"/>
              </w:rPr>
            </w:pPr>
            <w:r>
              <w:rPr>
                <w:color w:val="auto"/>
                <w:highlight w:val="none"/>
              </w:rPr>
              <w:t>本项目施工场界噪声执行《建筑施工场界环境噪声排放标准》（GB12523-2011），见表</w:t>
            </w:r>
            <w:r>
              <w:rPr>
                <w:rFonts w:hint="eastAsia"/>
                <w:color w:val="auto"/>
                <w:highlight w:val="none"/>
              </w:rPr>
              <w:t>3-8</w:t>
            </w:r>
            <w:r>
              <w:rPr>
                <w:color w:val="auto"/>
                <w:highlight w:val="none"/>
              </w:rPr>
              <w:t>。</w:t>
            </w:r>
          </w:p>
          <w:p>
            <w:pPr>
              <w:keepNext/>
              <w:keepLines/>
              <w:tabs>
                <w:tab w:val="left" w:pos="1358"/>
                <w:tab w:val="left" w:pos="2153"/>
                <w:tab w:val="left" w:pos="4008"/>
              </w:tabs>
              <w:adjustRightInd w:val="0"/>
              <w:snapToGrid w:val="0"/>
              <w:spacing w:line="500" w:lineRule="exact"/>
              <w:ind w:firstLine="422" w:firstLineChars="200"/>
              <w:jc w:val="center"/>
              <w:outlineLvl w:val="3"/>
              <w:rPr>
                <w:b/>
                <w:bCs/>
                <w:color w:val="auto"/>
                <w:highlight w:val="none"/>
              </w:rPr>
            </w:pPr>
            <w:r>
              <w:rPr>
                <w:b/>
                <w:bCs/>
                <w:color w:val="auto"/>
                <w:highlight w:val="none"/>
              </w:rPr>
              <w:t>表</w:t>
            </w:r>
            <w:r>
              <w:rPr>
                <w:rFonts w:hint="eastAsia"/>
                <w:b/>
                <w:bCs/>
                <w:color w:val="auto"/>
                <w:highlight w:val="none"/>
              </w:rPr>
              <w:t>3-8</w:t>
            </w:r>
            <w:r>
              <w:rPr>
                <w:b/>
                <w:bCs/>
                <w:color w:val="auto"/>
                <w:highlight w:val="none"/>
              </w:rPr>
              <w:t>《建筑施工场界环境噪声排放标准》单位：dB（A）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55"/>
              <w:gridCol w:w="41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vAlign w:val="center"/>
                </w:tcPr>
                <w:p>
                  <w:pPr>
                    <w:spacing w:line="0" w:lineRule="atLeast"/>
                    <w:rPr>
                      <w:color w:val="auto"/>
                      <w:spacing w:val="10"/>
                      <w:highlight w:val="none"/>
                    </w:rPr>
                  </w:pPr>
                  <w:r>
                    <w:rPr>
                      <w:color w:val="auto"/>
                      <w:spacing w:val="10"/>
                      <w:highlight w:val="none"/>
                    </w:rPr>
                    <w:t>噪声限值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tcBorders>
                    <w:right w:val="single" w:color="auto" w:sz="4" w:space="0"/>
                  </w:tcBorders>
                  <w:vAlign w:val="center"/>
                </w:tcPr>
                <w:p>
                  <w:pPr>
                    <w:spacing w:line="0" w:lineRule="atLeast"/>
                    <w:rPr>
                      <w:color w:val="auto"/>
                      <w:spacing w:val="10"/>
                      <w:highlight w:val="none"/>
                    </w:rPr>
                  </w:pPr>
                  <w:r>
                    <w:rPr>
                      <w:color w:val="auto"/>
                      <w:spacing w:val="10"/>
                      <w:highlight w:val="none"/>
                    </w:rPr>
                    <w:t>昼间</w:t>
                  </w:r>
                </w:p>
              </w:tc>
              <w:tc>
                <w:tcPr>
                  <w:tcW w:w="2526" w:type="pct"/>
                  <w:tcBorders>
                    <w:top w:val="single" w:color="auto" w:sz="4" w:space="0"/>
                    <w:left w:val="single" w:color="auto" w:sz="4" w:space="0"/>
                    <w:bottom w:val="single" w:color="auto" w:sz="4" w:space="0"/>
                  </w:tcBorders>
                  <w:vAlign w:val="center"/>
                </w:tcPr>
                <w:p>
                  <w:pPr>
                    <w:spacing w:line="0" w:lineRule="atLeast"/>
                    <w:rPr>
                      <w:color w:val="auto"/>
                      <w:spacing w:val="10"/>
                      <w:highlight w:val="none"/>
                    </w:rPr>
                  </w:pPr>
                  <w:r>
                    <w:rPr>
                      <w:color w:val="auto"/>
                      <w:spacing w:val="10"/>
                      <w:highlight w:val="none"/>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vAlign w:val="center"/>
                </w:tcPr>
                <w:p>
                  <w:pPr>
                    <w:spacing w:line="0" w:lineRule="atLeast"/>
                    <w:rPr>
                      <w:color w:val="auto"/>
                      <w:spacing w:val="10"/>
                      <w:highlight w:val="none"/>
                    </w:rPr>
                  </w:pPr>
                  <w:r>
                    <w:rPr>
                      <w:color w:val="auto"/>
                      <w:spacing w:val="10"/>
                      <w:highlight w:val="none"/>
                    </w:rPr>
                    <w:t>70</w:t>
                  </w:r>
                </w:p>
              </w:tc>
              <w:tc>
                <w:tcPr>
                  <w:tcW w:w="2526" w:type="pct"/>
                  <w:vAlign w:val="center"/>
                </w:tcPr>
                <w:p>
                  <w:pPr>
                    <w:spacing w:line="0" w:lineRule="atLeast"/>
                    <w:rPr>
                      <w:color w:val="auto"/>
                      <w:spacing w:val="10"/>
                      <w:highlight w:val="none"/>
                    </w:rPr>
                  </w:pPr>
                  <w:r>
                    <w:rPr>
                      <w:color w:val="auto"/>
                      <w:spacing w:val="10"/>
                      <w:highlight w:val="none"/>
                    </w:rPr>
                    <w:t>55</w:t>
                  </w:r>
                </w:p>
              </w:tc>
            </w:tr>
          </w:tbl>
          <w:p>
            <w:pPr>
              <w:spacing w:line="500" w:lineRule="exact"/>
              <w:ind w:firstLine="422" w:firstLineChars="200"/>
              <w:rPr>
                <w:b/>
                <w:color w:val="auto"/>
                <w:highlight w:val="none"/>
              </w:rPr>
            </w:pPr>
            <w:r>
              <w:rPr>
                <w:rFonts w:hint="eastAsia"/>
                <w:b/>
                <w:color w:val="auto"/>
                <w:highlight w:val="none"/>
              </w:rPr>
              <w:t>3.3.2</w:t>
            </w:r>
            <w:r>
              <w:rPr>
                <w:b/>
                <w:color w:val="auto"/>
                <w:highlight w:val="none"/>
              </w:rPr>
              <w:t>运营期</w:t>
            </w:r>
          </w:p>
          <w:p>
            <w:pPr>
              <w:spacing w:line="500" w:lineRule="exact"/>
              <w:ind w:firstLine="422" w:firstLineChars="200"/>
              <w:rPr>
                <w:b/>
                <w:bCs/>
                <w:color w:val="auto"/>
                <w:highlight w:val="none"/>
              </w:rPr>
            </w:pPr>
            <w:r>
              <w:rPr>
                <w:rFonts w:hint="eastAsia"/>
                <w:b/>
                <w:color w:val="auto"/>
                <w:highlight w:val="none"/>
              </w:rPr>
              <w:t>（1）</w:t>
            </w:r>
            <w:r>
              <w:rPr>
                <w:b/>
                <w:bCs/>
                <w:color w:val="auto"/>
                <w:highlight w:val="none"/>
              </w:rPr>
              <w:t>废水</w:t>
            </w:r>
          </w:p>
          <w:p>
            <w:pPr>
              <w:pStyle w:val="8"/>
              <w:rPr>
                <w:color w:val="auto"/>
                <w:highlight w:val="none"/>
              </w:rPr>
            </w:pPr>
            <w:r>
              <w:rPr>
                <w:rFonts w:hint="eastAsia"/>
                <w:color w:val="auto"/>
                <w:highlight w:val="none"/>
              </w:rPr>
              <w:t>本项目</w:t>
            </w:r>
            <w:r>
              <w:rPr>
                <w:color w:val="auto"/>
                <w:highlight w:val="none"/>
              </w:rPr>
              <w:t>运营期</w:t>
            </w:r>
            <w:r>
              <w:rPr>
                <w:rFonts w:hint="eastAsia"/>
                <w:color w:val="auto"/>
                <w:highlight w:val="none"/>
              </w:rPr>
              <w:t>非放射性废水处理站</w:t>
            </w:r>
            <w:r>
              <w:rPr>
                <w:color w:val="auto"/>
                <w:highlight w:val="none"/>
              </w:rPr>
              <w:t>尾水执行《污水综合排放标准》（GB8978-1996）</w:t>
            </w:r>
            <w:r>
              <w:rPr>
                <w:rFonts w:hint="eastAsia"/>
                <w:color w:val="auto"/>
                <w:highlight w:val="none"/>
              </w:rPr>
              <w:t>表4中</w:t>
            </w:r>
            <w:r>
              <w:rPr>
                <w:color w:val="auto"/>
                <w:highlight w:val="none"/>
              </w:rPr>
              <w:t>一级标准</w:t>
            </w:r>
            <w:r>
              <w:rPr>
                <w:rFonts w:hint="eastAsia"/>
                <w:color w:val="auto"/>
                <w:highlight w:val="none"/>
              </w:rPr>
              <w:t>，</w:t>
            </w:r>
            <w:r>
              <w:rPr>
                <w:color w:val="auto"/>
                <w:highlight w:val="none"/>
              </w:rPr>
              <w:t>具体见表3-</w:t>
            </w:r>
            <w:r>
              <w:rPr>
                <w:rFonts w:hint="eastAsia"/>
                <w:color w:val="auto"/>
                <w:highlight w:val="none"/>
              </w:rPr>
              <w:t>9</w:t>
            </w:r>
            <w:r>
              <w:rPr>
                <w:color w:val="auto"/>
                <w:highlight w:val="none"/>
              </w:rPr>
              <w:t>。</w:t>
            </w:r>
          </w:p>
          <w:p>
            <w:pPr>
              <w:adjustRightInd w:val="0"/>
              <w:snapToGrid w:val="0"/>
              <w:spacing w:line="500" w:lineRule="exact"/>
              <w:ind w:firstLine="422" w:firstLineChars="200"/>
              <w:jc w:val="center"/>
              <w:rPr>
                <w:b/>
                <w:bCs/>
                <w:color w:val="auto"/>
                <w:highlight w:val="none"/>
              </w:rPr>
            </w:pPr>
            <w:r>
              <w:rPr>
                <w:b/>
                <w:bCs/>
                <w:color w:val="auto"/>
                <w:highlight w:val="none"/>
              </w:rPr>
              <w:t>表3-</w:t>
            </w:r>
            <w:r>
              <w:rPr>
                <w:rFonts w:hint="eastAsia"/>
                <w:b/>
                <w:bCs/>
                <w:color w:val="auto"/>
                <w:highlight w:val="none"/>
              </w:rPr>
              <w:t>9</w:t>
            </w:r>
            <w:r>
              <w:rPr>
                <w:b/>
                <w:bCs/>
                <w:color w:val="auto"/>
                <w:highlight w:val="none"/>
              </w:rPr>
              <w:t>污水</w:t>
            </w:r>
            <w:r>
              <w:rPr>
                <w:rFonts w:hint="eastAsia"/>
                <w:b/>
                <w:bCs/>
                <w:color w:val="auto"/>
                <w:highlight w:val="none"/>
              </w:rPr>
              <w:t>综合</w:t>
            </w:r>
            <w:r>
              <w:rPr>
                <w:b/>
                <w:bCs/>
                <w:color w:val="auto"/>
                <w:highlight w:val="none"/>
              </w:rPr>
              <w:t>排放标准</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2791"/>
              <w:gridCol w:w="42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序号</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污染物</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GB8978-1996</w:t>
                  </w:r>
                  <w:r>
                    <w:rPr>
                      <w:rFonts w:hint="eastAsia" w:ascii="Times New Roman" w:hAnsi="Times New Roman"/>
                      <w:color w:val="auto"/>
                      <w:sz w:val="21"/>
                      <w:szCs w:val="21"/>
                      <w:highlight w:val="none"/>
                    </w:rPr>
                    <w:t>一级</w:t>
                  </w:r>
                  <w:r>
                    <w:rPr>
                      <w:rFonts w:ascii="Times New Roman" w:hAnsi="Times New Roman"/>
                      <w:color w:val="auto"/>
                      <w:sz w:val="21"/>
                      <w:szCs w:val="21"/>
                      <w:highlight w:val="none"/>
                    </w:rPr>
                    <w:t>标准</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mg/L</w:t>
                  </w:r>
                  <w:r>
                    <w:rPr>
                      <w:rFonts w:hint="eastAsia" w:ascii="Times New Roman" w:hAnsi="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1</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pH</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6~9（无量纲）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2</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悬浮物（SS）</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3</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化学需氧量（COD）</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4</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氨氮</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color w:val="auto"/>
                      <w:szCs w:val="21"/>
                      <w:highlight w:val="none"/>
                    </w:rPr>
                    <w:t>5</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磷酸盐（以P计）</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lang w:eastAsia="zh"/>
                    </w:rPr>
                  </w:pPr>
                  <w:r>
                    <w:rPr>
                      <w:rFonts w:hint="eastAsia" w:ascii="Times New Roman" w:hAnsi="Times New Roman"/>
                      <w:color w:val="auto"/>
                      <w:sz w:val="21"/>
                      <w:szCs w:val="21"/>
                      <w:highlight w:val="none"/>
                      <w:lang w:eastAsia="zh"/>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rFonts w:hint="eastAsia"/>
                      <w:color w:val="auto"/>
                      <w:szCs w:val="21"/>
                      <w:highlight w:val="none"/>
                    </w:rPr>
                    <w:t>6</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石油类</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4" w:type="pct"/>
                  <w:vAlign w:val="center"/>
                </w:tcPr>
                <w:p>
                  <w:pPr>
                    <w:adjustRightInd w:val="0"/>
                    <w:snapToGrid w:val="0"/>
                    <w:jc w:val="center"/>
                    <w:rPr>
                      <w:color w:val="auto"/>
                      <w:szCs w:val="21"/>
                      <w:highlight w:val="none"/>
                    </w:rPr>
                  </w:pPr>
                  <w:r>
                    <w:rPr>
                      <w:rFonts w:hint="eastAsia"/>
                      <w:color w:val="auto"/>
                      <w:szCs w:val="21"/>
                      <w:highlight w:val="none"/>
                    </w:rPr>
                    <w:t>7</w:t>
                  </w:r>
                </w:p>
              </w:tc>
              <w:tc>
                <w:tcPr>
                  <w:tcW w:w="1703"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BOD</w:t>
                  </w:r>
                  <w:r>
                    <w:rPr>
                      <w:rFonts w:hint="eastAsia" w:ascii="Times New Roman" w:hAnsi="Times New Roman"/>
                      <w:color w:val="auto"/>
                      <w:sz w:val="21"/>
                      <w:szCs w:val="21"/>
                      <w:highlight w:val="none"/>
                      <w:vertAlign w:val="subscript"/>
                    </w:rPr>
                    <w:t>5</w:t>
                  </w:r>
                </w:p>
              </w:tc>
              <w:tc>
                <w:tcPr>
                  <w:tcW w:w="2571" w:type="pct"/>
                  <w:vAlign w:val="center"/>
                </w:tcPr>
                <w:p>
                  <w:pPr>
                    <w:pStyle w:val="14"/>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r>
          </w:tbl>
          <w:p>
            <w:pPr>
              <w:spacing w:line="500" w:lineRule="exact"/>
              <w:ind w:firstLine="422" w:firstLineChars="200"/>
              <w:rPr>
                <w:b/>
                <w:color w:val="auto"/>
                <w:highlight w:val="none"/>
              </w:rPr>
            </w:pPr>
            <w:r>
              <w:rPr>
                <w:rFonts w:hint="eastAsia"/>
                <w:b/>
                <w:color w:val="auto"/>
                <w:highlight w:val="none"/>
              </w:rPr>
              <w:t>（2）</w:t>
            </w:r>
            <w:r>
              <w:rPr>
                <w:b/>
                <w:color w:val="auto"/>
                <w:highlight w:val="none"/>
              </w:rPr>
              <w:t>噪声</w:t>
            </w:r>
          </w:p>
          <w:p>
            <w:pPr>
              <w:pStyle w:val="8"/>
              <w:rPr>
                <w:color w:val="auto"/>
                <w:highlight w:val="none"/>
              </w:rPr>
            </w:pPr>
            <w:r>
              <w:rPr>
                <w:color w:val="auto"/>
                <w:highlight w:val="none"/>
              </w:rPr>
              <w:t>运营期厂界四周噪声执行《工业企业厂界环境噪声排放标准》（GB12348-2008</w:t>
            </w:r>
            <w:r>
              <w:rPr>
                <w:rFonts w:hint="eastAsia"/>
                <w:color w:val="auto"/>
                <w:highlight w:val="none"/>
              </w:rPr>
              <w:t>）第3</w:t>
            </w:r>
            <w:r>
              <w:rPr>
                <w:color w:val="auto"/>
                <w:highlight w:val="none"/>
              </w:rPr>
              <w:t>类排放限值。标准值详见表3-</w:t>
            </w:r>
            <w:r>
              <w:rPr>
                <w:rFonts w:hint="eastAsia"/>
                <w:color w:val="auto"/>
                <w:highlight w:val="none"/>
              </w:rPr>
              <w:t>10</w:t>
            </w:r>
            <w:r>
              <w:rPr>
                <w:color w:val="auto"/>
                <w:highlight w:val="none"/>
              </w:rPr>
              <w:t>。</w:t>
            </w:r>
          </w:p>
          <w:p>
            <w:pPr>
              <w:spacing w:line="500" w:lineRule="exact"/>
              <w:ind w:firstLine="422" w:firstLineChars="200"/>
              <w:jc w:val="center"/>
              <w:rPr>
                <w:b/>
                <w:color w:val="auto"/>
                <w:highlight w:val="none"/>
              </w:rPr>
            </w:pPr>
            <w:r>
              <w:rPr>
                <w:b/>
                <w:color w:val="auto"/>
                <w:highlight w:val="none"/>
              </w:rPr>
              <w:t>表3-</w:t>
            </w:r>
            <w:r>
              <w:rPr>
                <w:rFonts w:hint="eastAsia"/>
                <w:b/>
                <w:color w:val="auto"/>
                <w:highlight w:val="none"/>
              </w:rPr>
              <w:t>10</w:t>
            </w:r>
            <w:r>
              <w:rPr>
                <w:b/>
                <w:color w:val="auto"/>
                <w:highlight w:val="none"/>
              </w:rPr>
              <w:t>噪声排放限值单位：dB（A）</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01"/>
              <w:gridCol w:w="2884"/>
              <w:gridCol w:w="30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2" w:type="pct"/>
                  <w:vAlign w:val="center"/>
                </w:tcPr>
                <w:p>
                  <w:pPr>
                    <w:adjustRightInd w:val="0"/>
                    <w:snapToGrid w:val="0"/>
                    <w:jc w:val="center"/>
                    <w:rPr>
                      <w:bCs/>
                      <w:color w:val="auto"/>
                      <w:szCs w:val="21"/>
                      <w:highlight w:val="none"/>
                    </w:rPr>
                  </w:pPr>
                  <w:r>
                    <w:rPr>
                      <w:bCs/>
                      <w:color w:val="auto"/>
                      <w:szCs w:val="21"/>
                      <w:highlight w:val="none"/>
                    </w:rPr>
                    <w:t>标准类别</w:t>
                  </w:r>
                </w:p>
              </w:tc>
              <w:tc>
                <w:tcPr>
                  <w:tcW w:w="1758" w:type="pct"/>
                  <w:vAlign w:val="center"/>
                </w:tcPr>
                <w:p>
                  <w:pPr>
                    <w:adjustRightInd w:val="0"/>
                    <w:snapToGrid w:val="0"/>
                    <w:jc w:val="center"/>
                    <w:rPr>
                      <w:bCs/>
                      <w:color w:val="auto"/>
                      <w:szCs w:val="21"/>
                      <w:highlight w:val="none"/>
                    </w:rPr>
                  </w:pPr>
                  <w:r>
                    <w:rPr>
                      <w:bCs/>
                      <w:color w:val="auto"/>
                      <w:szCs w:val="21"/>
                      <w:highlight w:val="none"/>
                    </w:rPr>
                    <w:t>昼间</w:t>
                  </w:r>
                </w:p>
              </w:tc>
              <w:tc>
                <w:tcPr>
                  <w:tcW w:w="1839" w:type="pct"/>
                  <w:vAlign w:val="center"/>
                </w:tcPr>
                <w:p>
                  <w:pPr>
                    <w:adjustRightInd w:val="0"/>
                    <w:snapToGrid w:val="0"/>
                    <w:jc w:val="center"/>
                    <w:rPr>
                      <w:bCs/>
                      <w:color w:val="auto"/>
                      <w:szCs w:val="21"/>
                      <w:highlight w:val="none"/>
                    </w:rPr>
                  </w:pPr>
                  <w:r>
                    <w:rPr>
                      <w:bCs/>
                      <w:color w:val="auto"/>
                      <w:szCs w:val="21"/>
                      <w:highlight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2" w:type="pct"/>
                  <w:vAlign w:val="center"/>
                </w:tcPr>
                <w:p>
                  <w:pPr>
                    <w:adjustRightInd w:val="0"/>
                    <w:snapToGrid w:val="0"/>
                    <w:jc w:val="center"/>
                    <w:rPr>
                      <w:color w:val="auto"/>
                      <w:szCs w:val="21"/>
                      <w:highlight w:val="none"/>
                    </w:rPr>
                  </w:pPr>
                  <w:r>
                    <w:rPr>
                      <w:rFonts w:hint="eastAsia"/>
                      <w:color w:val="auto"/>
                      <w:szCs w:val="21"/>
                      <w:highlight w:val="none"/>
                    </w:rPr>
                    <w:t>3</w:t>
                  </w:r>
                  <w:r>
                    <w:rPr>
                      <w:color w:val="auto"/>
                      <w:szCs w:val="21"/>
                      <w:highlight w:val="none"/>
                    </w:rPr>
                    <w:t>类</w:t>
                  </w:r>
                </w:p>
              </w:tc>
              <w:tc>
                <w:tcPr>
                  <w:tcW w:w="1758" w:type="pct"/>
                  <w:vAlign w:val="center"/>
                </w:tcPr>
                <w:p>
                  <w:pPr>
                    <w:adjustRightInd w:val="0"/>
                    <w:snapToGrid w:val="0"/>
                    <w:jc w:val="center"/>
                    <w:rPr>
                      <w:color w:val="auto"/>
                      <w:szCs w:val="21"/>
                      <w:highlight w:val="none"/>
                    </w:rPr>
                  </w:pPr>
                  <w:r>
                    <w:rPr>
                      <w:color w:val="auto"/>
                      <w:szCs w:val="21"/>
                      <w:highlight w:val="none"/>
                    </w:rPr>
                    <w:t>6</w:t>
                  </w:r>
                  <w:r>
                    <w:rPr>
                      <w:rFonts w:hint="eastAsia"/>
                      <w:color w:val="auto"/>
                      <w:szCs w:val="21"/>
                      <w:highlight w:val="none"/>
                    </w:rPr>
                    <w:t>5</w:t>
                  </w:r>
                </w:p>
              </w:tc>
              <w:tc>
                <w:tcPr>
                  <w:tcW w:w="1839" w:type="pct"/>
                  <w:vAlign w:val="center"/>
                </w:tcPr>
                <w:p>
                  <w:pPr>
                    <w:adjustRightInd w:val="0"/>
                    <w:snapToGrid w:val="0"/>
                    <w:jc w:val="center"/>
                    <w:rPr>
                      <w:color w:val="auto"/>
                      <w:szCs w:val="21"/>
                      <w:highlight w:val="none"/>
                    </w:rPr>
                  </w:pPr>
                  <w:r>
                    <w:rPr>
                      <w:color w:val="auto"/>
                      <w:szCs w:val="21"/>
                      <w:highlight w:val="none"/>
                    </w:rPr>
                    <w:t>5</w:t>
                  </w:r>
                  <w:r>
                    <w:rPr>
                      <w:rFonts w:hint="eastAsia"/>
                      <w:color w:val="auto"/>
                      <w:szCs w:val="21"/>
                      <w:highlight w:val="none"/>
                    </w:rPr>
                    <w:t>5</w:t>
                  </w:r>
                </w:p>
              </w:tc>
            </w:tr>
          </w:tbl>
          <w:p>
            <w:pPr>
              <w:spacing w:line="500" w:lineRule="exact"/>
              <w:ind w:firstLine="422" w:firstLineChars="200"/>
              <w:rPr>
                <w:b/>
                <w:color w:val="auto"/>
                <w:highlight w:val="none"/>
              </w:rPr>
            </w:pPr>
            <w:r>
              <w:rPr>
                <w:rFonts w:hint="eastAsia"/>
                <w:b/>
                <w:color w:val="auto"/>
                <w:highlight w:val="none"/>
              </w:rPr>
              <w:t>（3）</w:t>
            </w:r>
            <w:r>
              <w:rPr>
                <w:b/>
                <w:color w:val="auto"/>
                <w:highlight w:val="none"/>
              </w:rPr>
              <w:t>固废</w:t>
            </w:r>
          </w:p>
          <w:p>
            <w:pPr>
              <w:pStyle w:val="8"/>
              <w:ind w:left="0" w:leftChars="0" w:firstLine="480" w:firstLineChars="200"/>
              <w:rPr>
                <w:color w:val="auto"/>
                <w:kern w:val="2"/>
                <w:highlight w:val="none"/>
              </w:rPr>
            </w:pPr>
            <w:r>
              <w:rPr>
                <w:rFonts w:hint="eastAsia"/>
                <w:color w:val="auto"/>
                <w:kern w:val="2"/>
                <w:highlight w:val="none"/>
                <w:lang w:eastAsia="zh"/>
              </w:rPr>
              <w:t>非放射性废水处理站配套1处污泥处理间及固废暂存间，产生污泥经脱水后定期清运，委托有污泥处置能力的单位外运处理</w:t>
            </w:r>
            <w:r>
              <w:rPr>
                <w:rFonts w:hint="eastAsia"/>
                <w:color w:val="auto"/>
                <w:kern w:val="2"/>
                <w:highlight w:val="none"/>
              </w:rPr>
              <w:t>；废活性炭由原料提供商更换后直接回收，</w:t>
            </w:r>
            <w:r>
              <w:rPr>
                <w:rFonts w:hint="eastAsia"/>
                <w:color w:val="auto"/>
                <w:kern w:val="2"/>
                <w:highlight w:val="none"/>
                <w:lang w:eastAsia="zh"/>
              </w:rPr>
              <w:t>活性炭过滤设备</w:t>
            </w:r>
            <w:r>
              <w:rPr>
                <w:rFonts w:hint="eastAsia"/>
                <w:color w:val="auto"/>
                <w:kern w:val="2"/>
                <w:highlight w:val="none"/>
                <w:lang w:val="en-US" w:eastAsia="zh-CN"/>
              </w:rPr>
              <w:t>有备用</w:t>
            </w:r>
            <w:r>
              <w:rPr>
                <w:rFonts w:hint="eastAsia"/>
                <w:color w:val="auto"/>
                <w:kern w:val="2"/>
                <w:highlight w:val="none"/>
                <w:lang w:eastAsia="zh"/>
              </w:rPr>
              <w:t>，可及时更换回收</w:t>
            </w:r>
            <w:r>
              <w:rPr>
                <w:rFonts w:hint="eastAsia"/>
                <w:color w:val="auto"/>
                <w:kern w:val="2"/>
                <w:highlight w:val="none"/>
              </w:rPr>
              <w:t>，不在场内暂存。</w:t>
            </w:r>
          </w:p>
          <w:p>
            <w:pPr>
              <w:pStyle w:val="8"/>
              <w:rPr>
                <w:color w:val="auto"/>
                <w:highlight w:val="none"/>
              </w:rPr>
            </w:pPr>
            <w:r>
              <w:rPr>
                <w:rFonts w:hint="eastAsia"/>
                <w:color w:val="auto"/>
                <w:kern w:val="2"/>
                <w:highlight w:val="none"/>
              </w:rPr>
              <w:t>固体废弃物须妥善处理，不得形成二次污染。一般工业固体废物贮存参照执行《一般工业固体废物贮存和填埋污染控制标准》（GB 18599-2020）中相应防渗漏、防雨淋、防扬尘等环境保护要求，固废的管理还应满足国家、省市县关于固体废物污染环境防治的法律法规。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66" w:type="dxa"/>
            <w:vAlign w:val="center"/>
          </w:tcPr>
          <w:p>
            <w:pPr>
              <w:rPr>
                <w:color w:val="auto"/>
                <w:highlight w:val="none"/>
              </w:rPr>
            </w:pPr>
            <w:r>
              <w:rPr>
                <w:rFonts w:hint="eastAsia"/>
                <w:color w:val="auto"/>
                <w:highlight w:val="none"/>
              </w:rPr>
              <w:t>总量</w:t>
            </w:r>
          </w:p>
          <w:p>
            <w:pPr>
              <w:rPr>
                <w:color w:val="auto"/>
                <w:highlight w:val="none"/>
              </w:rPr>
            </w:pPr>
            <w:r>
              <w:rPr>
                <w:rFonts w:hint="eastAsia"/>
                <w:color w:val="auto"/>
                <w:highlight w:val="none"/>
              </w:rPr>
              <w:t>控制</w:t>
            </w:r>
          </w:p>
          <w:p>
            <w:pPr>
              <w:rPr>
                <w:color w:val="auto"/>
                <w:highlight w:val="none"/>
              </w:rPr>
            </w:pPr>
            <w:r>
              <w:rPr>
                <w:rFonts w:hint="eastAsia"/>
                <w:color w:val="auto"/>
                <w:highlight w:val="none"/>
              </w:rPr>
              <w:t>指标</w:t>
            </w:r>
          </w:p>
        </w:tc>
        <w:tc>
          <w:tcPr>
            <w:tcW w:w="8424" w:type="dxa"/>
            <w:vAlign w:val="center"/>
          </w:tcPr>
          <w:p>
            <w:pPr>
              <w:pStyle w:val="4"/>
              <w:rPr>
                <w:color w:val="auto"/>
                <w:highlight w:val="none"/>
              </w:rPr>
            </w:pPr>
            <w:r>
              <w:rPr>
                <w:rFonts w:hint="eastAsia"/>
                <w:color w:val="auto"/>
                <w:highlight w:val="none"/>
              </w:rPr>
              <w:t>3.4.1</w:t>
            </w:r>
            <w:r>
              <w:rPr>
                <w:color w:val="auto"/>
                <w:highlight w:val="none"/>
              </w:rPr>
              <w:t>现有工程污染物</w:t>
            </w:r>
            <w:r>
              <w:rPr>
                <w:rFonts w:hint="eastAsia"/>
                <w:color w:val="auto"/>
                <w:highlight w:val="none"/>
              </w:rPr>
              <w:t>设计允许</w:t>
            </w:r>
            <w:r>
              <w:rPr>
                <w:color w:val="auto"/>
                <w:highlight w:val="none"/>
              </w:rPr>
              <w:t>排放总量</w:t>
            </w:r>
          </w:p>
          <w:p>
            <w:pPr>
              <w:pStyle w:val="8"/>
              <w:rPr>
                <w:color w:val="auto"/>
                <w:kern w:val="2"/>
                <w:highlight w:val="none"/>
              </w:rPr>
            </w:pPr>
            <w:r>
              <w:rPr>
                <w:color w:val="auto"/>
                <w:highlight w:val="none"/>
              </w:rPr>
              <w:t>根据《国务院关于印发</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节能减排综合工作方案的通知》（国发〔2021〕33号）、《福建省人民政府办公厅关于印发福建省</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生态环境保护专项规划的通知》（闽政办〔2021〕59号）</w:t>
            </w:r>
            <w:r>
              <w:rPr>
                <w:rFonts w:hint="eastAsia"/>
                <w:color w:val="auto"/>
                <w:highlight w:val="none"/>
              </w:rPr>
              <w:t>、</w:t>
            </w:r>
            <w:r>
              <w:rPr>
                <w:color w:val="auto"/>
                <w:highlight w:val="none"/>
              </w:rPr>
              <w:t>《福建省环保厅关于进一步明确排污权工作有关问题的通知》（闽环保财〔20</w:t>
            </w:r>
            <w:r>
              <w:rPr>
                <w:rFonts w:hint="eastAsia"/>
                <w:color w:val="auto"/>
                <w:highlight w:val="none"/>
              </w:rPr>
              <w:t>17</w:t>
            </w:r>
            <w:r>
              <w:rPr>
                <w:color w:val="auto"/>
                <w:highlight w:val="none"/>
              </w:rPr>
              <w:t>〕22号），福建省主要污染物排放总量指标包括COD、NH</w:t>
            </w:r>
            <w:r>
              <w:rPr>
                <w:color w:val="auto"/>
                <w:highlight w:val="none"/>
                <w:vertAlign w:val="subscript"/>
              </w:rPr>
              <w:t>3</w:t>
            </w:r>
            <w:r>
              <w:rPr>
                <w:color w:val="auto"/>
                <w:highlight w:val="none"/>
              </w:rPr>
              <w:t>-N、SO</w:t>
            </w:r>
            <w:r>
              <w:rPr>
                <w:color w:val="auto"/>
                <w:highlight w:val="none"/>
                <w:vertAlign w:val="subscript"/>
              </w:rPr>
              <w:t>2</w:t>
            </w:r>
            <w:r>
              <w:rPr>
                <w:color w:val="auto"/>
                <w:highlight w:val="none"/>
              </w:rPr>
              <w:t>、NOx。</w:t>
            </w:r>
          </w:p>
          <w:p>
            <w:pPr>
              <w:pStyle w:val="8"/>
              <w:rPr>
                <w:color w:val="auto"/>
                <w:highlight w:val="none"/>
              </w:rPr>
            </w:pPr>
            <w:r>
              <w:rPr>
                <w:highlight w:val="none"/>
              </w:rPr>
              <w:t>项目建成后，</w:t>
            </w:r>
            <w:r>
              <w:rPr>
                <w:rFonts w:hint="eastAsia"/>
                <w:highlight w:val="none"/>
              </w:rPr>
              <w:t>非放射性生产废水</w:t>
            </w:r>
            <w:r>
              <w:rPr>
                <w:highlight w:val="none"/>
              </w:rPr>
              <w:t>处理站</w:t>
            </w:r>
            <w:r>
              <w:rPr>
                <w:rFonts w:hint="eastAsia"/>
                <w:highlight w:val="none"/>
              </w:rPr>
              <w:t>COD</w:t>
            </w:r>
            <w:r>
              <w:rPr>
                <w:highlight w:val="none"/>
              </w:rPr>
              <w:t>排放量为</w:t>
            </w:r>
            <w:r>
              <w:rPr>
                <w:rFonts w:hint="eastAsia"/>
                <w:highlight w:val="none"/>
              </w:rPr>
              <w:t>245.97</w:t>
            </w:r>
            <w:r>
              <w:rPr>
                <w:highlight w:val="none"/>
              </w:rPr>
              <w:t>t/a。NH</w:t>
            </w:r>
            <w:r>
              <w:rPr>
                <w:highlight w:val="none"/>
                <w:vertAlign w:val="subscript"/>
              </w:rPr>
              <w:t>3</w:t>
            </w:r>
            <w:r>
              <w:rPr>
                <w:highlight w:val="none"/>
              </w:rPr>
              <w:t>-N排放量为</w:t>
            </w:r>
            <w:r>
              <w:rPr>
                <w:rFonts w:hint="eastAsia"/>
                <w:highlight w:val="none"/>
              </w:rPr>
              <w:t>36.90</w:t>
            </w:r>
            <w:r>
              <w:rPr>
                <w:highlight w:val="none"/>
              </w:rPr>
              <w:t>t/a。</w:t>
            </w:r>
            <w:r>
              <w:rPr>
                <w:rFonts w:hint="eastAsia"/>
                <w:highlight w:val="none"/>
              </w:rPr>
              <w:t>项目</w:t>
            </w:r>
            <w:r>
              <w:rPr>
                <w:highlight w:val="none"/>
              </w:rPr>
              <w:t>废水排放总量在核电厂现有的水污染物排放总量范围内，不需另设水污染物总量控制指标</w:t>
            </w:r>
            <w:r>
              <w:rPr>
                <w:color w:val="auto"/>
                <w:highlight w:val="none"/>
              </w:rPr>
              <w:t>。</w:t>
            </w:r>
          </w:p>
          <w:p>
            <w:pPr>
              <w:pStyle w:val="5"/>
              <w:keepNext/>
              <w:ind w:firstLine="402" w:firstLineChars="200"/>
              <w:jc w:val="center"/>
              <w:rPr>
                <w:color w:val="auto"/>
                <w:highlight w:val="none"/>
              </w:rPr>
            </w:pPr>
            <w:r>
              <w:rPr>
                <w:rFonts w:hint="eastAsia"/>
                <w:color w:val="auto"/>
                <w:highlight w:val="none"/>
              </w:rPr>
              <w:t>表3-11项目废水污染物排放信息表（三本账核算结果）</w:t>
            </w:r>
          </w:p>
          <w:tbl>
            <w:tblPr>
              <w:tblStyle w:val="17"/>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8"/>
              <w:gridCol w:w="822"/>
              <w:gridCol w:w="1911"/>
              <w:gridCol w:w="1005"/>
              <w:gridCol w:w="1005"/>
              <w:gridCol w:w="1005"/>
              <w:gridCol w:w="1005"/>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r>
                    <w:rPr>
                      <w:color w:val="0000FF"/>
                      <w:highlight w:val="none"/>
                    </w:rPr>
                    <w:t>序号</w:t>
                  </w:r>
                </w:p>
              </w:tc>
              <w:tc>
                <w:tcPr>
                  <w:tcW w:w="92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排放口</w:t>
                  </w:r>
                </w:p>
                <w:p>
                  <w:pPr>
                    <w:pStyle w:val="36"/>
                    <w:rPr>
                      <w:color w:val="0000FF"/>
                      <w:highlight w:val="none"/>
                    </w:rPr>
                  </w:pPr>
                  <w:r>
                    <w:rPr>
                      <w:color w:val="0000FF"/>
                      <w:highlight w:val="none"/>
                    </w:rPr>
                    <w:t>编号</w:t>
                  </w: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污染物种类</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现有工程</w:t>
                  </w:r>
                  <w:r>
                    <w:rPr>
                      <w:rFonts w:hint="eastAsia"/>
                      <w:color w:val="0000FF"/>
                      <w:highlight w:val="none"/>
                      <w:vertAlign w:val="superscript"/>
                    </w:rPr>
                    <w:t>①</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以新带老</w:t>
                  </w:r>
                </w:p>
                <w:p>
                  <w:pPr>
                    <w:pStyle w:val="36"/>
                    <w:rPr>
                      <w:color w:val="0000FF"/>
                      <w:highlight w:val="none"/>
                    </w:rPr>
                  </w:pPr>
                  <w:r>
                    <w:rPr>
                      <w:color w:val="0000FF"/>
                      <w:highlight w:val="none"/>
                    </w:rPr>
                    <w:t>削减量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新增</w:t>
                  </w:r>
                </w:p>
                <w:p>
                  <w:pPr>
                    <w:pStyle w:val="36"/>
                    <w:rPr>
                      <w:color w:val="0000FF"/>
                      <w:highlight w:val="none"/>
                    </w:rPr>
                  </w:pPr>
                  <w:r>
                    <w:rPr>
                      <w:color w:val="0000FF"/>
                      <w:highlight w:val="none"/>
                    </w:rPr>
                    <w:t>年排放量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年排放量</w:t>
                  </w:r>
                  <w:r>
                    <w:rPr>
                      <w:rFonts w:hint="eastAsia"/>
                      <w:color w:val="0000FF"/>
                      <w:highlight w:val="none"/>
                      <w:vertAlign w:val="superscript"/>
                    </w:rPr>
                    <w:t>②</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排放</w:t>
                  </w:r>
                </w:p>
                <w:p>
                  <w:pPr>
                    <w:pStyle w:val="36"/>
                    <w:rPr>
                      <w:color w:val="0000FF"/>
                      <w:highlight w:val="none"/>
                    </w:rPr>
                  </w:pPr>
                  <w:r>
                    <w:rPr>
                      <w:color w:val="0000FF"/>
                      <w:highlight w:val="none"/>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restart"/>
                  <w:tcBorders>
                    <w:top w:val="nil"/>
                    <w:left w:val="single" w:color="auto" w:sz="4" w:space="0"/>
                    <w:bottom w:val="single" w:color="auto" w:sz="4" w:space="0"/>
                    <w:right w:val="single" w:color="auto" w:sz="4" w:space="0"/>
                  </w:tcBorders>
                  <w:vAlign w:val="center"/>
                </w:tcPr>
                <w:p>
                  <w:pPr>
                    <w:pStyle w:val="36"/>
                    <w:rPr>
                      <w:color w:val="0000FF"/>
                      <w:highlight w:val="none"/>
                    </w:rPr>
                  </w:pPr>
                  <w:r>
                    <w:rPr>
                      <w:color w:val="0000FF"/>
                      <w:highlight w:val="none"/>
                    </w:rPr>
                    <w:t>1</w:t>
                  </w:r>
                </w:p>
              </w:tc>
              <w:tc>
                <w:tcPr>
                  <w:tcW w:w="925" w:type="dxa"/>
                  <w:vMerge w:val="restart"/>
                  <w:tcBorders>
                    <w:top w:val="nil"/>
                    <w:left w:val="nil"/>
                    <w:bottom w:val="single" w:color="auto" w:sz="4" w:space="0"/>
                    <w:right w:val="single" w:color="auto" w:sz="4" w:space="0"/>
                  </w:tcBorders>
                  <w:vAlign w:val="center"/>
                </w:tcPr>
                <w:p>
                  <w:pPr>
                    <w:pStyle w:val="36"/>
                    <w:rPr>
                      <w:color w:val="0000FF"/>
                      <w:highlight w:val="none"/>
                    </w:rPr>
                  </w:pPr>
                  <w:r>
                    <w:rPr>
                      <w:color w:val="0000FF"/>
                      <w:highlight w:val="none"/>
                    </w:rPr>
                    <w:t>DW001</w:t>
                  </w: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水量（万m</w:t>
                  </w:r>
                  <w:r>
                    <w:rPr>
                      <w:color w:val="0000FF"/>
                      <w:highlight w:val="none"/>
                      <w:vertAlign w:val="superscript"/>
                    </w:rPr>
                    <w:t>3</w:t>
                  </w:r>
                  <w:r>
                    <w:rPr>
                      <w:color w:val="0000FF"/>
                      <w:highlight w:val="none"/>
                    </w:rPr>
                    <w: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245.9735</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lang w:eastAsia="zh"/>
                    </w:rPr>
                    <w:t>245.9735</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化学需氧量（t/a）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283.67</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-3</w:t>
                  </w:r>
                  <w:r>
                    <w:rPr>
                      <w:rFonts w:hint="eastAsia"/>
                      <w:color w:val="0000FF"/>
                      <w:highlight w:val="none"/>
                      <w:lang w:eastAsia="zh"/>
                    </w:rPr>
                    <w:t>7.70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2</w:t>
                  </w:r>
                  <w:r>
                    <w:rPr>
                      <w:rFonts w:hint="eastAsia"/>
                      <w:color w:val="0000FF"/>
                      <w:highlight w:val="none"/>
                      <w:lang w:eastAsia="zh"/>
                    </w:rPr>
                    <w:t>45.97</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氨氮（t/a）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39.23</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-2.</w:t>
                  </w:r>
                  <w:r>
                    <w:rPr>
                      <w:rFonts w:hint="eastAsia"/>
                      <w:color w:val="0000FF"/>
                      <w:highlight w:val="none"/>
                      <w:lang w:eastAsia="zh"/>
                    </w:rPr>
                    <w:t>33</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3</w:t>
                  </w:r>
                  <w:r>
                    <w:rPr>
                      <w:rFonts w:hint="eastAsia"/>
                      <w:color w:val="0000FF"/>
                      <w:highlight w:val="none"/>
                      <w:lang w:eastAsia="zh"/>
                    </w:rPr>
                    <w:t>6.90</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总磷</w:t>
                  </w:r>
                  <w:r>
                    <w:rPr>
                      <w:color w:val="0000FF"/>
                      <w:highlight w:val="none"/>
                    </w:rPr>
                    <w:t>（t/a）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7.22</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w:t>
                  </w:r>
                  <w:r>
                    <w:rPr>
                      <w:rFonts w:hint="eastAsia"/>
                      <w:color w:val="0000FF"/>
                      <w:highlight w:val="none"/>
                      <w:lang w:eastAsia="zh"/>
                    </w:rPr>
                    <w:t>5.99</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1.2</w:t>
                  </w:r>
                  <w:r>
                    <w:rPr>
                      <w:rFonts w:hint="eastAsia"/>
                      <w:color w:val="0000FF"/>
                      <w:highlight w:val="none"/>
                      <w:lang w:eastAsia="zh"/>
                    </w:rPr>
                    <w:t>3</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w:t>
                  </w:r>
                  <w:r>
                    <w:rPr>
                      <w:rFonts w:hint="eastAsia"/>
                      <w:color w:val="0000FF"/>
                      <w:highlight w:val="none"/>
                      <w:lang w:eastAsia="zh"/>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r>
                    <w:rPr>
                      <w:rFonts w:hint="eastAsia"/>
                      <w:color w:val="0000FF"/>
                      <w:highlight w:val="none"/>
                      <w:lang w:eastAsia="zh"/>
                    </w:rPr>
                    <w:t>非放射性生产废水处理站废水</w:t>
                  </w:r>
                  <w:r>
                    <w:rPr>
                      <w:color w:val="0000FF"/>
                      <w:highlight w:val="none"/>
                    </w:rPr>
                    <w:t>排放口合计</w:t>
                  </w: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化学需氧量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45.97</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氨氮</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6.90</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总磷</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1.2</w:t>
                  </w:r>
                  <w:r>
                    <w:rPr>
                      <w:rFonts w:hint="eastAsia"/>
                      <w:color w:val="0000FF"/>
                      <w:highlight w:val="none"/>
                      <w:lang w:eastAsia="zh"/>
                    </w:rPr>
                    <w:t>3</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w:t>
                  </w:r>
                  <w:r>
                    <w:rPr>
                      <w:rFonts w:hint="eastAsia"/>
                      <w:color w:val="0000FF"/>
                      <w:highlight w:val="none"/>
                      <w:lang w:eastAsia="zh"/>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98" w:type="dxa"/>
                  <w:gridSpan w:val="8"/>
                  <w:tcBorders>
                    <w:top w:val="nil"/>
                    <w:left w:val="single" w:color="auto" w:sz="4" w:space="0"/>
                    <w:bottom w:val="single" w:color="auto" w:sz="4" w:space="0"/>
                    <w:right w:val="single" w:color="auto" w:sz="4" w:space="0"/>
                  </w:tcBorders>
                  <w:vAlign w:val="center"/>
                </w:tcPr>
                <w:p>
                  <w:pPr>
                    <w:pStyle w:val="36"/>
                    <w:jc w:val="left"/>
                    <w:rPr>
                      <w:b/>
                      <w:bCs/>
                      <w:color w:val="0000FF"/>
                      <w:highlight w:val="none"/>
                      <w:u w:val="single"/>
                    </w:rPr>
                  </w:pPr>
                  <w:r>
                    <w:rPr>
                      <w:rFonts w:hint="eastAsia"/>
                      <w:color w:val="0000FF"/>
                      <w:highlight w:val="none"/>
                    </w:rPr>
                    <w:t>备注：①本次三本账</w:t>
                  </w:r>
                  <w:r>
                    <w:rPr>
                      <w:rFonts w:hint="eastAsia"/>
                      <w:color w:val="0000FF"/>
                      <w:highlight w:val="none"/>
                      <w:lang w:val="en-US" w:eastAsia="zh-CN"/>
                    </w:rPr>
                    <w:t>现有工程量</w:t>
                  </w:r>
                  <w:r>
                    <w:rPr>
                      <w:rFonts w:hint="eastAsia"/>
                      <w:color w:val="0000FF"/>
                      <w:highlight w:val="none"/>
                    </w:rPr>
                    <w:t>根据1-6号机组环评水量和产生浓度计算。年排放量以《污水综合排放标准》（GB 8978-1996）表4中一级标准浓度限值计算最终排放量。</w:t>
                  </w:r>
                </w:p>
              </w:tc>
            </w:tr>
          </w:tbl>
          <w:p>
            <w:pPr>
              <w:pStyle w:val="8"/>
              <w:rPr>
                <w:color w:val="auto"/>
                <w:highlight w:val="none"/>
              </w:rPr>
            </w:pPr>
          </w:p>
        </w:tc>
      </w:tr>
    </w:tbl>
    <w:p>
      <w:pPr>
        <w:pStyle w:val="14"/>
        <w:ind w:firstLine="720" w:firstLineChars="200"/>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bookmarkStart w:id="29" w:name="_Toc14613"/>
      <w:bookmarkStart w:id="30" w:name="_Toc25297"/>
      <w:r>
        <w:rPr>
          <w:rFonts w:hint="eastAsia" w:ascii="黑体" w:hAnsi="黑体" w:eastAsia="黑体"/>
          <w:snapToGrid w:val="0"/>
          <w:color w:val="auto"/>
          <w:sz w:val="30"/>
          <w:szCs w:val="30"/>
          <w:highlight w:val="none"/>
        </w:rPr>
        <w:t>四、主要环境影响和保护措施</w:t>
      </w:r>
      <w:bookmarkEnd w:id="29"/>
      <w:bookmarkEnd w:id="30"/>
    </w:p>
    <w:tbl>
      <w:tblPr>
        <w:tblStyle w:val="17"/>
        <w:tblW w:w="49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6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89" w:type="pct"/>
            <w:tcMar>
              <w:left w:w="28" w:type="dxa"/>
              <w:right w:w="28" w:type="dxa"/>
            </w:tcMar>
            <w:vAlign w:val="center"/>
          </w:tcPr>
          <w:p>
            <w:pPr>
              <w:pStyle w:val="14"/>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pPr>
              <w:pStyle w:val="14"/>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pPr>
              <w:pStyle w:val="14"/>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pPr>
              <w:pStyle w:val="14"/>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护措</w:t>
            </w:r>
          </w:p>
          <w:p>
            <w:pPr>
              <w:pStyle w:val="14"/>
              <w:adjustRightInd w:val="0"/>
              <w:snapToGrid w:val="0"/>
              <w:spacing w:before="0" w:beforeAutospacing="0" w:after="0" w:afterAutospacing="0"/>
              <w:jc w:val="both"/>
              <w:rPr>
                <w:rFonts w:cs="宋体"/>
                <w:bCs/>
                <w:color w:val="auto"/>
                <w:kern w:val="2"/>
                <w:sz w:val="21"/>
                <w:szCs w:val="21"/>
                <w:highlight w:val="none"/>
              </w:rPr>
            </w:pPr>
            <w:r>
              <w:rPr>
                <w:rFonts w:hint="eastAsia" w:cs="宋体"/>
                <w:color w:val="auto"/>
                <w:kern w:val="2"/>
                <w:sz w:val="21"/>
                <w:szCs w:val="21"/>
                <w:highlight w:val="none"/>
              </w:rPr>
              <w:t>施</w:t>
            </w:r>
          </w:p>
        </w:tc>
        <w:tc>
          <w:tcPr>
            <w:tcW w:w="4810" w:type="pct"/>
            <w:vAlign w:val="center"/>
          </w:tcPr>
          <w:p>
            <w:pPr>
              <w:pStyle w:val="3"/>
              <w:rPr>
                <w:color w:val="auto"/>
                <w:highlight w:val="none"/>
              </w:rPr>
            </w:pPr>
            <w:bookmarkStart w:id="31" w:name="_Toc18482"/>
            <w:bookmarkStart w:id="32" w:name="_Toc32491"/>
            <w:r>
              <w:rPr>
                <w:rFonts w:hint="eastAsia"/>
                <w:color w:val="auto"/>
                <w:highlight w:val="none"/>
              </w:rPr>
              <w:t>4</w:t>
            </w:r>
            <w:r>
              <w:rPr>
                <w:color w:val="auto"/>
                <w:highlight w:val="none"/>
              </w:rPr>
              <w:t>.1施工期环境保护措施</w:t>
            </w:r>
            <w:bookmarkEnd w:id="31"/>
            <w:bookmarkEnd w:id="32"/>
          </w:p>
          <w:p>
            <w:pPr>
              <w:pStyle w:val="8"/>
              <w:rPr>
                <w:color w:val="auto"/>
                <w:highlight w:val="none"/>
              </w:rPr>
            </w:pPr>
            <w:r>
              <w:rPr>
                <w:rFonts w:hint="eastAsia"/>
                <w:color w:val="auto"/>
                <w:highlight w:val="none"/>
              </w:rPr>
              <w:t>本项目拟在福清核电厂现有场地内建设1座非放射性废水处理站</w:t>
            </w:r>
            <w:r>
              <w:rPr>
                <w:color w:val="auto"/>
                <w:highlight w:val="none"/>
              </w:rPr>
              <w:t>及</w:t>
            </w:r>
            <w:r>
              <w:rPr>
                <w:rFonts w:hint="eastAsia"/>
                <w:color w:val="auto"/>
                <w:highlight w:val="none"/>
              </w:rPr>
              <w:t>建设</w:t>
            </w:r>
            <w:r>
              <w:rPr>
                <w:color w:val="auto"/>
                <w:highlight w:val="none"/>
              </w:rPr>
              <w:t>、改造</w:t>
            </w:r>
            <w:r>
              <w:rPr>
                <w:rFonts w:hint="eastAsia"/>
                <w:color w:val="auto"/>
                <w:highlight w:val="none"/>
              </w:rPr>
              <w:t>非放射性生产废水</w:t>
            </w:r>
            <w:r>
              <w:rPr>
                <w:color w:val="auto"/>
                <w:highlight w:val="none"/>
              </w:rPr>
              <w:t>管网</w:t>
            </w:r>
            <w:r>
              <w:rPr>
                <w:rFonts w:hint="eastAsia"/>
                <w:color w:val="auto"/>
                <w:highlight w:val="none"/>
              </w:rPr>
              <w:t>约15.4km，详见附图11。</w:t>
            </w:r>
            <w:r>
              <w:rPr>
                <w:rFonts w:hint="eastAsia"/>
                <w:color w:val="auto"/>
                <w:highlight w:val="none"/>
                <w:u w:val="single"/>
              </w:rPr>
              <w:t>根据工程分析，本项目施工工期较长，优先建设废水处理站的主体建筑物，确保非放射性废水处理站的投产运行，其后根据施工组织安排，进行管网工程的改建，管道建成后陆续将相应子项废水接入废水处理站。</w:t>
            </w:r>
          </w:p>
          <w:p>
            <w:pPr>
              <w:pStyle w:val="8"/>
              <w:rPr>
                <w:color w:val="auto"/>
                <w:highlight w:val="none"/>
              </w:rPr>
            </w:pPr>
            <w:r>
              <w:rPr>
                <w:rFonts w:hint="eastAsia"/>
                <w:color w:val="auto"/>
                <w:highlight w:val="none"/>
              </w:rPr>
              <w:t>非放射性废水处理站主体工程位于福清核电厂厂区范围内，主要为地面平整、土石方、建构物施工等产生的废水、废气、噪声、固废等影响；新建</w:t>
            </w:r>
            <w:r>
              <w:rPr>
                <w:color w:val="auto"/>
                <w:highlight w:val="none"/>
              </w:rPr>
              <w:t>、改造</w:t>
            </w:r>
            <w:r>
              <w:rPr>
                <w:rFonts w:hint="eastAsia"/>
                <w:color w:val="auto"/>
                <w:highlight w:val="none"/>
              </w:rPr>
              <w:t>非放射性生产废水</w:t>
            </w:r>
            <w:r>
              <w:rPr>
                <w:color w:val="auto"/>
                <w:highlight w:val="none"/>
              </w:rPr>
              <w:t>管网</w:t>
            </w:r>
            <w:r>
              <w:rPr>
                <w:rFonts w:hint="eastAsia"/>
                <w:color w:val="auto"/>
                <w:highlight w:val="none"/>
              </w:rPr>
              <w:t>，主要为地表开挖、管道敷设、土石方回填等对周边环境产生的影响。</w:t>
            </w:r>
          </w:p>
          <w:p>
            <w:pPr>
              <w:pStyle w:val="4"/>
              <w:rPr>
                <w:color w:val="auto"/>
                <w:highlight w:val="none"/>
              </w:rPr>
            </w:pPr>
            <w:r>
              <w:rPr>
                <w:color w:val="auto"/>
                <w:highlight w:val="none"/>
              </w:rPr>
              <w:t>4.1.1废水污染防治措施</w:t>
            </w:r>
          </w:p>
          <w:p>
            <w:pPr>
              <w:pStyle w:val="8"/>
              <w:numPr>
                <w:ilvl w:val="0"/>
                <w:numId w:val="9"/>
              </w:numPr>
              <w:rPr>
                <w:color w:val="auto"/>
                <w:szCs w:val="21"/>
                <w:highlight w:val="none"/>
                <w:u w:val="single"/>
              </w:rPr>
            </w:pPr>
            <w:r>
              <w:rPr>
                <w:color w:val="auto"/>
                <w:highlight w:val="none"/>
                <w:u w:val="single"/>
              </w:rPr>
              <w:t>本项目施工期</w:t>
            </w:r>
            <w:r>
              <w:rPr>
                <w:rFonts w:hint="eastAsia"/>
                <w:color w:val="auto"/>
                <w:highlight w:val="none"/>
                <w:u w:val="single"/>
              </w:rPr>
              <w:t>不设置施工营地，生活污水</w:t>
            </w:r>
            <w:r>
              <w:rPr>
                <w:color w:val="auto"/>
                <w:highlight w:val="none"/>
                <w:u w:val="single"/>
              </w:rPr>
              <w:t>依托</w:t>
            </w:r>
            <w:r>
              <w:rPr>
                <w:rFonts w:hint="eastAsia"/>
                <w:color w:val="auto"/>
                <w:highlight w:val="none"/>
                <w:u w:val="single"/>
              </w:rPr>
              <w:t>核电基地现有生活污水处理站</w:t>
            </w:r>
            <w:r>
              <w:rPr>
                <w:color w:val="auto"/>
                <w:highlight w:val="none"/>
                <w:u w:val="single"/>
              </w:rPr>
              <w:t>处理</w:t>
            </w:r>
            <w:r>
              <w:rPr>
                <w:rFonts w:hint="eastAsia"/>
                <w:color w:val="auto"/>
                <w:highlight w:val="none"/>
                <w:u w:val="single"/>
              </w:rPr>
              <w:t>；</w:t>
            </w:r>
            <w:r>
              <w:rPr>
                <w:rFonts w:hint="eastAsia"/>
                <w:color w:val="auto"/>
                <w:szCs w:val="21"/>
                <w:highlight w:val="none"/>
                <w:u w:val="single"/>
              </w:rPr>
              <w:t>施工</w:t>
            </w:r>
            <w:r>
              <w:rPr>
                <w:color w:val="auto"/>
                <w:szCs w:val="21"/>
                <w:highlight w:val="none"/>
                <w:u w:val="single"/>
              </w:rPr>
              <w:t>废水主要</w:t>
            </w:r>
            <w:r>
              <w:rPr>
                <w:rFonts w:hint="eastAsia"/>
                <w:color w:val="auto"/>
                <w:szCs w:val="21"/>
                <w:highlight w:val="none"/>
                <w:u w:val="single"/>
              </w:rPr>
              <w:t>来自</w:t>
            </w:r>
            <w:r>
              <w:rPr>
                <w:color w:val="auto"/>
                <w:szCs w:val="21"/>
                <w:highlight w:val="none"/>
                <w:u w:val="single"/>
              </w:rPr>
              <w:t>混凝土养护、车辆冲洗和抑尘洒水，</w:t>
            </w:r>
            <w:r>
              <w:rPr>
                <w:rFonts w:hint="eastAsia"/>
                <w:color w:val="auto"/>
                <w:szCs w:val="21"/>
                <w:highlight w:val="none"/>
                <w:u w:val="single"/>
              </w:rPr>
              <w:t>产生水量较小，主要污染物为悬浮物，</w:t>
            </w:r>
            <w:r>
              <w:rPr>
                <w:color w:val="auto"/>
                <w:szCs w:val="21"/>
                <w:highlight w:val="none"/>
                <w:u w:val="single"/>
              </w:rPr>
              <w:t>经简易沉淀池沉淀处理后</w:t>
            </w:r>
            <w:r>
              <w:rPr>
                <w:rFonts w:hint="eastAsia"/>
                <w:color w:val="auto"/>
                <w:szCs w:val="21"/>
                <w:highlight w:val="none"/>
                <w:u w:val="single"/>
              </w:rPr>
              <w:t>，上清液可以满足水质要求；较低的路面降尘、土方抑尘等，</w:t>
            </w:r>
            <w:r>
              <w:rPr>
                <w:color w:val="auto"/>
                <w:szCs w:val="21"/>
                <w:highlight w:val="none"/>
                <w:u w:val="single"/>
              </w:rPr>
              <w:t>回用</w:t>
            </w:r>
            <w:r>
              <w:rPr>
                <w:rFonts w:hint="eastAsia"/>
                <w:color w:val="auto"/>
                <w:szCs w:val="21"/>
                <w:highlight w:val="none"/>
                <w:u w:val="single"/>
              </w:rPr>
              <w:t>于路面降尘</w:t>
            </w:r>
            <w:r>
              <w:rPr>
                <w:rFonts w:hint="eastAsia"/>
                <w:color w:val="auto"/>
                <w:highlight w:val="none"/>
                <w:u w:val="single"/>
              </w:rPr>
              <w:t>，严禁不经处理直接排放</w:t>
            </w:r>
            <w:r>
              <w:rPr>
                <w:rFonts w:hint="eastAsia"/>
                <w:color w:val="auto"/>
                <w:szCs w:val="21"/>
                <w:highlight w:val="none"/>
                <w:u w:val="single"/>
              </w:rPr>
              <w:t>，沉淀池容积应根据施工废水使用情况设置足够容积，确保施工废水不溢流。沉淀池污泥主要成分为泥沙、砾石和少量无机物，经沉淀干化后优先回用于项目建设土石方材料使用，若无法消纳或者涉及含油废水沉淀泥沙，应委托有相应处理能力的单位进行清运和处置。</w:t>
            </w:r>
          </w:p>
          <w:p>
            <w:pPr>
              <w:pStyle w:val="8"/>
              <w:rPr>
                <w:color w:val="auto"/>
                <w:highlight w:val="none"/>
              </w:rPr>
            </w:pPr>
            <w:r>
              <w:rPr>
                <w:color w:val="auto"/>
                <w:highlight w:val="none"/>
              </w:rPr>
              <w:t>（2）严格施工管理</w:t>
            </w:r>
            <w:r>
              <w:rPr>
                <w:rFonts w:hint="eastAsia"/>
                <w:color w:val="auto"/>
                <w:highlight w:val="none"/>
              </w:rPr>
              <w:t>、</w:t>
            </w:r>
            <w:r>
              <w:rPr>
                <w:color w:val="auto"/>
                <w:highlight w:val="none"/>
              </w:rPr>
              <w:t>文明施工，加强对机器设备的维护和保养，防止机械设备发生漏油</w:t>
            </w:r>
            <w:r>
              <w:rPr>
                <w:rFonts w:hint="eastAsia"/>
                <w:color w:val="auto"/>
                <w:highlight w:val="none"/>
                <w:lang w:val="en-US" w:eastAsia="zh-CN"/>
              </w:rPr>
              <w:t>污染土质</w:t>
            </w:r>
            <w:r>
              <w:rPr>
                <w:color w:val="auto"/>
                <w:highlight w:val="none"/>
              </w:rPr>
              <w:t>现象。</w:t>
            </w:r>
          </w:p>
          <w:p>
            <w:pPr>
              <w:pStyle w:val="8"/>
              <w:rPr>
                <w:color w:val="auto"/>
                <w:highlight w:val="none"/>
              </w:rPr>
            </w:pPr>
            <w:r>
              <w:rPr>
                <w:color w:val="auto"/>
                <w:highlight w:val="none"/>
              </w:rPr>
              <w:t>（3）建筑材料</w:t>
            </w:r>
            <w:r>
              <w:rPr>
                <w:rFonts w:hint="eastAsia"/>
                <w:color w:val="auto"/>
                <w:highlight w:val="none"/>
              </w:rPr>
              <w:t>、管道开挖土方</w:t>
            </w:r>
            <w:r>
              <w:rPr>
                <w:color w:val="auto"/>
                <w:highlight w:val="none"/>
              </w:rPr>
              <w:t>应集中堆放，并采取一定的防雨淋措施，及时清扫施工运输过程中抛洒的材料，以免这些物质随雨水进入附近水体。</w:t>
            </w:r>
          </w:p>
          <w:p>
            <w:pPr>
              <w:pStyle w:val="8"/>
              <w:rPr>
                <w:color w:val="auto"/>
                <w:highlight w:val="none"/>
              </w:rPr>
            </w:pPr>
            <w:r>
              <w:rPr>
                <w:color w:val="auto"/>
                <w:highlight w:val="none"/>
              </w:rPr>
              <w:t>（4）项目施工时应加强对废料、油料等潜在水质污染物的控制和管理，不得随意倾倒，避免被雨水冲刷进入水体。</w:t>
            </w:r>
          </w:p>
          <w:p>
            <w:pPr>
              <w:pStyle w:val="4"/>
              <w:rPr>
                <w:color w:val="auto"/>
                <w:highlight w:val="none"/>
              </w:rPr>
            </w:pPr>
            <w:r>
              <w:rPr>
                <w:color w:val="auto"/>
                <w:highlight w:val="none"/>
              </w:rPr>
              <w:t>4.1.2废气污染防治措施</w:t>
            </w:r>
          </w:p>
          <w:p>
            <w:pPr>
              <w:pStyle w:val="8"/>
              <w:rPr>
                <w:color w:val="auto"/>
                <w:highlight w:val="none"/>
              </w:rPr>
            </w:pPr>
            <w:r>
              <w:rPr>
                <w:color w:val="auto"/>
                <w:highlight w:val="none"/>
              </w:rPr>
              <w:t>由于施工的建筑粉尘和扬尘</w:t>
            </w:r>
            <w:r>
              <w:rPr>
                <w:rFonts w:hint="eastAsia"/>
                <w:color w:val="auto"/>
                <w:highlight w:val="none"/>
              </w:rPr>
              <w:t>难以</w:t>
            </w:r>
            <w:r>
              <w:rPr>
                <w:color w:val="auto"/>
                <w:highlight w:val="none"/>
              </w:rPr>
              <w:t>集中处理，因此，对施工期二次扬尘污染</w:t>
            </w:r>
            <w:r>
              <w:rPr>
                <w:rFonts w:hint="eastAsia"/>
                <w:color w:val="auto"/>
                <w:highlight w:val="none"/>
              </w:rPr>
              <w:t>是以预防为主</w:t>
            </w:r>
            <w:r>
              <w:rPr>
                <w:color w:val="auto"/>
                <w:highlight w:val="none"/>
              </w:rPr>
              <w:t>，采取有效的防治措施，使施工期间的粉尘影响得到控制。施工期间应该对施工单位加强管理，按进度、有计划地进行文明施工。建设单位除了加强对施工人员的管理、教育外，还要自觉遵守</w:t>
            </w:r>
            <w:r>
              <w:rPr>
                <w:rFonts w:hint="eastAsia"/>
                <w:color w:val="auto"/>
                <w:highlight w:val="none"/>
              </w:rPr>
              <w:t>《</w:t>
            </w:r>
            <w:r>
              <w:rPr>
                <w:color w:val="auto"/>
                <w:highlight w:val="none"/>
              </w:rPr>
              <w:t>防治城市扬尘污染技术规范》（HJ／T 393-2007）</w:t>
            </w:r>
            <w:r>
              <w:rPr>
                <w:rFonts w:hint="eastAsia"/>
                <w:color w:val="auto"/>
                <w:highlight w:val="none"/>
              </w:rPr>
              <w:t>、</w:t>
            </w:r>
            <w:r>
              <w:rPr>
                <w:color w:val="auto"/>
                <w:highlight w:val="none"/>
              </w:rPr>
              <w:t>《建设工程施工现场环境与卫生标准》（JGJ</w:t>
            </w:r>
            <w:r>
              <w:rPr>
                <w:rFonts w:hint="eastAsia"/>
                <w:color w:val="auto"/>
                <w:highlight w:val="none"/>
              </w:rPr>
              <w:t xml:space="preserve"> </w:t>
            </w:r>
            <w:r>
              <w:rPr>
                <w:color w:val="auto"/>
                <w:highlight w:val="none"/>
              </w:rPr>
              <w:t>146-2013</w:t>
            </w:r>
            <w:r>
              <w:rPr>
                <w:rFonts w:hint="eastAsia"/>
                <w:color w:val="auto"/>
                <w:highlight w:val="none"/>
              </w:rPr>
              <w:t>）等</w:t>
            </w:r>
            <w:r>
              <w:rPr>
                <w:color w:val="auto"/>
                <w:highlight w:val="none"/>
              </w:rPr>
              <w:t>相关的法律法规，采取必要的环保措施，减少对环境造成的不良影响。</w:t>
            </w:r>
          </w:p>
          <w:p>
            <w:pPr>
              <w:pStyle w:val="8"/>
              <w:rPr>
                <w:color w:val="auto"/>
                <w:highlight w:val="none"/>
              </w:rPr>
            </w:pPr>
            <w:r>
              <w:rPr>
                <w:color w:val="auto"/>
                <w:highlight w:val="none"/>
              </w:rPr>
              <w:t>为做好</w:t>
            </w:r>
            <w:r>
              <w:rPr>
                <w:rFonts w:hint="eastAsia"/>
                <w:color w:val="auto"/>
                <w:highlight w:val="none"/>
              </w:rPr>
              <w:t>施工扬尘</w:t>
            </w:r>
            <w:r>
              <w:rPr>
                <w:color w:val="auto"/>
                <w:highlight w:val="none"/>
              </w:rPr>
              <w:t>防治工作，应采取以下措施：</w:t>
            </w:r>
          </w:p>
          <w:p>
            <w:pPr>
              <w:pStyle w:val="8"/>
              <w:rPr>
                <w:color w:val="auto"/>
                <w:highlight w:val="none"/>
              </w:rPr>
            </w:pPr>
            <w:r>
              <w:rPr>
                <w:color w:val="auto"/>
                <w:highlight w:val="none"/>
              </w:rPr>
              <w:t>（1）施工期间，施工单位应根据《建设工程施工现场管理规定》规定设置施工标志牌、现场平面布置图和安全生产、消防保卫、环境保护、文明施工制度板。</w:t>
            </w:r>
          </w:p>
          <w:p>
            <w:pPr>
              <w:pStyle w:val="8"/>
              <w:rPr>
                <w:color w:val="auto"/>
                <w:highlight w:val="none"/>
              </w:rPr>
            </w:pPr>
            <w:r>
              <w:rPr>
                <w:color w:val="auto"/>
                <w:highlight w:val="none"/>
              </w:rPr>
              <w:t>（</w:t>
            </w:r>
            <w:r>
              <w:rPr>
                <w:rFonts w:hint="eastAsia"/>
                <w:color w:val="auto"/>
                <w:highlight w:val="none"/>
              </w:rPr>
              <w:t>2</w:t>
            </w:r>
            <w:r>
              <w:rPr>
                <w:color w:val="auto"/>
                <w:highlight w:val="none"/>
              </w:rPr>
              <w:t>）工程材料、</w:t>
            </w:r>
            <w:r>
              <w:rPr>
                <w:rFonts w:hint="eastAsia"/>
                <w:color w:val="auto"/>
                <w:highlight w:val="none"/>
              </w:rPr>
              <w:t>管道、</w:t>
            </w:r>
            <w:r>
              <w:rPr>
                <w:color w:val="auto"/>
                <w:highlight w:val="none"/>
              </w:rPr>
              <w:t>砂石、土方或废弃物等易产生扬尘物质应当密闭处理。若在工地内堆置，则应尽量将堆场放在项目红线范围内，并采取覆盖防尘布、覆盖防尘网等措施，防止风蚀起尘。</w:t>
            </w:r>
          </w:p>
          <w:p>
            <w:pPr>
              <w:pStyle w:val="8"/>
              <w:rPr>
                <w:color w:val="auto"/>
                <w:highlight w:val="none"/>
              </w:rPr>
            </w:pPr>
            <w:r>
              <w:rPr>
                <w:color w:val="auto"/>
                <w:highlight w:val="none"/>
              </w:rPr>
              <w:t>（</w:t>
            </w:r>
            <w:r>
              <w:rPr>
                <w:rFonts w:hint="eastAsia"/>
                <w:color w:val="auto"/>
                <w:highlight w:val="none"/>
              </w:rPr>
              <w:t>3</w:t>
            </w:r>
            <w:r>
              <w:rPr>
                <w:color w:val="auto"/>
                <w:highlight w:val="none"/>
              </w:rPr>
              <w:t>）进出施工场地的物料、渣土、垃圾运输车辆，装载的物料、垃圾、渣土高度不得超过车辆槽帮上沿，车斗用苫布遮盖或者采用密闭车斗。若车斗用苫布遮盖，应当严实密闭，苫布边缘至少要遮住槽帮上沿以下15cm，保证物料、渣土、垃圾等不露出。车辆应当按照批准的路线和时间进行物料、渣土、垃圾的运输。</w:t>
            </w:r>
          </w:p>
          <w:p>
            <w:pPr>
              <w:pStyle w:val="8"/>
              <w:rPr>
                <w:color w:val="auto"/>
                <w:highlight w:val="none"/>
              </w:rPr>
            </w:pPr>
            <w:r>
              <w:rPr>
                <w:color w:val="auto"/>
                <w:highlight w:val="none"/>
              </w:rPr>
              <w:t>（</w:t>
            </w:r>
            <w:r>
              <w:rPr>
                <w:rFonts w:hint="eastAsia"/>
                <w:color w:val="auto"/>
                <w:highlight w:val="none"/>
              </w:rPr>
              <w:t>4</w:t>
            </w:r>
            <w:r>
              <w:rPr>
                <w:color w:val="auto"/>
                <w:highlight w:val="none"/>
              </w:rPr>
              <w:t>）施工、运输车辆驶出工地前应按规定冲洗车辆等设备，进行除泥除尘处理，严禁将泥沙尘土带出工地。</w:t>
            </w:r>
          </w:p>
          <w:p>
            <w:pPr>
              <w:pStyle w:val="8"/>
              <w:rPr>
                <w:color w:val="auto"/>
                <w:highlight w:val="none"/>
              </w:rPr>
            </w:pPr>
            <w:r>
              <w:rPr>
                <w:color w:val="auto"/>
                <w:highlight w:val="none"/>
              </w:rPr>
              <w:t>（</w:t>
            </w:r>
            <w:r>
              <w:rPr>
                <w:rFonts w:hint="eastAsia"/>
                <w:color w:val="auto"/>
                <w:highlight w:val="none"/>
              </w:rPr>
              <w:t>5</w:t>
            </w:r>
            <w:r>
              <w:rPr>
                <w:color w:val="auto"/>
                <w:highlight w:val="none"/>
              </w:rPr>
              <w:t>）应有专人负责逸散性材料、垃圾、渣土、裸地等密闭、覆盖、洒水作业，车辆清洗作业等并记录扬尘控制措施的实施情况。</w:t>
            </w:r>
          </w:p>
          <w:p>
            <w:pPr>
              <w:pStyle w:val="8"/>
              <w:rPr>
                <w:color w:val="auto"/>
                <w:highlight w:val="none"/>
              </w:rPr>
            </w:pPr>
            <w:r>
              <w:rPr>
                <w:color w:val="auto"/>
                <w:highlight w:val="none"/>
              </w:rPr>
              <w:t>（</w:t>
            </w:r>
            <w:r>
              <w:rPr>
                <w:rFonts w:hint="eastAsia"/>
                <w:color w:val="auto"/>
                <w:highlight w:val="none"/>
              </w:rPr>
              <w:t>6</w:t>
            </w:r>
            <w:r>
              <w:rPr>
                <w:color w:val="auto"/>
                <w:highlight w:val="none"/>
              </w:rPr>
              <w:t>）施工后应该尽快对临时占地进行植被恢复和绿化，确保绿地率不低于规划的要求，绿化应与主体工程同步设计、建设和验收。</w:t>
            </w:r>
          </w:p>
          <w:p>
            <w:pPr>
              <w:pStyle w:val="8"/>
              <w:rPr>
                <w:color w:val="auto"/>
                <w:highlight w:val="none"/>
              </w:rPr>
            </w:pPr>
            <w:r>
              <w:rPr>
                <w:color w:val="auto"/>
                <w:highlight w:val="none"/>
              </w:rPr>
              <w:t>（</w:t>
            </w:r>
            <w:r>
              <w:rPr>
                <w:rFonts w:hint="eastAsia"/>
                <w:color w:val="auto"/>
                <w:highlight w:val="none"/>
              </w:rPr>
              <w:t>7</w:t>
            </w:r>
            <w:r>
              <w:rPr>
                <w:color w:val="auto"/>
                <w:highlight w:val="none"/>
              </w:rPr>
              <w:t>）针对施工车辆尾气，建设单位应选用运行工况好的施工机械和车辆；燃油施工机械和车辆必须在正常状态下使用，保证废气达标排放；加强对施工车辆的检修和维护，严禁使用超期服役和尾气超标的车辆。尽可能使用耗油低，排气小的施工车辆，尽可能选用优质燃油，减少机械和车辆的有害废气排放。</w:t>
            </w:r>
          </w:p>
          <w:p>
            <w:pPr>
              <w:adjustRightInd w:val="0"/>
              <w:spacing w:line="360" w:lineRule="auto"/>
              <w:ind w:firstLine="482" w:firstLineChars="200"/>
              <w:rPr>
                <w:b/>
                <w:bCs/>
                <w:color w:val="auto"/>
                <w:sz w:val="24"/>
                <w:highlight w:val="none"/>
              </w:rPr>
            </w:pPr>
            <w:r>
              <w:rPr>
                <w:b/>
                <w:bCs/>
                <w:color w:val="auto"/>
                <w:sz w:val="24"/>
                <w:highlight w:val="none"/>
              </w:rPr>
              <w:t>4.1.3噪声污染防治措施</w:t>
            </w:r>
          </w:p>
          <w:p>
            <w:pPr>
              <w:pStyle w:val="8"/>
              <w:rPr>
                <w:color w:val="auto"/>
                <w:highlight w:val="none"/>
              </w:rPr>
            </w:pPr>
            <w:r>
              <w:rPr>
                <w:rFonts w:hint="eastAsia"/>
                <w:color w:val="auto"/>
                <w:highlight w:val="none"/>
              </w:rPr>
              <w:t>项目施工位于福清核电厂界内，周边50米范围内不涉及声环境保护目标，</w:t>
            </w:r>
            <w:r>
              <w:rPr>
                <w:color w:val="auto"/>
                <w:highlight w:val="none"/>
              </w:rPr>
              <w:t>施工噪声对周边环境</w:t>
            </w:r>
            <w:r>
              <w:rPr>
                <w:rFonts w:hint="eastAsia"/>
                <w:color w:val="auto"/>
                <w:highlight w:val="none"/>
              </w:rPr>
              <w:t>的</w:t>
            </w:r>
            <w:r>
              <w:rPr>
                <w:color w:val="auto"/>
                <w:highlight w:val="none"/>
              </w:rPr>
              <w:t>影响</w:t>
            </w:r>
            <w:r>
              <w:rPr>
                <w:rFonts w:hint="eastAsia"/>
                <w:color w:val="auto"/>
                <w:highlight w:val="none"/>
              </w:rPr>
              <w:t>相对较小。</w:t>
            </w:r>
            <w:r>
              <w:rPr>
                <w:color w:val="auto"/>
                <w:highlight w:val="none"/>
              </w:rPr>
              <w:t>建议施工方采取以下措施以避免或减缓施工噪声对周围环境产生的不利影响：</w:t>
            </w:r>
          </w:p>
          <w:p>
            <w:pPr>
              <w:pStyle w:val="8"/>
              <w:rPr>
                <w:color w:val="auto"/>
                <w:highlight w:val="none"/>
              </w:rPr>
            </w:pPr>
            <w:r>
              <w:rPr>
                <w:color w:val="auto"/>
                <w:highlight w:val="none"/>
              </w:rPr>
              <w:t>（</w:t>
            </w:r>
            <w:r>
              <w:rPr>
                <w:rFonts w:hint="eastAsia"/>
                <w:color w:val="auto"/>
                <w:highlight w:val="none"/>
              </w:rPr>
              <w:t>1</w:t>
            </w:r>
            <w:r>
              <w:rPr>
                <w:color w:val="auto"/>
                <w:highlight w:val="none"/>
              </w:rPr>
              <w:t>）采用较先进、噪声较低的施工设备，限制高噪声设备的施工时段，必要时高噪声的施工机械应采取隔声、降噪措施，减轻对周围环境的影响。</w:t>
            </w:r>
            <w:r>
              <w:rPr>
                <w:rFonts w:hint="eastAsia"/>
                <w:color w:val="auto"/>
                <w:highlight w:val="none"/>
              </w:rPr>
              <w:t>施工</w:t>
            </w:r>
            <w:r>
              <w:rPr>
                <w:rFonts w:hint="eastAsia"/>
                <w:color w:val="auto"/>
                <w:highlight w:val="none"/>
                <w:u w:val="none"/>
              </w:rPr>
              <w:t>场</w:t>
            </w:r>
            <w:r>
              <w:rPr>
                <w:rFonts w:hint="eastAsia"/>
                <w:color w:val="auto"/>
                <w:highlight w:val="none"/>
              </w:rPr>
              <w:t>界应达到</w:t>
            </w:r>
            <w:r>
              <w:rPr>
                <w:color w:val="auto"/>
                <w:highlight w:val="none"/>
                <w:u w:val="single"/>
              </w:rPr>
              <w:t>《建筑施工场界环境噪声排放标准》（GB</w:t>
            </w:r>
            <w:r>
              <w:rPr>
                <w:rFonts w:hint="eastAsia"/>
                <w:color w:val="auto"/>
                <w:highlight w:val="none"/>
                <w:u w:val="single"/>
              </w:rPr>
              <w:t xml:space="preserve"> </w:t>
            </w:r>
            <w:r>
              <w:rPr>
                <w:color w:val="auto"/>
                <w:highlight w:val="none"/>
                <w:u w:val="single"/>
              </w:rPr>
              <w:t>12523-2011）</w:t>
            </w:r>
            <w:r>
              <w:rPr>
                <w:rFonts w:hint="eastAsia"/>
                <w:color w:val="auto"/>
                <w:highlight w:val="none"/>
                <w:u w:val="single"/>
              </w:rPr>
              <w:t>要求。</w:t>
            </w:r>
          </w:p>
          <w:p>
            <w:pPr>
              <w:pStyle w:val="8"/>
              <w:rPr>
                <w:color w:val="auto"/>
                <w:highlight w:val="none"/>
              </w:rPr>
            </w:pPr>
            <w:r>
              <w:rPr>
                <w:color w:val="auto"/>
                <w:highlight w:val="none"/>
              </w:rPr>
              <w:t>（</w:t>
            </w:r>
            <w:r>
              <w:rPr>
                <w:rFonts w:hint="eastAsia"/>
                <w:color w:val="auto"/>
                <w:highlight w:val="none"/>
              </w:rPr>
              <w:t>2</w:t>
            </w:r>
            <w:r>
              <w:rPr>
                <w:color w:val="auto"/>
                <w:highlight w:val="none"/>
              </w:rPr>
              <w:t>）提高工作效率，加快施工进度，尽可能缩短施工建设对周围环境的影响。</w:t>
            </w:r>
          </w:p>
          <w:p>
            <w:pPr>
              <w:adjustRightInd w:val="0"/>
              <w:spacing w:line="360" w:lineRule="auto"/>
              <w:ind w:firstLine="482" w:firstLineChars="200"/>
              <w:rPr>
                <w:b/>
                <w:bCs/>
                <w:color w:val="auto"/>
                <w:sz w:val="24"/>
                <w:highlight w:val="none"/>
              </w:rPr>
            </w:pPr>
            <w:r>
              <w:rPr>
                <w:b/>
                <w:bCs/>
                <w:color w:val="auto"/>
                <w:sz w:val="24"/>
                <w:highlight w:val="none"/>
              </w:rPr>
              <w:t>4.1.4固体废物污染防治措施</w:t>
            </w:r>
          </w:p>
          <w:p>
            <w:pPr>
              <w:pStyle w:val="8"/>
              <w:rPr>
                <w:color w:val="auto"/>
                <w:highlight w:val="none"/>
              </w:rPr>
            </w:pPr>
            <w:r>
              <w:rPr>
                <w:color w:val="auto"/>
                <w:highlight w:val="none"/>
              </w:rPr>
              <w:t>项目施工过</w:t>
            </w:r>
            <w:r>
              <w:rPr>
                <w:rFonts w:hint="eastAsia"/>
                <w:color w:val="auto"/>
                <w:highlight w:val="none"/>
              </w:rPr>
              <w:t>程中</w:t>
            </w:r>
            <w:r>
              <w:rPr>
                <w:color w:val="auto"/>
                <w:highlight w:val="none"/>
              </w:rPr>
              <w:t>施工人员生活垃圾应</w:t>
            </w:r>
            <w:r>
              <w:rPr>
                <w:rFonts w:hint="eastAsia"/>
                <w:color w:val="auto"/>
                <w:highlight w:val="none"/>
              </w:rPr>
              <w:t>应由相应施工单位集中收集清运，符合所在地的环卫部门管理要求</w:t>
            </w:r>
            <w:r>
              <w:rPr>
                <w:color w:val="auto"/>
                <w:highlight w:val="none"/>
              </w:rPr>
              <w:t>。</w:t>
            </w:r>
          </w:p>
          <w:p>
            <w:pPr>
              <w:pStyle w:val="8"/>
              <w:rPr>
                <w:color w:val="auto"/>
                <w:highlight w:val="none"/>
              </w:rPr>
            </w:pPr>
            <w:r>
              <w:rPr>
                <w:color w:val="auto"/>
                <w:highlight w:val="none"/>
              </w:rPr>
              <w:t>施工中应严格建筑垃圾</w:t>
            </w:r>
            <w:r>
              <w:rPr>
                <w:rFonts w:hint="eastAsia"/>
                <w:color w:val="auto"/>
                <w:highlight w:val="none"/>
              </w:rPr>
              <w:t>、开挖土石方</w:t>
            </w:r>
            <w:r>
              <w:rPr>
                <w:color w:val="auto"/>
                <w:highlight w:val="none"/>
              </w:rPr>
              <w:t>的管理。尽量对建筑垃圾进行综合利用：散落的砂浆、混凝土，可采用冲洗法或化学法回收；废混凝土块经破碎后也可作为碎石直接用于道路垫层。</w:t>
            </w:r>
            <w:r>
              <w:rPr>
                <w:rFonts w:hint="eastAsia"/>
                <w:color w:val="auto"/>
                <w:highlight w:val="none"/>
              </w:rPr>
              <w:t>其他</w:t>
            </w:r>
            <w:r>
              <w:rPr>
                <w:color w:val="auto"/>
                <w:highlight w:val="none"/>
              </w:rPr>
              <w:t>废弃钢筋、水泥包装纸等，可收集集中后出售给废品收购商</w:t>
            </w:r>
            <w:r>
              <w:rPr>
                <w:rFonts w:hint="eastAsia"/>
                <w:color w:val="auto"/>
                <w:highlight w:val="none"/>
              </w:rPr>
              <w:t>。</w:t>
            </w:r>
          </w:p>
          <w:p>
            <w:pPr>
              <w:adjustRightInd w:val="0"/>
              <w:spacing w:line="360" w:lineRule="auto"/>
              <w:ind w:firstLine="482" w:firstLineChars="200"/>
              <w:rPr>
                <w:b/>
                <w:bCs/>
                <w:color w:val="auto"/>
                <w:sz w:val="24"/>
                <w:highlight w:val="none"/>
              </w:rPr>
            </w:pPr>
            <w:r>
              <w:rPr>
                <w:rFonts w:hint="eastAsia"/>
                <w:b/>
                <w:bCs/>
                <w:color w:val="auto"/>
                <w:sz w:val="24"/>
                <w:highlight w:val="none"/>
              </w:rPr>
              <w:t>4.1.5</w:t>
            </w:r>
            <w:r>
              <w:rPr>
                <w:b/>
                <w:bCs/>
                <w:color w:val="auto"/>
                <w:sz w:val="24"/>
                <w:highlight w:val="none"/>
              </w:rPr>
              <w:t>生态环境保护措施</w:t>
            </w:r>
          </w:p>
          <w:p>
            <w:pPr>
              <w:pStyle w:val="8"/>
              <w:rPr>
                <w:color w:val="auto"/>
                <w:highlight w:val="none"/>
              </w:rPr>
            </w:pPr>
            <w:r>
              <w:rPr>
                <w:color w:val="auto"/>
                <w:highlight w:val="none"/>
              </w:rPr>
              <w:t>施工期因开挖地基、</w:t>
            </w:r>
            <w:r>
              <w:rPr>
                <w:rFonts w:hint="eastAsia"/>
                <w:color w:val="auto"/>
                <w:highlight w:val="none"/>
              </w:rPr>
              <w:t>管渠、</w:t>
            </w:r>
            <w:r>
              <w:rPr>
                <w:color w:val="auto"/>
                <w:highlight w:val="none"/>
              </w:rPr>
              <w:t>搬运渣土及运进各种建材等，会对项目所在地的生态环境在短时期内形成一定的影响，造成水土流失。为了控制和减少项目建设中的水土流失，保护水土资源和改善生态环境，本环评针对工程建设过程中的水土流失特点和防治要求，提出以下几点水土保持措施：</w:t>
            </w:r>
          </w:p>
          <w:p>
            <w:pPr>
              <w:pStyle w:val="8"/>
              <w:rPr>
                <w:color w:val="auto"/>
                <w:highlight w:val="none"/>
              </w:rPr>
            </w:pPr>
            <w:r>
              <w:rPr>
                <w:color w:val="auto"/>
                <w:highlight w:val="none"/>
              </w:rPr>
              <w:t>（</w:t>
            </w:r>
            <w:r>
              <w:rPr>
                <w:rFonts w:hint="eastAsia"/>
                <w:color w:val="auto"/>
                <w:highlight w:val="none"/>
              </w:rPr>
              <w:t>1</w:t>
            </w:r>
            <w:r>
              <w:rPr>
                <w:color w:val="auto"/>
                <w:highlight w:val="none"/>
              </w:rPr>
              <w:t>）合理选择施工工序，做好项目挖填土方的合理调配工作，尽量缩短临时土石料堆放的时间；</w:t>
            </w:r>
          </w:p>
          <w:p>
            <w:pPr>
              <w:pStyle w:val="8"/>
              <w:rPr>
                <w:color w:val="auto"/>
                <w:highlight w:val="none"/>
              </w:rPr>
            </w:pPr>
            <w:r>
              <w:rPr>
                <w:color w:val="auto"/>
                <w:highlight w:val="none"/>
              </w:rPr>
              <w:t>（</w:t>
            </w:r>
            <w:r>
              <w:rPr>
                <w:rFonts w:hint="eastAsia"/>
                <w:color w:val="auto"/>
                <w:highlight w:val="none"/>
              </w:rPr>
              <w:t>2</w:t>
            </w:r>
            <w:r>
              <w:rPr>
                <w:color w:val="auto"/>
                <w:highlight w:val="none"/>
              </w:rPr>
              <w:t>）在堆放土石时，把易产生水土流失的土料堆放在场地中间，块石堆放在其周围，起临时拦挡作用，严格控制土石料的运输流失；</w:t>
            </w:r>
          </w:p>
          <w:p>
            <w:pPr>
              <w:pStyle w:val="8"/>
              <w:rPr>
                <w:rFonts w:ascii="宋体" w:hAnsi="宋体" w:cs="宋体"/>
                <w:bCs/>
                <w:color w:val="auto"/>
                <w:spacing w:val="-10"/>
                <w:szCs w:val="21"/>
                <w:highlight w:val="none"/>
              </w:rPr>
            </w:pPr>
            <w:r>
              <w:rPr>
                <w:color w:val="auto"/>
                <w:highlight w:val="none"/>
              </w:rPr>
              <w:t>（</w:t>
            </w:r>
            <w:r>
              <w:rPr>
                <w:rFonts w:hint="eastAsia"/>
                <w:color w:val="auto"/>
                <w:highlight w:val="none"/>
              </w:rPr>
              <w:t>3</w:t>
            </w:r>
            <w:r>
              <w:rPr>
                <w:color w:val="auto"/>
                <w:highlight w:val="none"/>
              </w:rPr>
              <w:t>）施工结束后，打扫地面，开挖路面进行硬覆盖，重新疏松被碾压密实的土壤，洼地要覆土填平并及时对裸露土地进行绿化。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89" w:type="pct"/>
            <w:tcMar>
              <w:left w:w="28" w:type="dxa"/>
              <w:right w:w="28" w:type="dxa"/>
            </w:tcMar>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4810" w:type="pct"/>
            <w:vAlign w:val="center"/>
          </w:tcPr>
          <w:p>
            <w:pPr>
              <w:pStyle w:val="3"/>
              <w:jc w:val="both"/>
              <w:rPr>
                <w:color w:val="auto"/>
                <w:highlight w:val="none"/>
              </w:rPr>
            </w:pPr>
            <w:bookmarkStart w:id="33" w:name="_Toc4505"/>
            <w:bookmarkStart w:id="34" w:name="_Toc17232"/>
            <w:r>
              <w:rPr>
                <w:color w:val="auto"/>
                <w:highlight w:val="none"/>
              </w:rPr>
              <w:t>4.</w:t>
            </w:r>
            <w:r>
              <w:rPr>
                <w:rFonts w:hint="eastAsia"/>
                <w:color w:val="auto"/>
                <w:highlight w:val="none"/>
              </w:rPr>
              <w:t>2运营期环境影响分析和</w:t>
            </w:r>
            <w:r>
              <w:rPr>
                <w:color w:val="auto"/>
                <w:highlight w:val="none"/>
              </w:rPr>
              <w:t>保护措施</w:t>
            </w:r>
            <w:bookmarkEnd w:id="33"/>
            <w:bookmarkEnd w:id="34"/>
          </w:p>
          <w:p>
            <w:pPr>
              <w:pStyle w:val="4"/>
              <w:rPr>
                <w:color w:val="auto"/>
                <w:highlight w:val="none"/>
              </w:rPr>
            </w:pPr>
            <w:r>
              <w:rPr>
                <w:color w:val="auto"/>
                <w:highlight w:val="none"/>
              </w:rPr>
              <w:t>4.</w:t>
            </w:r>
            <w:r>
              <w:rPr>
                <w:rFonts w:hint="eastAsia"/>
                <w:color w:val="auto"/>
                <w:highlight w:val="none"/>
              </w:rPr>
              <w:t>2.</w:t>
            </w:r>
            <w:r>
              <w:rPr>
                <w:color w:val="auto"/>
                <w:highlight w:val="none"/>
              </w:rPr>
              <w:t>1</w:t>
            </w:r>
            <w:r>
              <w:rPr>
                <w:rFonts w:hint="eastAsia"/>
                <w:color w:val="auto"/>
                <w:highlight w:val="none"/>
              </w:rPr>
              <w:t>水环境影响分析和</w:t>
            </w:r>
            <w:r>
              <w:rPr>
                <w:color w:val="auto"/>
                <w:highlight w:val="none"/>
              </w:rPr>
              <w:t>保护措施</w:t>
            </w:r>
          </w:p>
          <w:p>
            <w:pPr>
              <w:pStyle w:val="8"/>
              <w:rPr>
                <w:color w:val="auto"/>
                <w:highlight w:val="none"/>
              </w:rPr>
            </w:pPr>
            <w:r>
              <w:rPr>
                <w:rFonts w:hint="eastAsia"/>
                <w:color w:val="auto"/>
                <w:highlight w:val="none"/>
              </w:rPr>
              <w:t>非放射性废水处理站</w:t>
            </w:r>
            <w:r>
              <w:rPr>
                <w:color w:val="auto"/>
                <w:highlight w:val="none"/>
              </w:rPr>
              <w:t>建成后从核电厂现有人员内调配人员运行管理，不新增管理人员，不新增生活污水。</w:t>
            </w:r>
          </w:p>
          <w:p>
            <w:pPr>
              <w:pStyle w:val="8"/>
              <w:ind w:firstLine="482"/>
              <w:rPr>
                <w:b/>
                <w:bCs/>
                <w:color w:val="auto"/>
                <w:highlight w:val="none"/>
              </w:rPr>
            </w:pPr>
            <w:r>
              <w:rPr>
                <w:rFonts w:hint="eastAsia"/>
                <w:b/>
                <w:bCs/>
                <w:color w:val="auto"/>
                <w:highlight w:val="none"/>
              </w:rPr>
              <w:t>（1）废水源强核算</w:t>
            </w:r>
          </w:p>
          <w:p>
            <w:pPr>
              <w:pStyle w:val="8"/>
              <w:rPr>
                <w:color w:val="auto"/>
                <w:highlight w:val="none"/>
              </w:rPr>
            </w:pPr>
            <w:r>
              <w:rPr>
                <w:rFonts w:hint="eastAsia"/>
                <w:color w:val="auto"/>
                <w:highlight w:val="none"/>
              </w:rPr>
              <w:t>根据项目工程分析，本项目非放射性废水处理站主要接收除盐水厂房排水、非放射性含油生产废水、非经常性排水等，处理规模为248.2万m</w:t>
            </w:r>
            <w:r>
              <w:rPr>
                <w:rFonts w:hint="eastAsia"/>
                <w:color w:val="auto"/>
                <w:highlight w:val="none"/>
                <w:vertAlign w:val="superscript"/>
              </w:rPr>
              <w:t>3</w:t>
            </w:r>
            <w:r>
              <w:rPr>
                <w:rFonts w:hint="eastAsia"/>
                <w:color w:val="auto"/>
                <w:highlight w:val="none"/>
              </w:rPr>
              <w:t>/a（即6800m</w:t>
            </w:r>
            <w:r>
              <w:rPr>
                <w:rFonts w:hint="eastAsia"/>
                <w:color w:val="auto"/>
                <w:highlight w:val="none"/>
                <w:vertAlign w:val="superscript"/>
              </w:rPr>
              <w:t>3</w:t>
            </w:r>
            <w:r>
              <w:rPr>
                <w:rFonts w:hint="eastAsia"/>
                <w:color w:val="auto"/>
                <w:highlight w:val="none"/>
              </w:rPr>
              <w:t>/d）。</w:t>
            </w:r>
          </w:p>
          <w:p>
            <w:pPr>
              <w:pStyle w:val="5"/>
              <w:keepNext/>
              <w:ind w:firstLine="402" w:firstLineChars="200"/>
              <w:jc w:val="center"/>
              <w:rPr>
                <w:color w:val="auto"/>
                <w:highlight w:val="none"/>
              </w:rPr>
            </w:pPr>
            <w:r>
              <w:rPr>
                <w:rFonts w:hint="eastAsia"/>
                <w:color w:val="auto"/>
                <w:highlight w:val="none"/>
              </w:rPr>
              <w:t>表4-1非放射性生产废水源强一览表</w:t>
            </w:r>
          </w:p>
          <w:tbl>
            <w:tblPr>
              <w:tblStyle w:val="17"/>
              <w:tblW w:w="48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37"/>
              <w:gridCol w:w="1716"/>
              <w:gridCol w:w="839"/>
              <w:gridCol w:w="684"/>
              <w:gridCol w:w="761"/>
              <w:gridCol w:w="659"/>
              <w:gridCol w:w="689"/>
              <w:gridCol w:w="689"/>
              <w:gridCol w:w="690"/>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46" w:type="pct"/>
                  <w:gridSpan w:val="2"/>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主要污染物指标</w:t>
                  </w:r>
                </w:p>
              </w:tc>
              <w:tc>
                <w:tcPr>
                  <w:tcW w:w="50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水量m</w:t>
                  </w:r>
                  <w:r>
                    <w:rPr>
                      <w:rFonts w:hint="eastAsia"/>
                      <w:color w:val="auto"/>
                      <w:highlight w:val="none"/>
                      <w:vertAlign w:val="superscript"/>
                    </w:rPr>
                    <w:t>3</w:t>
                  </w:r>
                  <w:r>
                    <w:rPr>
                      <w:rFonts w:hint="eastAsia"/>
                      <w:color w:val="auto"/>
                      <w:highlight w:val="none"/>
                    </w:rPr>
                    <w:t>/a</w:t>
                  </w:r>
                </w:p>
              </w:tc>
              <w:tc>
                <w:tcPr>
                  <w:tcW w:w="414"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pH</w:t>
                  </w:r>
                </w:p>
              </w:tc>
              <w:tc>
                <w:tcPr>
                  <w:tcW w:w="461"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COD</w:t>
                  </w:r>
                </w:p>
              </w:tc>
              <w:tc>
                <w:tcPr>
                  <w:tcW w:w="399"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BOD</w:t>
                  </w:r>
                  <w:r>
                    <w:rPr>
                      <w:rFonts w:hint="eastAsia"/>
                      <w:color w:val="auto"/>
                      <w:highlight w:val="none"/>
                      <w:vertAlign w:val="subscript"/>
                    </w:rPr>
                    <w:t>5</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SS</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氨氮</w:t>
                  </w:r>
                </w:p>
              </w:tc>
              <w:tc>
                <w:tcPr>
                  <w:tcW w:w="41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磷酸盐</w:t>
                  </w:r>
                </w:p>
              </w:tc>
              <w:tc>
                <w:tcPr>
                  <w:tcW w:w="415"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46" w:type="pct"/>
                  <w:gridSpan w:val="2"/>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处理流量</w:t>
                  </w:r>
                </w:p>
              </w:tc>
              <w:tc>
                <w:tcPr>
                  <w:tcW w:w="3453" w:type="pct"/>
                  <w:gridSpan w:val="8"/>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年处理流量</w:t>
                  </w:r>
                  <w:r>
                    <w:rPr>
                      <w:rFonts w:hint="eastAsia"/>
                      <w:color w:val="auto"/>
                      <w:highlight w:val="none"/>
                    </w:rPr>
                    <w:t>248.2万</w:t>
                  </w:r>
                  <w:r>
                    <w:rPr>
                      <w:color w:val="auto"/>
                      <w:highlight w:val="none"/>
                    </w:rPr>
                    <w:t>m</w:t>
                  </w:r>
                  <w:r>
                    <w:rPr>
                      <w:color w:val="auto"/>
                      <w:highlight w:val="none"/>
                      <w:vertAlign w:val="superscript"/>
                    </w:rPr>
                    <w:t>3</w:t>
                  </w:r>
                  <w:r>
                    <w:rPr>
                      <w:color w:val="auto"/>
                      <w:highlight w:val="none"/>
                    </w:rPr>
                    <w:t>/a，平均每天处理流量</w:t>
                  </w:r>
                  <w:r>
                    <w:rPr>
                      <w:rFonts w:hint="eastAsia"/>
                      <w:color w:val="auto"/>
                      <w:highlight w:val="none"/>
                    </w:rPr>
                    <w:t>6800</w:t>
                  </w:r>
                  <w:r>
                    <w:rPr>
                      <w:color w:val="auto"/>
                      <w:highlight w:val="none"/>
                    </w:rPr>
                    <w:t>m</w:t>
                  </w:r>
                  <w:r>
                    <w:rPr>
                      <w:color w:val="auto"/>
                      <w:highlight w:val="none"/>
                      <w:vertAlign w:val="superscript"/>
                    </w:rPr>
                    <w:t>3</w:t>
                  </w:r>
                  <w:r>
                    <w:rPr>
                      <w:color w:val="auto"/>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07" w:type="pct"/>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废水产生浓度</w:t>
                  </w:r>
                </w:p>
                <w:p>
                  <w:pPr>
                    <w:pStyle w:val="36"/>
                    <w:jc w:val="both"/>
                    <w:rPr>
                      <w:color w:val="auto"/>
                      <w:highlight w:val="none"/>
                    </w:rPr>
                  </w:pPr>
                  <w:r>
                    <w:rPr>
                      <w:rFonts w:hint="eastAsia"/>
                      <w:color w:val="auto"/>
                      <w:highlight w:val="none"/>
                    </w:rPr>
                    <w:t>(</w:t>
                  </w:r>
                  <w:r>
                    <w:rPr>
                      <w:color w:val="auto"/>
                      <w:highlight w:val="none"/>
                    </w:rPr>
                    <w:t>mg/L</w:t>
                  </w:r>
                  <w:r>
                    <w:rPr>
                      <w:rFonts w:hint="eastAsia"/>
                      <w:color w:val="auto"/>
                      <w:highlight w:val="none"/>
                    </w:rPr>
                    <w:t>)</w:t>
                  </w:r>
                </w:p>
              </w:tc>
              <w:tc>
                <w:tcPr>
                  <w:tcW w:w="103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含油废水处理站出水及其他非放射性生产废水</w:t>
                  </w:r>
                </w:p>
              </w:tc>
              <w:tc>
                <w:tcPr>
                  <w:tcW w:w="50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1715500</w:t>
                  </w:r>
                </w:p>
              </w:tc>
              <w:tc>
                <w:tcPr>
                  <w:tcW w:w="414"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6~</w:t>
                  </w:r>
                  <w:r>
                    <w:rPr>
                      <w:rFonts w:hint="eastAsia"/>
                      <w:color w:val="auto"/>
                      <w:highlight w:val="none"/>
                    </w:rPr>
                    <w:t>10</w:t>
                  </w:r>
                </w:p>
              </w:tc>
              <w:tc>
                <w:tcPr>
                  <w:tcW w:w="461"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50~120</w:t>
                  </w:r>
                </w:p>
              </w:tc>
              <w:tc>
                <w:tcPr>
                  <w:tcW w:w="399"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10~20</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20~80</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5~20</w:t>
                  </w:r>
                </w:p>
              </w:tc>
              <w:tc>
                <w:tcPr>
                  <w:tcW w:w="41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≤2</w:t>
                  </w:r>
                </w:p>
              </w:tc>
              <w:tc>
                <w:tcPr>
                  <w:tcW w:w="415"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07" w:type="pct"/>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103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除盐水厂房排水</w:t>
                  </w:r>
                </w:p>
              </w:tc>
              <w:tc>
                <w:tcPr>
                  <w:tcW w:w="50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766500</w:t>
                  </w:r>
                </w:p>
              </w:tc>
              <w:tc>
                <w:tcPr>
                  <w:tcW w:w="414"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6~</w:t>
                  </w:r>
                  <w:r>
                    <w:rPr>
                      <w:rFonts w:hint="eastAsia"/>
                      <w:color w:val="auto"/>
                      <w:highlight w:val="none"/>
                    </w:rPr>
                    <w:t>10</w:t>
                  </w:r>
                </w:p>
              </w:tc>
              <w:tc>
                <w:tcPr>
                  <w:tcW w:w="461"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50~1</w:t>
                  </w:r>
                  <w:r>
                    <w:rPr>
                      <w:rFonts w:hint="eastAsia"/>
                      <w:color w:val="auto"/>
                      <w:highlight w:val="none"/>
                    </w:rPr>
                    <w:t>05</w:t>
                  </w:r>
                </w:p>
              </w:tc>
              <w:tc>
                <w:tcPr>
                  <w:tcW w:w="399"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lang w:eastAsia="zh"/>
                    </w:rPr>
                    <w:t>5~1</w:t>
                  </w:r>
                  <w:r>
                    <w:rPr>
                      <w:rFonts w:hint="eastAsia"/>
                      <w:color w:val="auto"/>
                      <w:highlight w:val="none"/>
                    </w:rPr>
                    <w:t>5</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2</w:t>
                  </w:r>
                  <w:r>
                    <w:rPr>
                      <w:rFonts w:hint="eastAsia"/>
                      <w:color w:val="auto"/>
                      <w:highlight w:val="none"/>
                      <w:lang w:eastAsia="zh"/>
                    </w:rPr>
                    <w:t>0~</w:t>
                  </w:r>
                  <w:r>
                    <w:rPr>
                      <w:rFonts w:hint="eastAsia"/>
                      <w:color w:val="auto"/>
                      <w:highlight w:val="none"/>
                    </w:rPr>
                    <w:t>80</w:t>
                  </w:r>
                </w:p>
              </w:tc>
              <w:tc>
                <w:tcPr>
                  <w:tcW w:w="41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w:t>
                  </w:r>
                  <w:r>
                    <w:rPr>
                      <w:rFonts w:hint="eastAsia"/>
                      <w:color w:val="auto"/>
                      <w:highlight w:val="none"/>
                    </w:rPr>
                    <w:t>7</w:t>
                  </w:r>
                </w:p>
              </w:tc>
              <w:tc>
                <w:tcPr>
                  <w:tcW w:w="41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0.</w:t>
                  </w:r>
                  <w:r>
                    <w:rPr>
                      <w:rFonts w:hint="eastAsia"/>
                      <w:color w:val="auto"/>
                      <w:highlight w:val="none"/>
                      <w:lang w:eastAsia="zh"/>
                    </w:rPr>
                    <w:t>5~</w:t>
                  </w:r>
                  <w:r>
                    <w:rPr>
                      <w:rFonts w:hint="eastAsia"/>
                      <w:color w:val="auto"/>
                      <w:highlight w:val="none"/>
                    </w:rPr>
                    <w:t>5</w:t>
                  </w:r>
                </w:p>
              </w:tc>
              <w:tc>
                <w:tcPr>
                  <w:tcW w:w="415"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46" w:type="pct"/>
                  <w:gridSpan w:val="2"/>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废水</w:t>
                  </w:r>
                  <w:r>
                    <w:rPr>
                      <w:rFonts w:hint="eastAsia"/>
                      <w:color w:val="auto"/>
                      <w:highlight w:val="none"/>
                    </w:rPr>
                    <w:t>排放</w:t>
                  </w:r>
                  <w:r>
                    <w:rPr>
                      <w:color w:val="auto"/>
                      <w:highlight w:val="none"/>
                    </w:rPr>
                    <w:t>浓度（mg/L）</w:t>
                  </w:r>
                </w:p>
              </w:tc>
              <w:tc>
                <w:tcPr>
                  <w:tcW w:w="508"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2482000</w:t>
                  </w:r>
                </w:p>
              </w:tc>
              <w:tc>
                <w:tcPr>
                  <w:tcW w:w="414"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6~</w:t>
                  </w:r>
                  <w:r>
                    <w:rPr>
                      <w:rFonts w:hint="eastAsia"/>
                      <w:color w:val="auto"/>
                      <w:highlight w:val="none"/>
                    </w:rPr>
                    <w:t>9</w:t>
                  </w:r>
                </w:p>
              </w:tc>
              <w:tc>
                <w:tcPr>
                  <w:tcW w:w="461"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eastAsia="等线"/>
                      <w:color w:val="auto"/>
                      <w:kern w:val="0"/>
                      <w:szCs w:val="21"/>
                      <w:highlight w:val="none"/>
                      <w:lang w:bidi="ar"/>
                    </w:rPr>
                    <w:t>100</w:t>
                  </w:r>
                </w:p>
              </w:tc>
              <w:tc>
                <w:tcPr>
                  <w:tcW w:w="399"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eastAsia="等线"/>
                      <w:color w:val="auto"/>
                      <w:kern w:val="0"/>
                      <w:szCs w:val="21"/>
                      <w:highlight w:val="none"/>
                      <w:lang w:bidi="ar"/>
                    </w:rPr>
                    <w:t>20</w:t>
                  </w:r>
                </w:p>
              </w:tc>
              <w:tc>
                <w:tcPr>
                  <w:tcW w:w="417"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eastAsia="等线"/>
                      <w:color w:val="auto"/>
                      <w:kern w:val="0"/>
                      <w:szCs w:val="21"/>
                      <w:highlight w:val="none"/>
                      <w:lang w:bidi="ar"/>
                    </w:rPr>
                    <w:t>70</w:t>
                  </w:r>
                </w:p>
              </w:tc>
              <w:tc>
                <w:tcPr>
                  <w:tcW w:w="417"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eastAsia="等线"/>
                      <w:color w:val="auto"/>
                      <w:kern w:val="0"/>
                      <w:szCs w:val="21"/>
                      <w:highlight w:val="none"/>
                      <w:lang w:bidi="ar"/>
                    </w:rPr>
                    <w:t>15</w:t>
                  </w:r>
                </w:p>
              </w:tc>
              <w:tc>
                <w:tcPr>
                  <w:tcW w:w="418"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eastAsia="等线"/>
                      <w:color w:val="auto"/>
                      <w:kern w:val="0"/>
                      <w:szCs w:val="21"/>
                      <w:highlight w:val="none"/>
                      <w:lang w:bidi="ar"/>
                    </w:rPr>
                    <w:t>0.5</w:t>
                  </w:r>
                </w:p>
              </w:tc>
              <w:tc>
                <w:tcPr>
                  <w:tcW w:w="41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auto"/>
                      <w:highlight w:val="none"/>
                    </w:rPr>
                  </w:pPr>
                  <w:r>
                    <w:rPr>
                      <w:rFonts w:hint="eastAsia" w:eastAsia="等线"/>
                      <w:color w:val="auto"/>
                      <w:kern w:val="0"/>
                      <w:szCs w:val="21"/>
                      <w:highlight w:val="none"/>
                      <w:lang w:bidi="ar"/>
                    </w:rPr>
                    <w:t>5</w:t>
                  </w:r>
                </w:p>
              </w:tc>
            </w:tr>
          </w:tbl>
          <w:p>
            <w:pPr>
              <w:pStyle w:val="8"/>
              <w:ind w:firstLine="482"/>
              <w:rPr>
                <w:b/>
                <w:bCs/>
                <w:color w:val="auto"/>
                <w:highlight w:val="none"/>
              </w:rPr>
            </w:pPr>
            <w:r>
              <w:rPr>
                <w:rFonts w:hint="eastAsia"/>
                <w:b/>
                <w:bCs/>
                <w:color w:val="auto"/>
                <w:highlight w:val="none"/>
              </w:rPr>
              <w:t>（2）废水处置方式</w:t>
            </w:r>
          </w:p>
          <w:p>
            <w:pPr>
              <w:pStyle w:val="8"/>
              <w:rPr>
                <w:color w:val="auto"/>
                <w:highlight w:val="none"/>
              </w:rPr>
            </w:pPr>
            <w:r>
              <w:rPr>
                <w:rFonts w:hint="eastAsia"/>
                <w:color w:val="auto"/>
                <w:highlight w:val="none"/>
              </w:rPr>
              <w:t>项目建设1座非放射性废水处理站及改造非放射性废水管网，废水</w:t>
            </w:r>
            <w:r>
              <w:rPr>
                <w:color w:val="auto"/>
                <w:highlight w:val="none"/>
              </w:rPr>
              <w:t>主要污染物为</w:t>
            </w:r>
            <w:r>
              <w:rPr>
                <w:rFonts w:hint="eastAsia"/>
                <w:color w:val="auto"/>
                <w:highlight w:val="none"/>
              </w:rPr>
              <w:t>p</w:t>
            </w:r>
            <w:r>
              <w:rPr>
                <w:color w:val="auto"/>
                <w:highlight w:val="none"/>
              </w:rPr>
              <w:t>H值、COD</w:t>
            </w:r>
            <w:r>
              <w:rPr>
                <w:rFonts w:hint="eastAsia"/>
                <w:color w:val="auto"/>
                <w:highlight w:val="none"/>
              </w:rPr>
              <w:t>、</w:t>
            </w:r>
            <w:r>
              <w:rPr>
                <w:color w:val="auto"/>
                <w:highlight w:val="none"/>
              </w:rPr>
              <w:t>悬浮物、氨氮、磷酸盐</w:t>
            </w:r>
            <w:r>
              <w:rPr>
                <w:rFonts w:hint="eastAsia"/>
                <w:color w:val="auto"/>
                <w:highlight w:val="none"/>
              </w:rPr>
              <w:t>、石油类</w:t>
            </w:r>
            <w:r>
              <w:rPr>
                <w:color w:val="auto"/>
                <w:highlight w:val="none"/>
              </w:rPr>
              <w:t>等，</w:t>
            </w:r>
            <w:r>
              <w:rPr>
                <w:rFonts w:hint="eastAsia"/>
                <w:color w:val="auto"/>
                <w:highlight w:val="none"/>
                <w:lang w:eastAsia="zh"/>
              </w:rPr>
              <w:t>含油废水处理站出水及其他非放射性废水</w:t>
            </w:r>
            <w:r>
              <w:rPr>
                <w:color w:val="auto"/>
                <w:highlight w:val="none"/>
              </w:rPr>
              <w:t>采用</w:t>
            </w:r>
            <w:r>
              <w:rPr>
                <w:rFonts w:hint="eastAsia"/>
                <w:color w:val="auto"/>
                <w:highlight w:val="none"/>
              </w:rPr>
              <w:t>“调节池+pH调整池+混合池+反应池+浮沉池+中间水池+过滤器+清水池”</w:t>
            </w:r>
            <w:r>
              <w:rPr>
                <w:color w:val="auto"/>
                <w:highlight w:val="none"/>
              </w:rPr>
              <w:t>工艺</w:t>
            </w:r>
            <w:r>
              <w:rPr>
                <w:rFonts w:hint="eastAsia"/>
                <w:color w:val="auto"/>
                <w:highlight w:val="none"/>
                <w:lang w:eastAsia="zh"/>
              </w:rPr>
              <w:t>路线一</w:t>
            </w:r>
            <w:r>
              <w:rPr>
                <w:rFonts w:hint="eastAsia"/>
                <w:color w:val="auto"/>
                <w:highlight w:val="none"/>
              </w:rPr>
              <w:t>，</w:t>
            </w:r>
            <w:r>
              <w:rPr>
                <w:rFonts w:hint="eastAsia"/>
                <w:color w:val="auto"/>
                <w:highlight w:val="none"/>
                <w:lang w:eastAsia="zh"/>
              </w:rPr>
              <w:t>除盐水厂房排水采用“调节池+过滤器+清水池”工艺路线二，均</w:t>
            </w:r>
            <w:r>
              <w:rPr>
                <w:color w:val="auto"/>
                <w:highlight w:val="none"/>
              </w:rPr>
              <w:t>处理</w:t>
            </w:r>
            <w:r>
              <w:rPr>
                <w:rFonts w:hint="eastAsia"/>
                <w:color w:val="auto"/>
                <w:highlight w:val="none"/>
              </w:rPr>
              <w:t>达到《污水综合排放标准》（GB 8978-1996）表4中一级标准后，与循环冷却水混合排入虹吸井（总排放渠混合井8CC），最终排入兴化湾。</w:t>
            </w:r>
          </w:p>
          <w:p>
            <w:pPr>
              <w:pStyle w:val="8"/>
              <w:ind w:firstLine="482"/>
              <w:rPr>
                <w:b/>
                <w:bCs/>
                <w:color w:val="auto"/>
                <w:highlight w:val="none"/>
              </w:rPr>
            </w:pPr>
            <w:r>
              <w:rPr>
                <w:rFonts w:hint="eastAsia"/>
                <w:b/>
                <w:bCs/>
                <w:color w:val="auto"/>
                <w:highlight w:val="none"/>
              </w:rPr>
              <w:t>（3）废水处理可行性分析</w:t>
            </w:r>
          </w:p>
          <w:p>
            <w:pPr>
              <w:pStyle w:val="8"/>
              <w:ind w:firstLine="482"/>
              <w:rPr>
                <w:b/>
                <w:bCs/>
                <w:color w:val="auto"/>
                <w:highlight w:val="none"/>
              </w:rPr>
            </w:pPr>
            <w:r>
              <w:rPr>
                <w:rFonts w:hint="eastAsia"/>
                <w:b/>
                <w:bCs/>
                <w:color w:val="auto"/>
                <w:highlight w:val="none"/>
              </w:rPr>
              <w:t>①水量接纳可行性分析</w:t>
            </w:r>
          </w:p>
          <w:p>
            <w:pPr>
              <w:pStyle w:val="8"/>
              <w:rPr>
                <w:color w:val="auto"/>
                <w:highlight w:val="none"/>
              </w:rPr>
            </w:pPr>
            <w:r>
              <w:rPr>
                <w:rFonts w:hint="eastAsia"/>
                <w:color w:val="auto"/>
                <w:highlight w:val="none"/>
              </w:rPr>
              <w:t>排污虹吸井（总排放渠混合井8CC）通过排水明渠排入兴化湾。现阶段1、2、3、4、5、6号机组排入排污虹吸井（总排放渠混合井7CC、8CC和9CC）循环水流量约348m</w:t>
            </w:r>
            <w:r>
              <w:rPr>
                <w:rFonts w:hint="eastAsia"/>
                <w:color w:val="auto"/>
                <w:highlight w:val="none"/>
                <w:vertAlign w:val="superscript"/>
              </w:rPr>
              <w:t>3</w:t>
            </w:r>
            <w:r>
              <w:rPr>
                <w:rFonts w:hint="eastAsia"/>
                <w:color w:val="auto"/>
                <w:highlight w:val="none"/>
              </w:rPr>
              <w:t>/s，对排水量没有限制。本项目按最大排污流量计，废水总排放流量为6800m</w:t>
            </w:r>
            <w:r>
              <w:rPr>
                <w:rFonts w:hint="eastAsia"/>
                <w:color w:val="auto"/>
                <w:highlight w:val="none"/>
                <w:vertAlign w:val="superscript"/>
              </w:rPr>
              <w:t>3</w:t>
            </w:r>
            <w:r>
              <w:rPr>
                <w:rFonts w:hint="eastAsia"/>
                <w:color w:val="auto"/>
                <w:highlight w:val="none"/>
              </w:rPr>
              <w:t>/d（即0.0</w:t>
            </w:r>
            <w:r>
              <w:rPr>
                <w:rFonts w:hint="eastAsia"/>
                <w:color w:val="auto"/>
                <w:highlight w:val="none"/>
                <w:lang w:eastAsia="zh"/>
              </w:rPr>
              <w:t>79</w:t>
            </w:r>
            <w:r>
              <w:rPr>
                <w:rFonts w:hint="eastAsia"/>
                <w:color w:val="auto"/>
                <w:highlight w:val="none"/>
              </w:rPr>
              <w:t>m</w:t>
            </w:r>
            <w:r>
              <w:rPr>
                <w:rFonts w:hint="eastAsia"/>
                <w:color w:val="auto"/>
                <w:highlight w:val="none"/>
                <w:vertAlign w:val="superscript"/>
              </w:rPr>
              <w:t>3</w:t>
            </w:r>
            <w:r>
              <w:rPr>
                <w:rFonts w:hint="eastAsia"/>
                <w:color w:val="auto"/>
                <w:highlight w:val="none"/>
              </w:rPr>
              <w:t>/s），仅占现有废水排放量的0.02%，不会对总排放口排水造成冲击</w:t>
            </w:r>
            <w:r>
              <w:rPr>
                <w:rFonts w:hint="eastAsia"/>
                <w:color w:val="auto"/>
                <w:highlight w:val="none"/>
                <w:lang w:eastAsia="zh-CN"/>
              </w:rPr>
              <w:t>且</w:t>
            </w:r>
            <w:r>
              <w:rPr>
                <w:rFonts w:hint="eastAsia"/>
                <w:color w:val="auto"/>
                <w:highlight w:val="none"/>
              </w:rPr>
              <w:t>检修期间对应检修机组不排水，总排口检修期间排水量小于非检修期间排水量。从流量角度分析，排污虹吸井（总排放渠混合井8CC）可容纳本项目废水排放。</w:t>
            </w:r>
          </w:p>
          <w:p>
            <w:pPr>
              <w:pStyle w:val="8"/>
              <w:ind w:firstLine="482"/>
              <w:rPr>
                <w:b/>
                <w:bCs/>
                <w:color w:val="auto"/>
                <w:highlight w:val="none"/>
              </w:rPr>
            </w:pPr>
            <w:r>
              <w:rPr>
                <w:rFonts w:hint="eastAsia"/>
                <w:b/>
                <w:bCs/>
                <w:color w:val="auto"/>
                <w:highlight w:val="none"/>
              </w:rPr>
              <w:t>②水质接纳可行性分析</w:t>
            </w:r>
          </w:p>
          <w:p>
            <w:pPr>
              <w:pStyle w:val="8"/>
              <w:rPr>
                <w:color w:val="auto"/>
                <w:highlight w:val="none"/>
              </w:rPr>
            </w:pPr>
            <w:r>
              <w:rPr>
                <w:rFonts w:hint="eastAsia"/>
                <w:color w:val="auto"/>
                <w:highlight w:val="none"/>
              </w:rPr>
              <w:t>排污虹吸井（总排放渠混合井CC）主要接纳全厂区经处理达标的生活污水、非放射性生产废水、海水冷却水、经处理达标的低放射性废水等。根据原有1-6号机组环评及验收报告，生活污水处理站排放口排放污染物包括pH、COD、BOD</w:t>
            </w:r>
            <w:r>
              <w:rPr>
                <w:color w:val="auto"/>
                <w:highlight w:val="none"/>
                <w:vertAlign w:val="subscript"/>
              </w:rPr>
              <w:t>5</w:t>
            </w:r>
            <w:r>
              <w:rPr>
                <w:rFonts w:hint="eastAsia"/>
                <w:color w:val="auto"/>
                <w:highlight w:val="none"/>
              </w:rPr>
              <w:t>、氨氮、总氮、悬浮物、LAS、石油类、总磷、粪大肠杆菌、总磷等；工业废水处理站排放污染物包括pH、COD、BOD</w:t>
            </w:r>
            <w:r>
              <w:rPr>
                <w:rFonts w:hint="eastAsia" w:ascii="Times New Roman" w:hAnsi="Times New Roman"/>
                <w:color w:val="auto"/>
                <w:sz w:val="21"/>
                <w:szCs w:val="21"/>
                <w:highlight w:val="none"/>
                <w:u w:val="single"/>
                <w:vertAlign w:val="subscript"/>
                <w:lang w:eastAsia="zh" w:bidi="ar"/>
              </w:rPr>
              <w:t>5</w:t>
            </w:r>
            <w:r>
              <w:rPr>
                <w:rFonts w:hint="eastAsia"/>
                <w:color w:val="auto"/>
                <w:highlight w:val="none"/>
              </w:rPr>
              <w:t>、氨氮、悬浮物、油类、总磷等；海水冷却水主要为温升变化，水质与海水水质基本一致。</w:t>
            </w:r>
          </w:p>
          <w:p>
            <w:pPr>
              <w:pStyle w:val="8"/>
              <w:rPr>
                <w:color w:val="auto"/>
                <w:highlight w:val="none"/>
              </w:rPr>
            </w:pPr>
            <w:r>
              <w:rPr>
                <w:rFonts w:hint="eastAsia"/>
                <w:color w:val="auto"/>
                <w:highlight w:val="none"/>
              </w:rPr>
              <w:t>可知，排污虹吸井排放的非放射性污染物主要有pH、COD、BOD</w:t>
            </w:r>
            <w:r>
              <w:rPr>
                <w:rFonts w:hint="eastAsia"/>
                <w:color w:val="auto"/>
                <w:highlight w:val="none"/>
                <w:vertAlign w:val="subscript"/>
                <w:lang w:eastAsia="zh"/>
              </w:rPr>
              <w:t>5</w:t>
            </w:r>
            <w:r>
              <w:rPr>
                <w:rFonts w:hint="eastAsia"/>
                <w:color w:val="auto"/>
                <w:highlight w:val="none"/>
              </w:rPr>
              <w:t>、氨氮、总氮、悬浮物、石油类、总磷等，</w:t>
            </w:r>
            <w:r>
              <w:rPr>
                <w:rFonts w:hint="eastAsia"/>
                <w:b/>
                <w:bCs/>
                <w:color w:val="auto"/>
                <w:highlight w:val="none"/>
              </w:rPr>
              <w:t>上述废水涉及项目可包络本项目所排放的污染物</w:t>
            </w:r>
            <w:r>
              <w:rPr>
                <w:rFonts w:hint="eastAsia"/>
                <w:color w:val="auto"/>
                <w:highlight w:val="none"/>
              </w:rPr>
              <w:t>。其次，</w:t>
            </w:r>
            <w:r>
              <w:rPr>
                <w:rFonts w:hint="eastAsia"/>
                <w:b/>
                <w:bCs/>
                <w:color w:val="auto"/>
                <w:highlight w:val="none"/>
              </w:rPr>
              <w:t>本项目属于现有核电项目的雨废分离水质提升项目，将原有非放射性生产废水集中收集处理后排放，本次不新增污染物</w:t>
            </w:r>
            <w:r>
              <w:rPr>
                <w:rFonts w:hint="eastAsia"/>
                <w:b/>
                <w:bCs/>
                <w:color w:val="auto"/>
                <w:highlight w:val="none"/>
                <w:lang w:eastAsia="zh-CN"/>
              </w:rPr>
              <w:t>且</w:t>
            </w:r>
            <w:r>
              <w:rPr>
                <w:rFonts w:hint="eastAsia"/>
                <w:color w:val="auto"/>
                <w:highlight w:val="none"/>
              </w:rPr>
              <w:t>各污染物之间不会发生反应产生二次污染物。</w:t>
            </w:r>
          </w:p>
          <w:p>
            <w:pPr>
              <w:pStyle w:val="8"/>
              <w:ind w:firstLine="482"/>
              <w:rPr>
                <w:b/>
                <w:bCs/>
                <w:color w:val="auto"/>
                <w:highlight w:val="none"/>
              </w:rPr>
            </w:pPr>
            <w:r>
              <w:rPr>
                <w:rFonts w:hint="eastAsia"/>
                <w:b/>
                <w:bCs/>
                <w:color w:val="auto"/>
                <w:highlight w:val="none"/>
              </w:rPr>
              <w:t>③废水处理工艺可行性分析</w:t>
            </w:r>
          </w:p>
          <w:p>
            <w:pPr>
              <w:pStyle w:val="8"/>
              <w:rPr>
                <w:color w:val="auto"/>
                <w:highlight w:val="none"/>
              </w:rPr>
            </w:pPr>
            <w:r>
              <w:rPr>
                <w:rFonts w:hint="eastAsia"/>
                <w:color w:val="auto"/>
                <w:highlight w:val="none"/>
              </w:rPr>
              <w:t>非放射性废水处理站处理的废水主要为高含盐量生产废水、非放射性含油生产废水、其他非放射性排水等，废水中主要污染物为pH、悬浮物、COD、氨氮、磷酸盐、石油类等，均属于常规污染物，处理工艺均较为简单成熟。</w:t>
            </w:r>
          </w:p>
          <w:p>
            <w:pPr>
              <w:pStyle w:val="8"/>
              <w:rPr>
                <w:color w:val="auto"/>
                <w:highlight w:val="none"/>
              </w:rPr>
            </w:pPr>
            <w:r>
              <w:rPr>
                <w:rFonts w:hint="eastAsia"/>
                <w:color w:val="auto"/>
                <w:highlight w:val="none"/>
                <w:u w:val="single"/>
              </w:rPr>
              <w:t>根据项目工程分析，含油废水及其他非放射性废水、除盐水厂房排水进水水质普遍较好，pH、COD、BOD</w:t>
            </w:r>
            <w:r>
              <w:rPr>
                <w:rFonts w:hint="eastAsia" w:ascii="Times New Roman" w:hAnsi="Times New Roman"/>
                <w:color w:val="auto"/>
                <w:sz w:val="21"/>
                <w:szCs w:val="21"/>
                <w:highlight w:val="none"/>
                <w:u w:val="single"/>
                <w:vertAlign w:val="subscript"/>
                <w:lang w:eastAsia="zh" w:bidi="ar"/>
              </w:rPr>
              <w:t>5</w:t>
            </w:r>
            <w:r>
              <w:rPr>
                <w:rFonts w:hint="eastAsia"/>
                <w:color w:val="auto"/>
                <w:highlight w:val="none"/>
                <w:u w:val="single"/>
              </w:rPr>
              <w:t>、SS、氨氮、石油类基本接近《污水综合排放标准》（GB 8978-1996）表4中一级标准，经简单处理后可以稳定达标排放。本次主要针对废水中总磷处理工艺可行性进一步分析，废水除磷工艺主要为化学沉淀法+过滤，在废水中投加次氯酸钠、混凝剂、助凝剂，经沉淀、过滤后外排。进水水质中总磷浓度最高达到5mg/L，混合、反应池体水力停留时间15分钟，混凝剂加药量30L/h，助凝剂加药量500L/h，联合过滤处理总磷去除率能达到95%，总磷排放浓度可达到0.5mg/L以下。</w:t>
            </w:r>
          </w:p>
          <w:p>
            <w:pPr>
              <w:pStyle w:val="8"/>
              <w:rPr>
                <w:color w:val="auto"/>
                <w:highlight w:val="none"/>
              </w:rPr>
            </w:pPr>
            <w:r>
              <w:rPr>
                <w:rFonts w:hint="eastAsia"/>
                <w:color w:val="auto"/>
                <w:highlight w:val="none"/>
              </w:rPr>
              <w:t>其次，目前暂无相应核电行业排污许可证申请与核发技术规范，参照《排污许可证申请与核发技术规范 水处理（试行）》（HJ 978-2018），化学沉淀、过滤属于工业废水可行技术，见表4-2。因此建设的非放射性生产废水处理工艺可行。</w:t>
            </w:r>
          </w:p>
          <w:p>
            <w:pPr>
              <w:pStyle w:val="5"/>
              <w:keepNext/>
              <w:ind w:firstLine="402" w:firstLineChars="200"/>
              <w:jc w:val="center"/>
              <w:rPr>
                <w:color w:val="auto"/>
                <w:highlight w:val="none"/>
              </w:rPr>
            </w:pPr>
            <w:r>
              <w:rPr>
                <w:rFonts w:hint="eastAsia"/>
                <w:color w:val="auto"/>
                <w:highlight w:val="none"/>
              </w:rPr>
              <w:t>表4-2《排污许可证申请与核发技术规范水处理（试行）》（摘录）</w:t>
            </w:r>
          </w:p>
          <w:tbl>
            <w:tblPr>
              <w:tblStyle w:val="17"/>
              <w:tblW w:w="8431" w:type="dxa"/>
              <w:jc w:val="center"/>
              <w:tblLayout w:type="autofit"/>
              <w:tblCellMar>
                <w:top w:w="0" w:type="dxa"/>
                <w:left w:w="108" w:type="dxa"/>
                <w:bottom w:w="0" w:type="dxa"/>
                <w:right w:w="108" w:type="dxa"/>
              </w:tblCellMar>
            </w:tblPr>
            <w:tblGrid>
              <w:gridCol w:w="1189"/>
              <w:gridCol w:w="1111"/>
              <w:gridCol w:w="6131"/>
            </w:tblGrid>
            <w:tr>
              <w:tblPrEx>
                <w:tblCellMar>
                  <w:top w:w="0" w:type="dxa"/>
                  <w:left w:w="108" w:type="dxa"/>
                  <w:bottom w:w="0" w:type="dxa"/>
                  <w:right w:w="108" w:type="dxa"/>
                </w:tblCellMar>
              </w:tblPrEx>
              <w:trPr>
                <w:trHeight w:val="402" w:hRule="atLeast"/>
                <w:jc w:val="center"/>
              </w:trPr>
              <w:tc>
                <w:tcPr>
                  <w:tcW w:w="705" w:type="pct"/>
                  <w:tcBorders>
                    <w:top w:val="single" w:color="000000" w:sz="4" w:space="0"/>
                    <w:left w:val="single" w:color="000000" w:sz="4" w:space="0"/>
                    <w:bottom w:val="single" w:color="000000" w:sz="4" w:space="0"/>
                    <w:right w:val="single" w:color="000000" w:sz="4" w:space="0"/>
                  </w:tcBorders>
                  <w:vAlign w:val="center"/>
                </w:tcPr>
                <w:p>
                  <w:pPr>
                    <w:pStyle w:val="34"/>
                    <w:jc w:val="both"/>
                    <w:rPr>
                      <w:color w:val="auto"/>
                      <w:highlight w:val="none"/>
                    </w:rPr>
                  </w:pPr>
                  <w:r>
                    <w:rPr>
                      <w:rFonts w:hint="eastAsia"/>
                      <w:color w:val="auto"/>
                      <w:highlight w:val="none"/>
                    </w:rPr>
                    <w:t>废水</w:t>
                  </w:r>
                  <w:r>
                    <w:rPr>
                      <w:color w:val="auto"/>
                      <w:highlight w:val="none"/>
                    </w:rPr>
                    <w:t>类别</w:t>
                  </w:r>
                </w:p>
              </w:tc>
              <w:tc>
                <w:tcPr>
                  <w:tcW w:w="659" w:type="pct"/>
                  <w:tcBorders>
                    <w:top w:val="single" w:color="000000" w:sz="4" w:space="0"/>
                    <w:left w:val="nil"/>
                    <w:bottom w:val="single" w:color="000000" w:sz="4" w:space="0"/>
                    <w:right w:val="single" w:color="000000" w:sz="4" w:space="0"/>
                  </w:tcBorders>
                  <w:vAlign w:val="center"/>
                </w:tcPr>
                <w:p>
                  <w:pPr>
                    <w:pStyle w:val="34"/>
                    <w:jc w:val="both"/>
                    <w:rPr>
                      <w:color w:val="auto"/>
                      <w:highlight w:val="none"/>
                    </w:rPr>
                  </w:pPr>
                  <w:r>
                    <w:rPr>
                      <w:rFonts w:hint="eastAsia"/>
                      <w:color w:val="auto"/>
                      <w:highlight w:val="none"/>
                    </w:rPr>
                    <w:t>执行标准</w:t>
                  </w:r>
                </w:p>
              </w:tc>
              <w:tc>
                <w:tcPr>
                  <w:tcW w:w="3635" w:type="pct"/>
                  <w:tcBorders>
                    <w:top w:val="single" w:color="000000" w:sz="4" w:space="0"/>
                    <w:left w:val="nil"/>
                    <w:bottom w:val="single" w:color="000000" w:sz="4" w:space="0"/>
                    <w:right w:val="single" w:color="000000" w:sz="4" w:space="0"/>
                  </w:tcBorders>
                  <w:vAlign w:val="center"/>
                </w:tcPr>
                <w:p>
                  <w:pPr>
                    <w:pStyle w:val="34"/>
                    <w:jc w:val="both"/>
                    <w:rPr>
                      <w:color w:val="auto"/>
                      <w:highlight w:val="none"/>
                    </w:rPr>
                  </w:pPr>
                  <w:r>
                    <w:rPr>
                      <w:color w:val="auto"/>
                      <w:highlight w:val="none"/>
                    </w:rPr>
                    <w:t>可行技术</w:t>
                  </w:r>
                </w:p>
              </w:tc>
            </w:tr>
            <w:tr>
              <w:tblPrEx>
                <w:tblCellMar>
                  <w:top w:w="0" w:type="dxa"/>
                  <w:left w:w="108" w:type="dxa"/>
                  <w:bottom w:w="0" w:type="dxa"/>
                  <w:right w:w="108" w:type="dxa"/>
                </w:tblCellMar>
              </w:tblPrEx>
              <w:trPr>
                <w:trHeight w:val="20" w:hRule="atLeast"/>
                <w:jc w:val="center"/>
              </w:trPr>
              <w:tc>
                <w:tcPr>
                  <w:tcW w:w="705" w:type="pct"/>
                  <w:tcBorders>
                    <w:top w:val="single" w:color="000000" w:sz="4" w:space="0"/>
                    <w:left w:val="single" w:color="000000" w:sz="4" w:space="0"/>
                    <w:bottom w:val="single" w:color="000000" w:sz="4" w:space="0"/>
                    <w:right w:val="single" w:color="000000" w:sz="4" w:space="0"/>
                  </w:tcBorders>
                  <w:vAlign w:val="center"/>
                </w:tcPr>
                <w:p>
                  <w:pPr>
                    <w:pStyle w:val="34"/>
                    <w:jc w:val="both"/>
                    <w:rPr>
                      <w:color w:val="auto"/>
                      <w:highlight w:val="none"/>
                    </w:rPr>
                  </w:pPr>
                  <w:r>
                    <w:rPr>
                      <w:rFonts w:hint="eastAsia"/>
                      <w:color w:val="auto"/>
                      <w:highlight w:val="none"/>
                    </w:rPr>
                    <w:t>工业废水</w:t>
                  </w:r>
                </w:p>
              </w:tc>
              <w:tc>
                <w:tcPr>
                  <w:tcW w:w="659" w:type="pct"/>
                  <w:tcBorders>
                    <w:top w:val="single" w:color="000000" w:sz="4" w:space="0"/>
                    <w:left w:val="nil"/>
                    <w:bottom w:val="single" w:color="000000" w:sz="4" w:space="0"/>
                    <w:right w:val="single" w:color="000000" w:sz="4" w:space="0"/>
                  </w:tcBorders>
                  <w:vAlign w:val="center"/>
                </w:tcPr>
                <w:p>
                  <w:pPr>
                    <w:pStyle w:val="34"/>
                    <w:jc w:val="both"/>
                    <w:rPr>
                      <w:color w:val="auto"/>
                      <w:highlight w:val="none"/>
                    </w:rPr>
                  </w:pPr>
                  <w:r>
                    <w:rPr>
                      <w:rFonts w:hint="eastAsia"/>
                      <w:color w:val="auto"/>
                      <w:highlight w:val="none"/>
                    </w:rPr>
                    <w:t>---</w:t>
                  </w:r>
                </w:p>
              </w:tc>
              <w:tc>
                <w:tcPr>
                  <w:tcW w:w="3635" w:type="pct"/>
                  <w:tcBorders>
                    <w:top w:val="single" w:color="000000" w:sz="4" w:space="0"/>
                    <w:left w:val="nil"/>
                    <w:bottom w:val="single" w:color="000000" w:sz="4" w:space="0"/>
                    <w:right w:val="single" w:color="000000" w:sz="4" w:space="0"/>
                  </w:tcBorders>
                  <w:vAlign w:val="center"/>
                </w:tcPr>
                <w:p>
                  <w:pPr>
                    <w:pStyle w:val="34"/>
                    <w:jc w:val="both"/>
                    <w:rPr>
                      <w:color w:val="auto"/>
                      <w:highlight w:val="none"/>
                    </w:rPr>
                  </w:pPr>
                  <w:r>
                    <w:rPr>
                      <w:rFonts w:hint="eastAsia"/>
                      <w:color w:val="auto"/>
                      <w:highlight w:val="none"/>
                    </w:rPr>
                    <w:t>①预处理：沉淀、调节、气浮、水解酸化；</w:t>
                  </w:r>
                </w:p>
                <w:p>
                  <w:pPr>
                    <w:pStyle w:val="34"/>
                    <w:jc w:val="both"/>
                    <w:rPr>
                      <w:color w:val="auto"/>
                      <w:highlight w:val="none"/>
                    </w:rPr>
                  </w:pPr>
                  <w:r>
                    <w:rPr>
                      <w:rFonts w:hint="eastAsia"/>
                      <w:color w:val="auto"/>
                      <w:highlight w:val="none"/>
                    </w:rPr>
                    <w:t>②生化处理：好氧、缺氧好氧、厌氧缺氧好氧、序批式活性污泥、氧化沟、移动生物床反应器、膜生物反应器；</w:t>
                  </w:r>
                </w:p>
                <w:p>
                  <w:pPr>
                    <w:pStyle w:val="34"/>
                    <w:jc w:val="both"/>
                    <w:rPr>
                      <w:color w:val="auto"/>
                      <w:highlight w:val="none"/>
                    </w:rPr>
                  </w:pPr>
                  <w:r>
                    <w:rPr>
                      <w:rFonts w:hint="eastAsia"/>
                      <w:color w:val="auto"/>
                      <w:highlight w:val="none"/>
                    </w:rPr>
                    <w:t>③深度处理：反硝化滤池、</w:t>
                  </w:r>
                  <w:r>
                    <w:rPr>
                      <w:rFonts w:hint="eastAsia"/>
                      <w:b/>
                      <w:bCs/>
                      <w:color w:val="auto"/>
                      <w:highlight w:val="none"/>
                      <w:u w:val="single"/>
                    </w:rPr>
                    <w:t>化学沉淀、过滤、</w:t>
                  </w:r>
                  <w:r>
                    <w:rPr>
                      <w:rFonts w:hint="eastAsia"/>
                      <w:color w:val="auto"/>
                      <w:highlight w:val="none"/>
                    </w:rPr>
                    <w:t>高级氧化、曝气生物滤池、生物接触氧化膜分离、离子交换。</w:t>
                  </w:r>
                </w:p>
              </w:tc>
            </w:tr>
          </w:tbl>
          <w:p>
            <w:pPr>
              <w:pStyle w:val="8"/>
              <w:ind w:firstLine="482"/>
              <w:rPr>
                <w:b/>
                <w:bCs/>
                <w:color w:val="auto"/>
                <w:highlight w:val="none"/>
                <w:u w:val="single"/>
              </w:rPr>
            </w:pPr>
            <w:r>
              <w:rPr>
                <w:rFonts w:hint="eastAsia"/>
                <w:b/>
                <w:bCs/>
                <w:color w:val="auto"/>
                <w:highlight w:val="none"/>
                <w:u w:val="single"/>
              </w:rPr>
              <w:t>④废水排放影响分析</w:t>
            </w:r>
          </w:p>
          <w:p>
            <w:pPr>
              <w:pStyle w:val="8"/>
              <w:rPr>
                <w:color w:val="auto"/>
                <w:highlight w:val="none"/>
                <w:u w:val="single"/>
              </w:rPr>
            </w:pPr>
            <w:r>
              <w:rPr>
                <w:rFonts w:hint="eastAsia"/>
                <w:color w:val="auto"/>
                <w:highlight w:val="none"/>
                <w:u w:val="single"/>
              </w:rPr>
              <w:t>非放射性生产废水经处理达到《污水综合排放标准》（GB 8978-1996）表4中一级标准，与循环冷却水混合排入虹吸井（总排放渠混合井CC），通过南护堤旁的排水明渠排入兴化湾。</w:t>
            </w:r>
          </w:p>
          <w:p>
            <w:pPr>
              <w:pStyle w:val="8"/>
              <w:rPr>
                <w:color w:val="auto"/>
                <w:highlight w:val="none"/>
                <w:u w:val="single"/>
              </w:rPr>
            </w:pPr>
            <w:r>
              <w:rPr>
                <w:rFonts w:hint="eastAsia"/>
                <w:color w:val="auto"/>
                <w:highlight w:val="none"/>
                <w:u w:val="single"/>
              </w:rPr>
              <w:t>根据现状调查，春、秋季监测期间厂区总排放口周边海域水质较好，监测因子均能满足《海水水质标准》（GB 3097-1997）第三类标准要求。本项目实施后，将原与雨水共管排放的非放射性生产废水与雨水分离，集中收集、处置后再排回虹吸井（总排放渠混合井CC），外排出水水质提高，排放的污染物总量减少。因此，非放射性废水处理站尾水排放将改善周边外环境，一定程度提高兴化湾海水水质。</w:t>
            </w:r>
          </w:p>
          <w:p>
            <w:pPr>
              <w:pStyle w:val="8"/>
              <w:ind w:firstLine="482"/>
              <w:rPr>
                <w:color w:val="auto"/>
                <w:highlight w:val="none"/>
                <w:u w:val="single"/>
              </w:rPr>
            </w:pPr>
            <w:r>
              <w:rPr>
                <w:rFonts w:hint="eastAsia"/>
                <w:b/>
                <w:bCs/>
                <w:color w:val="auto"/>
                <w:highlight w:val="none"/>
                <w:u w:val="single"/>
              </w:rPr>
              <w:t>综上，本项目为现有核电项目的雨废分离水质提升项目，废水处理工艺可行。从污染物种类来看，本次不新增污染物，各污染物之间不会产生二次污染物；从污染物总量角度看，排入兴化湾的污染物总量均有所减少。</w:t>
            </w:r>
            <w:r>
              <w:rPr>
                <w:rFonts w:hint="eastAsia"/>
                <w:color w:val="auto"/>
                <w:highlight w:val="none"/>
                <w:u w:val="single"/>
              </w:rPr>
              <w:t>因此，本项目废水尾水排放将改善周边外环境，一定程度提高兴化湾海水水质。</w:t>
            </w:r>
          </w:p>
          <w:p>
            <w:pPr>
              <w:pStyle w:val="8"/>
              <w:ind w:firstLine="482"/>
              <w:rPr>
                <w:b/>
                <w:bCs/>
                <w:color w:val="auto"/>
                <w:highlight w:val="none"/>
                <w:u w:val="single"/>
              </w:rPr>
            </w:pPr>
            <w:r>
              <w:rPr>
                <w:rFonts w:hint="eastAsia"/>
                <w:b/>
                <w:bCs/>
                <w:color w:val="auto"/>
                <w:highlight w:val="none"/>
                <w:u w:val="single"/>
              </w:rPr>
              <w:t>⑤事故废水排放影响分析</w:t>
            </w:r>
          </w:p>
          <w:p>
            <w:pPr>
              <w:pStyle w:val="8"/>
              <w:rPr>
                <w:color w:val="auto"/>
                <w:highlight w:val="none"/>
                <w:u w:val="single"/>
              </w:rPr>
            </w:pPr>
            <w:r>
              <w:rPr>
                <w:rFonts w:hint="eastAsia"/>
                <w:color w:val="auto"/>
                <w:highlight w:val="none"/>
                <w:u w:val="single"/>
              </w:rPr>
              <w:t>当非放射性生产废水</w:t>
            </w:r>
            <w:r>
              <w:rPr>
                <w:color w:val="auto"/>
                <w:highlight w:val="none"/>
                <w:u w:val="single"/>
              </w:rPr>
              <w:t>处理设施不能正常运行或出现突发事故时，会造成超标废水排放的事故风险</w:t>
            </w:r>
            <w:r>
              <w:rPr>
                <w:rFonts w:hint="eastAsia"/>
                <w:color w:val="auto"/>
                <w:highlight w:val="none"/>
                <w:u w:val="single"/>
              </w:rPr>
              <w:t>。</w:t>
            </w:r>
          </w:p>
          <w:p>
            <w:pPr>
              <w:pStyle w:val="8"/>
              <w:rPr>
                <w:color w:val="auto"/>
                <w:highlight w:val="none"/>
                <w:u w:val="single"/>
              </w:rPr>
            </w:pPr>
            <w:r>
              <w:rPr>
                <w:rFonts w:hint="eastAsia"/>
                <w:color w:val="auto"/>
                <w:highlight w:val="none"/>
                <w:u w:val="single"/>
              </w:rPr>
              <w:t>废水处理工艺设计时，在清水池入口处设置超越管，将不达标的废水回流至前端调节池重新处理，排放口暂时停止排放废水。现状共设置3座调节池，每座调节池设计容量为4000m</w:t>
            </w:r>
            <w:r>
              <w:rPr>
                <w:rFonts w:hint="eastAsia"/>
                <w:color w:val="auto"/>
                <w:highlight w:val="none"/>
                <w:u w:val="single"/>
                <w:vertAlign w:val="superscript"/>
              </w:rPr>
              <w:t>3</w:t>
            </w:r>
            <w:r>
              <w:rPr>
                <w:rFonts w:hint="eastAsia"/>
                <w:color w:val="auto"/>
                <w:highlight w:val="none"/>
                <w:u w:val="single"/>
              </w:rPr>
              <w:t>，共计12000m</w:t>
            </w:r>
            <w:r>
              <w:rPr>
                <w:rFonts w:hint="eastAsia"/>
                <w:color w:val="auto"/>
                <w:highlight w:val="none"/>
                <w:u w:val="single"/>
                <w:vertAlign w:val="superscript"/>
              </w:rPr>
              <w:t>3</w:t>
            </w:r>
            <w:r>
              <w:rPr>
                <w:rFonts w:hint="eastAsia"/>
                <w:color w:val="auto"/>
                <w:highlight w:val="none"/>
                <w:u w:val="single"/>
              </w:rPr>
              <w:t>，可容纳18个小时事故废水，有效防止事故废水外排。</w:t>
            </w:r>
          </w:p>
          <w:p>
            <w:pPr>
              <w:pStyle w:val="8"/>
              <w:rPr>
                <w:color w:val="auto"/>
                <w:highlight w:val="none"/>
                <w:u w:val="single"/>
              </w:rPr>
            </w:pPr>
            <w:r>
              <w:rPr>
                <w:rFonts w:hint="eastAsia"/>
                <w:color w:val="auto"/>
                <w:highlight w:val="none"/>
                <w:u w:val="single"/>
              </w:rPr>
              <w:t>其次，本项目属于现有核电项目的雨废分离水质提升项目，将原有非放射性生产废水集中收集处理后排放。假定废水故事排放情形下，废水处理设施不能正常运行，废水排放浓度与进水浓度一致。根据工程分析可知，本项目进水水质相对较好，接近《污水综合排放标准》（GB 8978-1996）表4中一级标准</w:t>
            </w:r>
            <w:r>
              <w:rPr>
                <w:rFonts w:hint="eastAsia"/>
                <w:color w:val="auto"/>
                <w:highlight w:val="none"/>
                <w:u w:val="single"/>
                <w:lang w:eastAsia="zh-CN"/>
              </w:rPr>
              <w:t>且</w:t>
            </w:r>
            <w:r>
              <w:rPr>
                <w:rFonts w:hint="eastAsia"/>
                <w:color w:val="auto"/>
                <w:highlight w:val="none"/>
                <w:u w:val="single"/>
              </w:rPr>
              <w:t>现状散排情况周边海域水质均能满足《海水水质标准》（GB 3097-1997）第三类标准要求。因此，综合判断事故情形下，废水排放对外部水环境整体影响较小。</w:t>
            </w:r>
          </w:p>
          <w:p>
            <w:pPr>
              <w:pStyle w:val="8"/>
              <w:ind w:firstLine="482"/>
              <w:rPr>
                <w:b/>
                <w:bCs/>
                <w:color w:val="auto"/>
                <w:highlight w:val="none"/>
                <w:u w:val="single"/>
              </w:rPr>
            </w:pPr>
            <w:r>
              <w:rPr>
                <w:rFonts w:hint="eastAsia"/>
                <w:b/>
                <w:bCs/>
                <w:color w:val="auto"/>
                <w:highlight w:val="none"/>
                <w:u w:val="single"/>
              </w:rPr>
              <w:t>⑥尾水依托排放合规性分析</w:t>
            </w:r>
          </w:p>
          <w:p>
            <w:pPr>
              <w:pStyle w:val="8"/>
              <w:rPr>
                <w:color w:val="auto"/>
                <w:highlight w:val="none"/>
                <w:u w:val="single"/>
              </w:rPr>
            </w:pPr>
            <w:r>
              <w:rPr>
                <w:rFonts w:hint="eastAsia"/>
                <w:color w:val="auto"/>
                <w:highlight w:val="none"/>
                <w:u w:val="single"/>
              </w:rPr>
              <w:t>根据业主提供的资料，福清核电全厂的入海排污口已完成备案，备案号[350181-LS-0286]，入海排污口名称为：福州市福清市三山镇前薛村福清核电厂生产污水排污口，入海排污口编码为：</w:t>
            </w:r>
            <w:r>
              <w:rPr>
                <w:rFonts w:hint="eastAsia"/>
                <w:color w:val="auto"/>
                <w:highlight w:val="none"/>
                <w:u w:val="single"/>
                <w:lang w:val="en-US" w:eastAsia="zh-CN"/>
              </w:rPr>
              <w:t>*</w:t>
            </w:r>
            <w:r>
              <w:rPr>
                <w:rFonts w:hint="eastAsia"/>
                <w:color w:val="auto"/>
                <w:highlight w:val="none"/>
                <w:u w:val="single"/>
              </w:rPr>
              <w:t>，见附件16，入海排污口位于全厂的排水渠末端，位置见附图11。其中允许排放污染物包括：化学需氧量、悬浮物、总磷、氨氮，排放标准执行《污水综合排放标准》（GB 8978-1996）表4中一级标准。</w:t>
            </w:r>
          </w:p>
          <w:p>
            <w:pPr>
              <w:pStyle w:val="8"/>
              <w:rPr>
                <w:color w:val="auto"/>
                <w:highlight w:val="none"/>
              </w:rPr>
            </w:pPr>
            <w:r>
              <w:rPr>
                <w:rFonts w:hint="eastAsia"/>
                <w:color w:val="auto"/>
                <w:highlight w:val="none"/>
                <w:u w:val="single"/>
              </w:rPr>
              <w:t>本项目主要对福清核电基地非放射性生产废水水质提升改造，将原有非放射性生产废水集中收集处理达标后，排入现有虹吸井中（总排放渠混合井CC）经全厂排水渠排入兴化湾，依托全厂现有入海排污口，不新增排污口，不新增污染物及排放量。符合现有全厂入海排污口管理要求，可以依托该排放口。</w:t>
            </w:r>
          </w:p>
          <w:p>
            <w:pPr>
              <w:pStyle w:val="8"/>
              <w:ind w:firstLine="482"/>
              <w:rPr>
                <w:b/>
                <w:bCs/>
                <w:color w:val="auto"/>
                <w:highlight w:val="none"/>
              </w:rPr>
            </w:pPr>
            <w:r>
              <w:rPr>
                <w:rFonts w:hint="eastAsia"/>
                <w:b/>
                <w:bCs/>
                <w:color w:val="auto"/>
                <w:highlight w:val="none"/>
              </w:rPr>
              <w:t>（5）污染物排放基本情况</w:t>
            </w:r>
          </w:p>
          <w:p>
            <w:pPr>
              <w:pStyle w:val="8"/>
              <w:rPr>
                <w:color w:val="auto"/>
                <w:highlight w:val="none"/>
              </w:rPr>
            </w:pPr>
            <w:r>
              <w:rPr>
                <w:rFonts w:hint="eastAsia"/>
                <w:color w:val="auto"/>
                <w:highlight w:val="none"/>
              </w:rPr>
              <w:t>本项目污染物排放信息详见下表。</w:t>
            </w:r>
          </w:p>
          <w:p>
            <w:pPr>
              <w:pStyle w:val="5"/>
              <w:keepNext/>
              <w:ind w:firstLine="402" w:firstLineChars="200"/>
              <w:jc w:val="center"/>
              <w:rPr>
                <w:color w:val="auto"/>
                <w:highlight w:val="none"/>
              </w:rPr>
            </w:pPr>
            <w:r>
              <w:rPr>
                <w:rFonts w:hint="eastAsia"/>
                <w:color w:val="auto"/>
                <w:highlight w:val="none"/>
              </w:rPr>
              <w:t>表4-3项目废水类别、污染物及污染治理设施信息表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6"/>
              <w:gridCol w:w="490"/>
              <w:gridCol w:w="905"/>
              <w:gridCol w:w="554"/>
              <w:gridCol w:w="913"/>
              <w:gridCol w:w="739"/>
              <w:gridCol w:w="683"/>
              <w:gridCol w:w="1977"/>
              <w:gridCol w:w="472"/>
              <w:gridCol w:w="71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90" w:type="dxa"/>
                  <w:vMerge w:val="restar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序号</w:t>
                  </w:r>
                </w:p>
              </w:tc>
              <w:tc>
                <w:tcPr>
                  <w:tcW w:w="534"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废水类别</w:t>
                  </w:r>
                </w:p>
              </w:tc>
              <w:tc>
                <w:tcPr>
                  <w:tcW w:w="930"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污染物种类</w:t>
                  </w:r>
                </w:p>
              </w:tc>
              <w:tc>
                <w:tcPr>
                  <w:tcW w:w="611"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排放去向</w:t>
                  </w:r>
                </w:p>
              </w:tc>
              <w:tc>
                <w:tcPr>
                  <w:tcW w:w="999"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排放规律</w:t>
                  </w:r>
                </w:p>
              </w:tc>
              <w:tc>
                <w:tcPr>
                  <w:tcW w:w="3783" w:type="dxa"/>
                  <w:gridSpan w:val="3"/>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污染防治设施</w:t>
                  </w:r>
                </w:p>
              </w:tc>
              <w:tc>
                <w:tcPr>
                  <w:tcW w:w="513"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排放口编号</w:t>
                  </w:r>
                </w:p>
              </w:tc>
              <w:tc>
                <w:tcPr>
                  <w:tcW w:w="803"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排放口设置是否符合要求</w:t>
                  </w:r>
                </w:p>
              </w:tc>
              <w:tc>
                <w:tcPr>
                  <w:tcW w:w="783" w:type="dxa"/>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290" w:type="dxa"/>
                  <w:vMerge w:val="continue"/>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p>
              </w:tc>
              <w:tc>
                <w:tcPr>
                  <w:tcW w:w="534"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930"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611"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999"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747"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污染治理设施编号</w:t>
                  </w:r>
                </w:p>
              </w:tc>
              <w:tc>
                <w:tcPr>
                  <w:tcW w:w="765"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污染治理设施名称</w:t>
                  </w:r>
                </w:p>
              </w:tc>
              <w:tc>
                <w:tcPr>
                  <w:tcW w:w="2271"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污染治理设施工艺</w:t>
                  </w:r>
                </w:p>
              </w:tc>
              <w:tc>
                <w:tcPr>
                  <w:tcW w:w="513"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803"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783" w:type="dxa"/>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1" w:hRule="atLeast"/>
                <w:jc w:val="center"/>
              </w:trPr>
              <w:tc>
                <w:tcPr>
                  <w:tcW w:w="290"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1</w:t>
                  </w:r>
                </w:p>
              </w:tc>
              <w:tc>
                <w:tcPr>
                  <w:tcW w:w="534"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非放射性生产废水</w:t>
                  </w:r>
                </w:p>
              </w:tc>
              <w:tc>
                <w:tcPr>
                  <w:tcW w:w="930"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pH、</w:t>
                  </w:r>
                  <w:r>
                    <w:rPr>
                      <w:color w:val="auto"/>
                      <w:highlight w:val="none"/>
                    </w:rPr>
                    <w:t>COD、</w:t>
                  </w:r>
                  <w:r>
                    <w:rPr>
                      <w:rFonts w:hint="eastAsia"/>
                      <w:color w:val="auto"/>
                      <w:highlight w:val="none"/>
                    </w:rPr>
                    <w:t>BOD</w:t>
                  </w:r>
                  <w:r>
                    <w:rPr>
                      <w:rFonts w:hint="eastAsia"/>
                      <w:color w:val="auto"/>
                      <w:highlight w:val="none"/>
                      <w:vertAlign w:val="subscript"/>
                    </w:rPr>
                    <w:t>5</w:t>
                  </w:r>
                  <w:r>
                    <w:rPr>
                      <w:rFonts w:hint="eastAsia"/>
                      <w:color w:val="auto"/>
                      <w:highlight w:val="none"/>
                    </w:rPr>
                    <w:t>、</w:t>
                  </w:r>
                  <w:r>
                    <w:rPr>
                      <w:color w:val="auto"/>
                      <w:highlight w:val="none"/>
                    </w:rPr>
                    <w:t>SS、总磷、氨氮</w:t>
                  </w:r>
                  <w:r>
                    <w:rPr>
                      <w:rFonts w:hint="eastAsia"/>
                      <w:color w:val="auto"/>
                      <w:highlight w:val="none"/>
                    </w:rPr>
                    <w:t>、石油类</w:t>
                  </w:r>
                </w:p>
              </w:tc>
              <w:tc>
                <w:tcPr>
                  <w:tcW w:w="611"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直接排入海域</w:t>
                  </w:r>
                </w:p>
              </w:tc>
              <w:tc>
                <w:tcPr>
                  <w:tcW w:w="999"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连续排放，流量不稳定，但有周期性规律</w:t>
                  </w:r>
                </w:p>
              </w:tc>
              <w:tc>
                <w:tcPr>
                  <w:tcW w:w="747"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TW002</w:t>
                  </w:r>
                </w:p>
              </w:tc>
              <w:tc>
                <w:tcPr>
                  <w:tcW w:w="765"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非放射性废水处理站</w:t>
                  </w:r>
                </w:p>
              </w:tc>
              <w:tc>
                <w:tcPr>
                  <w:tcW w:w="2271"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采用</w:t>
                  </w:r>
                  <w:r>
                    <w:rPr>
                      <w:rFonts w:hint="eastAsia"/>
                      <w:color w:val="auto"/>
                      <w:highlight w:val="none"/>
                    </w:rPr>
                    <w:t>“调节池+</w:t>
                  </w:r>
                  <w:r>
                    <w:rPr>
                      <w:color w:val="auto"/>
                      <w:highlight w:val="none"/>
                    </w:rPr>
                    <w:t>pH调整池+混合池+反应池+</w:t>
                  </w:r>
                  <w:r>
                    <w:rPr>
                      <w:rFonts w:hint="eastAsia"/>
                      <w:color w:val="auto"/>
                      <w:highlight w:val="none"/>
                    </w:rPr>
                    <w:t>浮沉池</w:t>
                  </w:r>
                  <w:r>
                    <w:rPr>
                      <w:color w:val="auto"/>
                      <w:highlight w:val="none"/>
                    </w:rPr>
                    <w:t>+中间</w:t>
                  </w:r>
                  <w:r>
                    <w:rPr>
                      <w:rFonts w:hint="eastAsia"/>
                      <w:color w:val="auto"/>
                      <w:highlight w:val="none"/>
                    </w:rPr>
                    <w:t>水</w:t>
                  </w:r>
                  <w:r>
                    <w:rPr>
                      <w:color w:val="auto"/>
                      <w:highlight w:val="none"/>
                    </w:rPr>
                    <w:t>池+过滤器+</w:t>
                  </w:r>
                  <w:r>
                    <w:rPr>
                      <w:rFonts w:hint="eastAsia"/>
                      <w:color w:val="auto"/>
                      <w:highlight w:val="none"/>
                    </w:rPr>
                    <w:t>清水池”</w:t>
                  </w:r>
                  <w:r>
                    <w:rPr>
                      <w:color w:val="auto"/>
                      <w:highlight w:val="none"/>
                    </w:rPr>
                    <w:t>工艺处理</w:t>
                  </w:r>
                </w:p>
              </w:tc>
              <w:tc>
                <w:tcPr>
                  <w:tcW w:w="513"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w:t>
                  </w:r>
                </w:p>
              </w:tc>
              <w:tc>
                <w:tcPr>
                  <w:tcW w:w="803"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是</w:t>
                  </w:r>
                </w:p>
              </w:tc>
              <w:tc>
                <w:tcPr>
                  <w:tcW w:w="783" w:type="dxa"/>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废水排放口</w:t>
                  </w:r>
                </w:p>
              </w:tc>
            </w:tr>
          </w:tbl>
          <w:p>
            <w:pPr>
              <w:pStyle w:val="5"/>
              <w:keepNext/>
              <w:ind w:firstLine="402" w:firstLineChars="200"/>
              <w:jc w:val="center"/>
              <w:rPr>
                <w:color w:val="auto"/>
                <w:highlight w:val="none"/>
              </w:rPr>
            </w:pPr>
            <w:r>
              <w:rPr>
                <w:rFonts w:hint="eastAsia"/>
                <w:color w:val="auto"/>
                <w:highlight w:val="none"/>
              </w:rPr>
              <w:t>表4-4废水污染物排放执行标准表</w:t>
            </w:r>
          </w:p>
          <w:tbl>
            <w:tblPr>
              <w:tblStyle w:val="1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881"/>
              <w:gridCol w:w="938"/>
              <w:gridCol w:w="3371"/>
              <w:gridCol w:w="2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序号</w:t>
                  </w:r>
                </w:p>
              </w:tc>
              <w:tc>
                <w:tcPr>
                  <w:tcW w:w="515"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排放口编号</w:t>
                  </w:r>
                </w:p>
              </w:tc>
              <w:tc>
                <w:tcPr>
                  <w:tcW w:w="558"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污染物种类</w:t>
                  </w:r>
                </w:p>
              </w:tc>
              <w:tc>
                <w:tcPr>
                  <w:tcW w:w="3688" w:type="pct"/>
                  <w:gridSpan w:val="2"/>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《污水综合排放标准》（GB 8978-1996）表4中一级标准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51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名称</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浓度限值/(mg/L)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restart"/>
                  <w:tcBorders>
                    <w:top w:val="nil"/>
                    <w:left w:val="single" w:color="000000" w:sz="4" w:space="0"/>
                    <w:right w:val="single" w:color="000000" w:sz="4" w:space="0"/>
                  </w:tcBorders>
                  <w:vAlign w:val="center"/>
                </w:tcPr>
                <w:p>
                  <w:pPr>
                    <w:pStyle w:val="36"/>
                    <w:jc w:val="both"/>
                    <w:rPr>
                      <w:color w:val="auto"/>
                      <w:highlight w:val="none"/>
                    </w:rPr>
                  </w:pPr>
                  <w:r>
                    <w:rPr>
                      <w:rFonts w:hint="eastAsia"/>
                      <w:color w:val="auto"/>
                      <w:highlight w:val="none"/>
                    </w:rPr>
                    <w:t>1</w:t>
                  </w:r>
                </w:p>
              </w:tc>
              <w:tc>
                <w:tcPr>
                  <w:tcW w:w="515" w:type="pct"/>
                  <w:vMerge w:val="restart"/>
                  <w:tcBorders>
                    <w:top w:val="nil"/>
                    <w:left w:val="single" w:color="000000" w:sz="4" w:space="0"/>
                    <w:right w:val="single" w:color="000000" w:sz="4" w:space="0"/>
                  </w:tcBorders>
                  <w:vAlign w:val="center"/>
                </w:tcPr>
                <w:p>
                  <w:pPr>
                    <w:pStyle w:val="36"/>
                    <w:jc w:val="both"/>
                    <w:rPr>
                      <w:color w:val="auto"/>
                      <w:highlight w:val="none"/>
                    </w:rPr>
                  </w:pPr>
                  <w:r>
                    <w:rPr>
                      <w:color w:val="auto"/>
                      <w:highlight w:val="none"/>
                    </w:rPr>
                    <w:t>DW00</w:t>
                  </w:r>
                  <w:r>
                    <w:rPr>
                      <w:rFonts w:hint="eastAsia"/>
                      <w:color w:val="auto"/>
                      <w:highlight w:val="none"/>
                    </w:rPr>
                    <w:t>1</w:t>
                  </w:r>
                </w:p>
              </w:tc>
              <w:tc>
                <w:tcPr>
                  <w:tcW w:w="558" w:type="pct"/>
                  <w:vMerge w:val="restart"/>
                  <w:tcBorders>
                    <w:top w:val="nil"/>
                    <w:left w:val="single" w:color="000000" w:sz="4" w:space="0"/>
                    <w:right w:val="single" w:color="000000" w:sz="4" w:space="0"/>
                  </w:tcBorders>
                  <w:vAlign w:val="center"/>
                </w:tcPr>
                <w:p>
                  <w:pPr>
                    <w:pStyle w:val="36"/>
                    <w:jc w:val="both"/>
                    <w:rPr>
                      <w:color w:val="auto"/>
                      <w:highlight w:val="none"/>
                    </w:rPr>
                  </w:pPr>
                  <w:r>
                    <w:rPr>
                      <w:rFonts w:hint="eastAsia"/>
                      <w:color w:val="auto"/>
                      <w:highlight w:val="none"/>
                    </w:rPr>
                    <w:t>pH、</w:t>
                  </w:r>
                  <w:r>
                    <w:rPr>
                      <w:color w:val="auto"/>
                      <w:highlight w:val="none"/>
                    </w:rPr>
                    <w:t>COD、</w:t>
                  </w:r>
                  <w:r>
                    <w:rPr>
                      <w:rFonts w:hint="eastAsia"/>
                      <w:color w:val="auto"/>
                      <w:highlight w:val="none"/>
                    </w:rPr>
                    <w:t>BOD</w:t>
                  </w:r>
                  <w:r>
                    <w:rPr>
                      <w:rFonts w:hint="eastAsia"/>
                      <w:color w:val="auto"/>
                      <w:highlight w:val="none"/>
                      <w:vertAlign w:val="subscript"/>
                    </w:rPr>
                    <w:t>5</w:t>
                  </w:r>
                  <w:r>
                    <w:rPr>
                      <w:rFonts w:hint="eastAsia"/>
                      <w:color w:val="auto"/>
                      <w:highlight w:val="none"/>
                    </w:rPr>
                    <w:t>、</w:t>
                  </w:r>
                  <w:r>
                    <w:rPr>
                      <w:color w:val="auto"/>
                      <w:highlight w:val="none"/>
                    </w:rPr>
                    <w:t>SS、总磷、氨氮</w:t>
                  </w:r>
                  <w:r>
                    <w:rPr>
                      <w:rFonts w:hint="eastAsia"/>
                      <w:color w:val="auto"/>
                      <w:highlight w:val="none"/>
                    </w:rPr>
                    <w:t>、石油类</w:t>
                  </w: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pH（无量纲）</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left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悬浮物（SS）</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left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化学需氧量（COD）</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left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五日生化需氧量（BOD</w:t>
                  </w:r>
                  <w:r>
                    <w:rPr>
                      <w:rFonts w:hint="eastAsia"/>
                      <w:color w:val="auto"/>
                      <w:highlight w:val="none"/>
                      <w:vertAlign w:val="subscript"/>
                    </w:rPr>
                    <w:t>5</w:t>
                  </w:r>
                  <w:r>
                    <w:rPr>
                      <w:rFonts w:hint="eastAsia"/>
                      <w:color w:val="auto"/>
                      <w:highlight w:val="none"/>
                    </w:rPr>
                    <w:t>）</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237" w:type="pct"/>
                  <w:vMerge w:val="continue"/>
                  <w:tcBorders>
                    <w:left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氨氮</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1</w:t>
                  </w:r>
                  <w:r>
                    <w:rPr>
                      <w:rFonts w:hint="eastAsia"/>
                      <w:color w:val="auto"/>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left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磷酸盐（以P计）</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7" w:type="pct"/>
                  <w:vMerge w:val="continue"/>
                  <w:tcBorders>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515" w:type="pct"/>
                  <w:vMerge w:val="continue"/>
                  <w:tcBorders>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558" w:type="pct"/>
                  <w:vMerge w:val="continue"/>
                  <w:tcBorders>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2012"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石油类</w:t>
                  </w:r>
                </w:p>
              </w:tc>
              <w:tc>
                <w:tcPr>
                  <w:tcW w:w="1676"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5</w:t>
                  </w:r>
                </w:p>
              </w:tc>
            </w:tr>
          </w:tbl>
          <w:p>
            <w:pPr>
              <w:pStyle w:val="5"/>
              <w:keepNext/>
              <w:ind w:firstLine="402" w:firstLineChars="200"/>
              <w:jc w:val="center"/>
              <w:rPr>
                <w:color w:val="auto"/>
                <w:highlight w:val="none"/>
              </w:rPr>
            </w:pPr>
            <w:r>
              <w:rPr>
                <w:rFonts w:hint="eastAsia"/>
                <w:color w:val="auto"/>
                <w:highlight w:val="none"/>
              </w:rPr>
              <w:t>表4-5项目废水污染物排放信息表（三本账核算结果）</w:t>
            </w:r>
          </w:p>
          <w:tbl>
            <w:tblPr>
              <w:tblStyle w:val="17"/>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71"/>
              <w:gridCol w:w="886"/>
              <w:gridCol w:w="1885"/>
              <w:gridCol w:w="1079"/>
              <w:gridCol w:w="1033"/>
              <w:gridCol w:w="969"/>
              <w:gridCol w:w="1079"/>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r>
                    <w:rPr>
                      <w:color w:val="0000FF"/>
                      <w:highlight w:val="none"/>
                    </w:rPr>
                    <w:t>序号</w:t>
                  </w:r>
                </w:p>
              </w:tc>
              <w:tc>
                <w:tcPr>
                  <w:tcW w:w="92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排放口</w:t>
                  </w:r>
                </w:p>
                <w:p>
                  <w:pPr>
                    <w:pStyle w:val="36"/>
                    <w:rPr>
                      <w:color w:val="0000FF"/>
                      <w:highlight w:val="none"/>
                    </w:rPr>
                  </w:pPr>
                  <w:r>
                    <w:rPr>
                      <w:color w:val="0000FF"/>
                      <w:highlight w:val="none"/>
                    </w:rPr>
                    <w:t>编号</w:t>
                  </w: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污染物种类</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现有工程</w:t>
                  </w:r>
                  <w:r>
                    <w:rPr>
                      <w:rFonts w:hint="eastAsia"/>
                      <w:color w:val="0000FF"/>
                      <w:highlight w:val="none"/>
                      <w:vertAlign w:val="superscript"/>
                    </w:rPr>
                    <w:t>①</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以新带老</w:t>
                  </w:r>
                </w:p>
                <w:p>
                  <w:pPr>
                    <w:pStyle w:val="36"/>
                    <w:rPr>
                      <w:color w:val="0000FF"/>
                      <w:highlight w:val="none"/>
                    </w:rPr>
                  </w:pPr>
                  <w:r>
                    <w:rPr>
                      <w:color w:val="0000FF"/>
                      <w:highlight w:val="none"/>
                    </w:rPr>
                    <w:t>削减量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新增</w:t>
                  </w:r>
                </w:p>
                <w:p>
                  <w:pPr>
                    <w:pStyle w:val="36"/>
                    <w:rPr>
                      <w:color w:val="0000FF"/>
                      <w:highlight w:val="none"/>
                    </w:rPr>
                  </w:pPr>
                  <w:r>
                    <w:rPr>
                      <w:color w:val="0000FF"/>
                      <w:highlight w:val="none"/>
                    </w:rPr>
                    <w:t>年排放量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年排放量</w:t>
                  </w:r>
                  <w:r>
                    <w:rPr>
                      <w:rFonts w:hint="eastAsia"/>
                      <w:color w:val="0000FF"/>
                      <w:highlight w:val="none"/>
                      <w:vertAlign w:val="superscript"/>
                    </w:rPr>
                    <w:t>②</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排放</w:t>
                  </w:r>
                </w:p>
                <w:p>
                  <w:pPr>
                    <w:pStyle w:val="36"/>
                    <w:rPr>
                      <w:color w:val="0000FF"/>
                      <w:highlight w:val="none"/>
                    </w:rPr>
                  </w:pPr>
                  <w:r>
                    <w:rPr>
                      <w:color w:val="0000FF"/>
                      <w:highlight w:val="none"/>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restart"/>
                  <w:tcBorders>
                    <w:top w:val="nil"/>
                    <w:left w:val="single" w:color="auto" w:sz="4" w:space="0"/>
                    <w:bottom w:val="single" w:color="auto" w:sz="4" w:space="0"/>
                    <w:right w:val="single" w:color="auto" w:sz="4" w:space="0"/>
                  </w:tcBorders>
                  <w:vAlign w:val="center"/>
                </w:tcPr>
                <w:p>
                  <w:pPr>
                    <w:pStyle w:val="36"/>
                    <w:rPr>
                      <w:color w:val="0000FF"/>
                      <w:highlight w:val="none"/>
                    </w:rPr>
                  </w:pPr>
                  <w:r>
                    <w:rPr>
                      <w:color w:val="0000FF"/>
                      <w:highlight w:val="none"/>
                    </w:rPr>
                    <w:t>1</w:t>
                  </w:r>
                </w:p>
              </w:tc>
              <w:tc>
                <w:tcPr>
                  <w:tcW w:w="925" w:type="dxa"/>
                  <w:vMerge w:val="restart"/>
                  <w:tcBorders>
                    <w:top w:val="nil"/>
                    <w:left w:val="nil"/>
                    <w:bottom w:val="single" w:color="auto" w:sz="4" w:space="0"/>
                    <w:right w:val="single" w:color="auto" w:sz="4" w:space="0"/>
                  </w:tcBorders>
                  <w:vAlign w:val="center"/>
                </w:tcPr>
                <w:p>
                  <w:pPr>
                    <w:pStyle w:val="36"/>
                    <w:rPr>
                      <w:color w:val="0000FF"/>
                      <w:highlight w:val="none"/>
                    </w:rPr>
                  </w:pPr>
                  <w:r>
                    <w:rPr>
                      <w:color w:val="0000FF"/>
                      <w:highlight w:val="none"/>
                    </w:rPr>
                    <w:t>DW001</w:t>
                  </w: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水量（万m</w:t>
                  </w:r>
                  <w:r>
                    <w:rPr>
                      <w:color w:val="0000FF"/>
                      <w:highlight w:val="none"/>
                      <w:vertAlign w:val="superscript"/>
                    </w:rPr>
                    <w:t>3</w:t>
                  </w:r>
                  <w:r>
                    <w:rPr>
                      <w:color w:val="0000FF"/>
                      <w:highlight w:val="none"/>
                    </w:rPr>
                    <w: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245.9735</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lang w:eastAsia="zh"/>
                    </w:rPr>
                    <w:t>245.9735</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化学需氧量（t/a）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283.67</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-3</w:t>
                  </w:r>
                  <w:r>
                    <w:rPr>
                      <w:rFonts w:hint="eastAsia"/>
                      <w:color w:val="0000FF"/>
                      <w:highlight w:val="none"/>
                      <w:lang w:eastAsia="zh"/>
                    </w:rPr>
                    <w:t>7.70</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2</w:t>
                  </w:r>
                  <w:r>
                    <w:rPr>
                      <w:rFonts w:hint="eastAsia"/>
                      <w:color w:val="0000FF"/>
                      <w:highlight w:val="none"/>
                      <w:lang w:eastAsia="zh"/>
                    </w:rPr>
                    <w:t>45.97</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氨氮（t/a）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39.23</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-2.</w:t>
                  </w:r>
                  <w:r>
                    <w:rPr>
                      <w:rFonts w:hint="eastAsia"/>
                      <w:color w:val="0000FF"/>
                      <w:highlight w:val="none"/>
                      <w:lang w:eastAsia="zh"/>
                    </w:rPr>
                    <w:t>33</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3</w:t>
                  </w:r>
                  <w:r>
                    <w:rPr>
                      <w:rFonts w:hint="eastAsia"/>
                      <w:color w:val="0000FF"/>
                      <w:highlight w:val="none"/>
                      <w:lang w:eastAsia="zh"/>
                    </w:rPr>
                    <w:t>6.90</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dxa"/>
                  <w:vMerge w:val="continue"/>
                  <w:tcBorders>
                    <w:top w:val="nil"/>
                    <w:left w:val="single" w:color="auto" w:sz="4" w:space="0"/>
                    <w:bottom w:val="single" w:color="auto" w:sz="4" w:space="0"/>
                    <w:right w:val="single" w:color="auto" w:sz="4" w:space="0"/>
                  </w:tcBorders>
                  <w:vAlign w:val="center"/>
                </w:tcPr>
                <w:p>
                  <w:pPr>
                    <w:pStyle w:val="36"/>
                    <w:rPr>
                      <w:color w:val="0000FF"/>
                      <w:highlight w:val="none"/>
                    </w:rPr>
                  </w:pPr>
                </w:p>
              </w:tc>
              <w:tc>
                <w:tcPr>
                  <w:tcW w:w="925" w:type="dxa"/>
                  <w:vMerge w:val="continue"/>
                  <w:tcBorders>
                    <w:top w:val="nil"/>
                    <w:left w:val="nil"/>
                    <w:bottom w:val="single" w:color="auto" w:sz="4" w:space="0"/>
                    <w:right w:val="single" w:color="auto" w:sz="4" w:space="0"/>
                  </w:tcBorders>
                  <w:vAlign w:val="center"/>
                </w:tcPr>
                <w:p>
                  <w:pPr>
                    <w:pStyle w:val="36"/>
                    <w:rPr>
                      <w:color w:val="0000FF"/>
                      <w:highlight w:val="none"/>
                    </w:rPr>
                  </w:pPr>
                </w:p>
              </w:tc>
              <w:tc>
                <w:tcPr>
                  <w:tcW w:w="2165"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总磷</w:t>
                  </w:r>
                  <w:r>
                    <w:rPr>
                      <w:color w:val="0000FF"/>
                      <w:highlight w:val="none"/>
                    </w:rPr>
                    <w:t>（t/a）</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lang w:eastAsia="zh"/>
                    </w:rPr>
                    <w:t>7.22</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w:t>
                  </w:r>
                  <w:r>
                    <w:rPr>
                      <w:rFonts w:hint="eastAsia"/>
                      <w:color w:val="0000FF"/>
                      <w:highlight w:val="none"/>
                      <w:lang w:eastAsia="zh"/>
                    </w:rPr>
                    <w:t>5.99</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0</w:t>
                  </w:r>
                </w:p>
              </w:tc>
              <w:tc>
                <w:tcPr>
                  <w:tcW w:w="1134" w:type="dxa"/>
                  <w:tcBorders>
                    <w:top w:val="single" w:color="auto" w:sz="4" w:space="0"/>
                    <w:left w:val="nil"/>
                    <w:bottom w:val="single" w:color="auto" w:sz="4" w:space="0"/>
                    <w:right w:val="single" w:color="auto" w:sz="4" w:space="0"/>
                  </w:tcBorders>
                  <w:vAlign w:val="center"/>
                </w:tcPr>
                <w:p>
                  <w:pPr>
                    <w:pStyle w:val="36"/>
                    <w:rPr>
                      <w:rFonts w:hint="eastAsia" w:eastAsia="宋体"/>
                      <w:color w:val="0000FF"/>
                      <w:highlight w:val="none"/>
                      <w:lang w:eastAsia="zh"/>
                    </w:rPr>
                  </w:pPr>
                  <w:r>
                    <w:rPr>
                      <w:rFonts w:hint="eastAsia"/>
                      <w:color w:val="0000FF"/>
                      <w:highlight w:val="none"/>
                    </w:rPr>
                    <w:t>1.2</w:t>
                  </w:r>
                  <w:r>
                    <w:rPr>
                      <w:rFonts w:hint="eastAsia"/>
                      <w:color w:val="0000FF"/>
                      <w:highlight w:val="none"/>
                      <w:lang w:eastAsia="zh"/>
                    </w:rPr>
                    <w:t>3</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w:t>
                  </w:r>
                  <w:r>
                    <w:rPr>
                      <w:rFonts w:hint="eastAsia"/>
                      <w:color w:val="0000FF"/>
                      <w:highlight w:val="none"/>
                      <w:lang w:eastAsia="zh"/>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r>
                    <w:rPr>
                      <w:rFonts w:hint="eastAsia"/>
                      <w:color w:val="0000FF"/>
                      <w:highlight w:val="none"/>
                      <w:lang w:eastAsia="zh"/>
                    </w:rPr>
                    <w:t>非放射性生产废水处理站废水</w:t>
                  </w:r>
                  <w:r>
                    <w:rPr>
                      <w:color w:val="0000FF"/>
                      <w:highlight w:val="none"/>
                    </w:rPr>
                    <w:t>排放口合计</w:t>
                  </w: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化学需氧量</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45.97</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氨氮</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3</w:t>
                  </w:r>
                  <w:r>
                    <w:rPr>
                      <w:rFonts w:hint="eastAsia"/>
                      <w:color w:val="0000FF"/>
                      <w:highlight w:val="none"/>
                      <w:lang w:eastAsia="zh"/>
                    </w:rPr>
                    <w:t>6.90</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-2.</w:t>
                  </w:r>
                  <w:r>
                    <w:rPr>
                      <w:rFonts w:hint="eastAsia"/>
                      <w:color w:val="0000FF"/>
                      <w:highlight w:val="none"/>
                      <w:lang w:eastAsia="zh"/>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6"/>
                    <w:rPr>
                      <w:color w:val="0000FF"/>
                      <w:highlight w:val="none"/>
                    </w:rPr>
                  </w:pPr>
                </w:p>
              </w:tc>
              <w:tc>
                <w:tcPr>
                  <w:tcW w:w="5567" w:type="dxa"/>
                  <w:gridSpan w:val="4"/>
                  <w:tcBorders>
                    <w:top w:val="single" w:color="auto" w:sz="4" w:space="0"/>
                    <w:left w:val="nil"/>
                    <w:bottom w:val="single" w:color="auto" w:sz="4" w:space="0"/>
                    <w:right w:val="single" w:color="auto" w:sz="4" w:space="0"/>
                  </w:tcBorders>
                  <w:vAlign w:val="center"/>
                </w:tcPr>
                <w:p>
                  <w:pPr>
                    <w:pStyle w:val="36"/>
                    <w:rPr>
                      <w:color w:val="0000FF"/>
                      <w:highlight w:val="none"/>
                    </w:rPr>
                  </w:pPr>
                  <w:r>
                    <w:rPr>
                      <w:color w:val="0000FF"/>
                      <w:highlight w:val="none"/>
                    </w:rPr>
                    <w:t>总磷</w:t>
                  </w:r>
                </w:p>
              </w:tc>
              <w:tc>
                <w:tcPr>
                  <w:tcW w:w="1134"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1.2</w:t>
                  </w:r>
                  <w:r>
                    <w:rPr>
                      <w:rFonts w:hint="eastAsia"/>
                      <w:color w:val="0000FF"/>
                      <w:highlight w:val="none"/>
                      <w:lang w:eastAsia="zh"/>
                    </w:rPr>
                    <w:t>3</w:t>
                  </w:r>
                </w:p>
              </w:tc>
              <w:tc>
                <w:tcPr>
                  <w:tcW w:w="976" w:type="dxa"/>
                  <w:tcBorders>
                    <w:top w:val="single" w:color="auto" w:sz="4" w:space="0"/>
                    <w:left w:val="nil"/>
                    <w:bottom w:val="single" w:color="auto" w:sz="4" w:space="0"/>
                    <w:right w:val="single" w:color="auto" w:sz="4" w:space="0"/>
                  </w:tcBorders>
                  <w:vAlign w:val="center"/>
                </w:tcPr>
                <w:p>
                  <w:pPr>
                    <w:pStyle w:val="36"/>
                    <w:rPr>
                      <w:color w:val="0000FF"/>
                      <w:highlight w:val="none"/>
                    </w:rPr>
                  </w:pPr>
                  <w:r>
                    <w:rPr>
                      <w:rFonts w:hint="eastAsia"/>
                      <w:color w:val="0000FF"/>
                      <w:highlight w:val="none"/>
                    </w:rPr>
                    <w:t>-</w:t>
                  </w:r>
                  <w:r>
                    <w:rPr>
                      <w:rFonts w:hint="eastAsia"/>
                      <w:color w:val="0000FF"/>
                      <w:highlight w:val="none"/>
                      <w:lang w:eastAsia="zh"/>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98" w:type="dxa"/>
                  <w:gridSpan w:val="8"/>
                  <w:tcBorders>
                    <w:top w:val="nil"/>
                    <w:left w:val="single" w:color="auto" w:sz="4" w:space="0"/>
                    <w:bottom w:val="single" w:color="auto" w:sz="4" w:space="0"/>
                    <w:right w:val="single" w:color="auto" w:sz="4" w:space="0"/>
                  </w:tcBorders>
                  <w:vAlign w:val="center"/>
                </w:tcPr>
                <w:p>
                  <w:pPr>
                    <w:pStyle w:val="36"/>
                    <w:jc w:val="left"/>
                    <w:rPr>
                      <w:b/>
                      <w:bCs/>
                      <w:color w:val="0000FF"/>
                      <w:highlight w:val="none"/>
                      <w:u w:val="single"/>
                    </w:rPr>
                  </w:pPr>
                  <w:r>
                    <w:rPr>
                      <w:rFonts w:hint="eastAsia"/>
                      <w:color w:val="0000FF"/>
                      <w:highlight w:val="none"/>
                    </w:rPr>
                    <w:t>备注：①</w:t>
                  </w:r>
                  <w:r>
                    <w:rPr>
                      <w:rFonts w:hint="eastAsia"/>
                      <w:color w:val="0000FF"/>
                      <w:highlight w:val="none"/>
                      <w:lang w:val="en-US" w:eastAsia="zh-CN"/>
                    </w:rPr>
                    <w:t>现有工程量</w:t>
                  </w:r>
                  <w:r>
                    <w:rPr>
                      <w:rFonts w:hint="eastAsia"/>
                      <w:color w:val="0000FF"/>
                      <w:highlight w:val="none"/>
                    </w:rPr>
                    <w:t>根据1-6号机组环评水量和产生浓度计算。年排放量以《污水综合排放标准》（GB 8978-1996）表4中一级标准浓度限值计算最终排放量。</w:t>
                  </w:r>
                </w:p>
              </w:tc>
            </w:tr>
          </w:tbl>
          <w:p>
            <w:pPr>
              <w:pStyle w:val="8"/>
              <w:ind w:firstLine="482"/>
              <w:rPr>
                <w:b/>
                <w:bCs/>
                <w:color w:val="auto"/>
                <w:highlight w:val="none"/>
              </w:rPr>
            </w:pPr>
          </w:p>
          <w:p>
            <w:pPr>
              <w:pStyle w:val="8"/>
              <w:ind w:firstLine="482"/>
              <w:rPr>
                <w:b/>
                <w:bCs/>
                <w:color w:val="auto"/>
                <w:highlight w:val="none"/>
              </w:rPr>
            </w:pPr>
            <w:r>
              <w:rPr>
                <w:rFonts w:hint="eastAsia"/>
                <w:b/>
                <w:bCs/>
                <w:color w:val="auto"/>
                <w:highlight w:val="none"/>
              </w:rPr>
              <w:t>（6）环境监测计划</w:t>
            </w:r>
          </w:p>
          <w:p>
            <w:pPr>
              <w:pStyle w:val="8"/>
              <w:rPr>
                <w:color w:val="auto"/>
                <w:sz w:val="24"/>
                <w:szCs w:val="24"/>
                <w:highlight w:val="none"/>
                <w:u w:val="single"/>
              </w:rPr>
            </w:pPr>
            <w:r>
              <w:rPr>
                <w:rFonts w:hint="eastAsia"/>
                <w:color w:val="auto"/>
                <w:sz w:val="24"/>
                <w:szCs w:val="24"/>
                <w:highlight w:val="none"/>
              </w:rPr>
              <w:t>现有厂区总排放口已制定监测计划，同时排污口周边海域已布置环境质量监测计划点位。根据工程分析，本项目接收处理的为非放射性含油废水、常规岛生产废水、除盐水厂房排水等非放射性废水，不涉及放射性</w:t>
            </w:r>
            <w:r>
              <w:rPr>
                <w:rFonts w:hint="eastAsia"/>
                <w:color w:val="auto"/>
                <w:sz w:val="24"/>
                <w:szCs w:val="24"/>
                <w:highlight w:val="none"/>
                <w:lang w:eastAsia="zh-CN"/>
              </w:rPr>
              <w:t>且</w:t>
            </w:r>
            <w:r>
              <w:rPr>
                <w:rFonts w:hint="eastAsia"/>
                <w:color w:val="auto"/>
                <w:sz w:val="24"/>
                <w:szCs w:val="24"/>
                <w:highlight w:val="none"/>
              </w:rPr>
              <w:t>本次非放射性废水不新增排放口，依托厂区总排放口。因此本次评价参照《排污单位自行监测技术指南 水处理》（HJ 1083—2020）提出自行监测方案</w:t>
            </w:r>
            <w:r>
              <w:rPr>
                <w:rFonts w:hint="eastAsia"/>
                <w:color w:val="auto"/>
                <w:sz w:val="24"/>
                <w:szCs w:val="24"/>
                <w:highlight w:val="none"/>
                <w:u w:val="single"/>
              </w:rPr>
              <w:t>。</w:t>
            </w:r>
          </w:p>
          <w:p>
            <w:pPr>
              <w:pStyle w:val="8"/>
              <w:rPr>
                <w:rFonts w:hint="eastAsia"/>
                <w:color w:val="auto"/>
                <w:highlight w:val="none"/>
              </w:rPr>
            </w:pPr>
            <w:r>
              <w:rPr>
                <w:rFonts w:hint="eastAsia"/>
                <w:color w:val="auto"/>
                <w:sz w:val="24"/>
                <w:szCs w:val="24"/>
                <w:highlight w:val="none"/>
                <w:u w:val="single"/>
              </w:rPr>
              <w:t>排污单位应做好监测数据记录</w:t>
            </w:r>
            <w:r>
              <w:rPr>
                <w:rFonts w:hint="eastAsia"/>
                <w:color w:val="auto"/>
                <w:sz w:val="24"/>
                <w:szCs w:val="24"/>
                <w:highlight w:val="none"/>
                <w:u w:val="single"/>
                <w:lang w:val="en-US" w:eastAsia="zh-CN"/>
              </w:rPr>
              <w:t>及存档</w:t>
            </w:r>
            <w:r>
              <w:rPr>
                <w:rFonts w:hint="eastAsia"/>
                <w:color w:val="auto"/>
                <w:sz w:val="24"/>
                <w:szCs w:val="24"/>
                <w:highlight w:val="none"/>
                <w:u w:val="single"/>
              </w:rPr>
              <w:t>，记录生产和污染治理设施运行状况、固体废物（危险废物）产生与处理等状况。</w:t>
            </w:r>
          </w:p>
          <w:p>
            <w:pPr>
              <w:pStyle w:val="5"/>
              <w:keepNext/>
              <w:ind w:firstLine="402" w:firstLineChars="200"/>
              <w:jc w:val="center"/>
              <w:rPr>
                <w:color w:val="auto"/>
                <w:highlight w:val="none"/>
              </w:rPr>
            </w:pPr>
            <w:r>
              <w:rPr>
                <w:rFonts w:hint="eastAsia"/>
                <w:color w:val="auto"/>
                <w:highlight w:val="none"/>
              </w:rPr>
              <w:t>表4-6废水监测计划表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2626"/>
              <w:gridCol w:w="191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监测点位</w:t>
                  </w: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监测指标</w:t>
                  </w:r>
                </w:p>
              </w:tc>
              <w:tc>
                <w:tcPr>
                  <w:tcW w:w="113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监测频次</w:t>
                  </w:r>
                </w:p>
              </w:tc>
              <w:tc>
                <w:tcPr>
                  <w:tcW w:w="1125"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非放射性废水处理站</w:t>
                  </w:r>
                  <w:r>
                    <w:rPr>
                      <w:color w:val="auto"/>
                      <w:highlight w:val="none"/>
                    </w:rPr>
                    <w:t>出水口</w:t>
                  </w:r>
                  <w:r>
                    <w:rPr>
                      <w:rFonts w:hint="eastAsia"/>
                      <w:color w:val="auto"/>
                      <w:highlight w:val="none"/>
                    </w:rPr>
                    <w:t>（清水池出口）</w:t>
                  </w: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流量</w:t>
                  </w:r>
                </w:p>
              </w:tc>
              <w:tc>
                <w:tcPr>
                  <w:tcW w:w="1137" w:type="pct"/>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自动</w:t>
                  </w:r>
                  <w:r>
                    <w:rPr>
                      <w:color w:val="auto"/>
                      <w:highlight w:val="none"/>
                    </w:rPr>
                    <w:t>监测</w:t>
                  </w:r>
                </w:p>
              </w:tc>
              <w:tc>
                <w:tcPr>
                  <w:tcW w:w="1125" w:type="pct"/>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《污水综合排放标准》（GB 8978-1996）表4中一级标准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pH</w:t>
                  </w:r>
                </w:p>
              </w:tc>
              <w:tc>
                <w:tcPr>
                  <w:tcW w:w="1137" w:type="pct"/>
                  <w:vMerge w:val="continue"/>
                  <w:tcBorders>
                    <w:left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水温</w:t>
                  </w:r>
                </w:p>
              </w:tc>
              <w:tc>
                <w:tcPr>
                  <w:tcW w:w="1137" w:type="pct"/>
                  <w:vMerge w:val="continue"/>
                  <w:tcBorders>
                    <w:left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COD</w:t>
                  </w:r>
                </w:p>
              </w:tc>
              <w:tc>
                <w:tcPr>
                  <w:tcW w:w="1137" w:type="pct"/>
                  <w:vMerge w:val="continue"/>
                  <w:tcBorders>
                    <w:left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氨氮</w:t>
                  </w:r>
                </w:p>
              </w:tc>
              <w:tc>
                <w:tcPr>
                  <w:tcW w:w="1137" w:type="pct"/>
                  <w:vMerge w:val="continue"/>
                  <w:tcBorders>
                    <w:left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总磷</w:t>
                  </w:r>
                </w:p>
              </w:tc>
              <w:tc>
                <w:tcPr>
                  <w:tcW w:w="1137" w:type="pct"/>
                  <w:vMerge w:val="continue"/>
                  <w:tcBorders>
                    <w:left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总氮</w:t>
                  </w:r>
                </w:p>
              </w:tc>
              <w:tc>
                <w:tcPr>
                  <w:tcW w:w="1137" w:type="pct"/>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SS</w:t>
                  </w:r>
                </w:p>
              </w:tc>
              <w:tc>
                <w:tcPr>
                  <w:tcW w:w="113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日</w:t>
                  </w:r>
                </w:p>
              </w:tc>
              <w:tc>
                <w:tcPr>
                  <w:tcW w:w="1125" w:type="pct"/>
                  <w:vMerge w:val="continue"/>
                  <w:tcBorders>
                    <w:left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pct"/>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155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BOD</w:t>
                  </w:r>
                  <w:r>
                    <w:rPr>
                      <w:rFonts w:hint="eastAsia"/>
                      <w:color w:val="auto"/>
                      <w:highlight w:val="none"/>
                      <w:vertAlign w:val="subscript"/>
                    </w:rPr>
                    <w:t>5</w:t>
                  </w:r>
                  <w:r>
                    <w:rPr>
                      <w:rFonts w:hint="eastAsia"/>
                      <w:color w:val="auto"/>
                      <w:highlight w:val="none"/>
                    </w:rPr>
                    <w:t>、石油类</w:t>
                  </w:r>
                </w:p>
              </w:tc>
              <w:tc>
                <w:tcPr>
                  <w:tcW w:w="1137" w:type="pc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月</w:t>
                  </w:r>
                </w:p>
              </w:tc>
              <w:tc>
                <w:tcPr>
                  <w:tcW w:w="1125" w:type="pct"/>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r>
          </w:tbl>
          <w:p>
            <w:pPr>
              <w:pStyle w:val="8"/>
              <w:ind w:firstLine="482"/>
              <w:rPr>
                <w:b/>
                <w:bCs/>
                <w:color w:val="auto"/>
                <w:sz w:val="24"/>
                <w:szCs w:val="24"/>
                <w:highlight w:val="none"/>
                <w:u w:val="single"/>
              </w:rPr>
            </w:pPr>
            <w:r>
              <w:rPr>
                <w:rFonts w:hint="eastAsia"/>
                <w:b/>
                <w:bCs/>
                <w:color w:val="auto"/>
                <w:sz w:val="24"/>
                <w:szCs w:val="24"/>
                <w:highlight w:val="none"/>
                <w:u w:val="single"/>
              </w:rPr>
              <w:t>（7）排污口规范化设置</w:t>
            </w:r>
          </w:p>
          <w:p>
            <w:pPr>
              <w:pStyle w:val="8"/>
              <w:rPr>
                <w:color w:val="auto"/>
                <w:highlight w:val="none"/>
                <w:u w:val="single"/>
              </w:rPr>
            </w:pPr>
            <w:r>
              <w:rPr>
                <w:rFonts w:hint="eastAsia"/>
                <w:color w:val="auto"/>
                <w:highlight w:val="none"/>
                <w:u w:val="single"/>
              </w:rPr>
              <w:t>本项目主要对福清核电基地非放射性生产废水水质提升改造，非放射性生产废水处理达标后拟排入现有虹吸井中（总排放渠混合井CC）经全厂排水渠排入兴化湾，依托全厂现有入海排污口，不新增排污口。全厂的入海排污口已完成备案，备案号[350181-LS-0286]，入海排污口名称为：福州市福清市三山镇前薛村福清核电厂生产污水排污口，入海排污口编码为：</w:t>
            </w:r>
            <w:r>
              <w:rPr>
                <w:rFonts w:hint="eastAsia"/>
                <w:color w:val="auto"/>
                <w:highlight w:val="none"/>
                <w:u w:val="single"/>
                <w:lang w:val="en-US" w:eastAsia="zh-CN"/>
              </w:rPr>
              <w:t>*</w:t>
            </w:r>
            <w:r>
              <w:rPr>
                <w:rFonts w:hint="eastAsia"/>
                <w:color w:val="auto"/>
                <w:highlight w:val="none"/>
                <w:u w:val="single"/>
              </w:rPr>
              <w:t>见附件16，入海排污口位于全厂的排水渠末端，位置见附图11。</w:t>
            </w:r>
          </w:p>
          <w:p>
            <w:pPr>
              <w:pStyle w:val="8"/>
              <w:rPr>
                <w:color w:val="auto"/>
                <w:highlight w:val="none"/>
                <w:u w:val="single"/>
              </w:rPr>
            </w:pPr>
            <w:r>
              <w:rPr>
                <w:rFonts w:hint="eastAsia"/>
                <w:color w:val="auto"/>
                <w:highlight w:val="none"/>
                <w:u w:val="single"/>
              </w:rPr>
              <w:t>本项目建成后依托的废水排放口基本情况如下表所示。</w:t>
            </w:r>
          </w:p>
          <w:p>
            <w:pPr>
              <w:pStyle w:val="5"/>
              <w:keepNext/>
              <w:ind w:firstLine="402" w:firstLineChars="200"/>
              <w:jc w:val="center"/>
              <w:rPr>
                <w:color w:val="auto"/>
                <w:highlight w:val="none"/>
              </w:rPr>
            </w:pPr>
            <w:r>
              <w:rPr>
                <w:rFonts w:hint="eastAsia"/>
                <w:color w:val="auto"/>
                <w:highlight w:val="none"/>
              </w:rPr>
              <w:t>表4-7项目改造后依托废水总排放口基本情况表</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599"/>
              <w:gridCol w:w="644"/>
              <w:gridCol w:w="597"/>
              <w:gridCol w:w="735"/>
              <w:gridCol w:w="923"/>
              <w:gridCol w:w="597"/>
              <w:gridCol w:w="609"/>
              <w:gridCol w:w="396"/>
              <w:gridCol w:w="1299"/>
              <w:gridCol w:w="684"/>
              <w:gridCol w:w="574"/>
              <w:gridCol w:w="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1" w:type="pct"/>
                  <w:vMerge w:val="restar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序号</w:t>
                  </w:r>
                </w:p>
              </w:tc>
              <w:tc>
                <w:tcPr>
                  <w:tcW w:w="357"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排放口编号</w:t>
                  </w:r>
                </w:p>
              </w:tc>
              <w:tc>
                <w:tcPr>
                  <w:tcW w:w="740" w:type="pct"/>
                  <w:gridSpan w:val="2"/>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排放口地理坐标</w:t>
                  </w:r>
                  <w:r>
                    <w:rPr>
                      <w:color w:val="auto"/>
                      <w:highlight w:val="none"/>
                      <w:vertAlign w:val="superscript"/>
                    </w:rPr>
                    <w:t>a</w:t>
                  </w:r>
                </w:p>
              </w:tc>
              <w:tc>
                <w:tcPr>
                  <w:tcW w:w="438"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依托</w:t>
                  </w:r>
                  <w:r>
                    <w:rPr>
                      <w:color w:val="auto"/>
                      <w:highlight w:val="none"/>
                    </w:rPr>
                    <w:t>废水排放量</w:t>
                  </w:r>
                </w:p>
                <w:p>
                  <w:pPr>
                    <w:pStyle w:val="36"/>
                    <w:jc w:val="both"/>
                    <w:rPr>
                      <w:color w:val="auto"/>
                      <w:highlight w:val="none"/>
                    </w:rPr>
                  </w:pPr>
                  <w:r>
                    <w:rPr>
                      <w:color w:val="auto"/>
                      <w:highlight w:val="none"/>
                    </w:rPr>
                    <w:t>（万t/a）</w:t>
                  </w:r>
                </w:p>
              </w:tc>
              <w:tc>
                <w:tcPr>
                  <w:tcW w:w="549"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排放去向</w:t>
                  </w:r>
                </w:p>
              </w:tc>
              <w:tc>
                <w:tcPr>
                  <w:tcW w:w="356"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排放规律</w:t>
                  </w:r>
                </w:p>
              </w:tc>
              <w:tc>
                <w:tcPr>
                  <w:tcW w:w="363"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间歇排放时段</w:t>
                  </w:r>
                </w:p>
              </w:tc>
              <w:tc>
                <w:tcPr>
                  <w:tcW w:w="1009" w:type="pct"/>
                  <w:gridSpan w:val="2"/>
                  <w:tcBorders>
                    <w:top w:val="single" w:color="auto" w:sz="4" w:space="0"/>
                    <w:left w:val="nil"/>
                    <w:bottom w:val="nil"/>
                    <w:right w:val="single" w:color="auto" w:sz="4" w:space="0"/>
                  </w:tcBorders>
                  <w:vAlign w:val="center"/>
                </w:tcPr>
                <w:p>
                  <w:pPr>
                    <w:pStyle w:val="36"/>
                    <w:jc w:val="both"/>
                    <w:rPr>
                      <w:color w:val="auto"/>
                      <w:highlight w:val="none"/>
                    </w:rPr>
                  </w:pPr>
                  <w:r>
                    <w:rPr>
                      <w:color w:val="auto"/>
                      <w:highlight w:val="none"/>
                    </w:rPr>
                    <w:t>受纳自然</w:t>
                  </w:r>
                </w:p>
                <w:p>
                  <w:pPr>
                    <w:pStyle w:val="36"/>
                    <w:jc w:val="both"/>
                    <w:rPr>
                      <w:color w:val="auto"/>
                      <w:highlight w:val="none"/>
                    </w:rPr>
                  </w:pPr>
                  <w:r>
                    <w:rPr>
                      <w:color w:val="auto"/>
                      <w:highlight w:val="none"/>
                    </w:rPr>
                    <w:t>水体信息</w:t>
                  </w:r>
                </w:p>
              </w:tc>
              <w:tc>
                <w:tcPr>
                  <w:tcW w:w="749" w:type="pct"/>
                  <w:gridSpan w:val="2"/>
                  <w:tcBorders>
                    <w:top w:val="single" w:color="auto" w:sz="4" w:space="0"/>
                    <w:left w:val="nil"/>
                    <w:bottom w:val="single" w:color="auto" w:sz="4" w:space="0"/>
                    <w:right w:val="single" w:color="auto" w:sz="4" w:space="0"/>
                  </w:tcBorders>
                </w:tcPr>
                <w:p>
                  <w:pPr>
                    <w:pStyle w:val="36"/>
                    <w:jc w:val="both"/>
                    <w:rPr>
                      <w:color w:val="auto"/>
                      <w:highlight w:val="none"/>
                    </w:rPr>
                  </w:pPr>
                  <w:r>
                    <w:rPr>
                      <w:color w:val="auto"/>
                      <w:highlight w:val="none"/>
                    </w:rPr>
                    <w:t>汇入收纳自然水体</w:t>
                  </w:r>
                </w:p>
                <w:p>
                  <w:pPr>
                    <w:pStyle w:val="36"/>
                    <w:jc w:val="both"/>
                    <w:rPr>
                      <w:color w:val="auto"/>
                      <w:highlight w:val="none"/>
                    </w:rPr>
                  </w:pPr>
                  <w:r>
                    <w:rPr>
                      <w:color w:val="auto"/>
                      <w:highlight w:val="none"/>
                    </w:rPr>
                    <w:t>处地理坐标</w:t>
                  </w:r>
                  <w:r>
                    <w:rPr>
                      <w:color w:val="auto"/>
                      <w:highlight w:val="none"/>
                      <w:vertAlign w:val="superscript"/>
                    </w:rPr>
                    <w:t>d</w:t>
                  </w:r>
                </w:p>
              </w:tc>
              <w:tc>
                <w:tcPr>
                  <w:tcW w:w="303" w:type="pct"/>
                  <w:vMerge w:val="restar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备注</w:t>
                  </w:r>
                  <w:r>
                    <w:rPr>
                      <w:color w:val="auto"/>
                      <w:highlight w:val="none"/>
                      <w:vertAlign w:val="superscript"/>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1" w:type="pct"/>
                  <w:vMerge w:val="continue"/>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p>
              </w:tc>
              <w:tc>
                <w:tcPr>
                  <w:tcW w:w="357"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384"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经度</w:t>
                  </w:r>
                </w:p>
              </w:tc>
              <w:tc>
                <w:tcPr>
                  <w:tcW w:w="356"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纬度</w:t>
                  </w:r>
                </w:p>
              </w:tc>
              <w:tc>
                <w:tcPr>
                  <w:tcW w:w="438"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549"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356"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363"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c>
                <w:tcPr>
                  <w:tcW w:w="237"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名称</w:t>
                  </w:r>
                  <w:r>
                    <w:rPr>
                      <w:color w:val="auto"/>
                      <w:highlight w:val="none"/>
                      <w:vertAlign w:val="superscript"/>
                    </w:rPr>
                    <w:t>b</w:t>
                  </w:r>
                </w:p>
              </w:tc>
              <w:tc>
                <w:tcPr>
                  <w:tcW w:w="771"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收纳水体功能目标</w:t>
                  </w:r>
                  <w:r>
                    <w:rPr>
                      <w:color w:val="auto"/>
                      <w:highlight w:val="none"/>
                      <w:vertAlign w:val="superscript"/>
                    </w:rPr>
                    <w:t>c</w:t>
                  </w:r>
                </w:p>
              </w:tc>
              <w:tc>
                <w:tcPr>
                  <w:tcW w:w="407"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经度</w:t>
                  </w:r>
                </w:p>
              </w:tc>
              <w:tc>
                <w:tcPr>
                  <w:tcW w:w="341" w:type="pct"/>
                  <w:tcBorders>
                    <w:top w:val="single" w:color="auto" w:sz="4" w:space="0"/>
                    <w:left w:val="nil"/>
                    <w:bottom w:val="single" w:color="auto" w:sz="4" w:space="0"/>
                    <w:right w:val="single" w:color="auto" w:sz="4" w:space="0"/>
                  </w:tcBorders>
                  <w:vAlign w:val="center"/>
                </w:tcPr>
                <w:p>
                  <w:pPr>
                    <w:pStyle w:val="36"/>
                    <w:jc w:val="both"/>
                    <w:rPr>
                      <w:color w:val="auto"/>
                      <w:highlight w:val="none"/>
                    </w:rPr>
                  </w:pPr>
                  <w:r>
                    <w:rPr>
                      <w:color w:val="auto"/>
                      <w:highlight w:val="none"/>
                    </w:rPr>
                    <w:t>纬度</w:t>
                  </w:r>
                </w:p>
              </w:tc>
              <w:tc>
                <w:tcPr>
                  <w:tcW w:w="303" w:type="pct"/>
                  <w:vMerge w:val="continue"/>
                  <w:tcBorders>
                    <w:top w:val="single" w:color="auto" w:sz="4" w:space="0"/>
                    <w:left w:val="nil"/>
                    <w:bottom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1" w:type="pct"/>
                  <w:tcBorders>
                    <w:top w:val="single" w:color="auto" w:sz="4" w:space="0"/>
                    <w:left w:val="single" w:color="auto" w:sz="4" w:space="0"/>
                    <w:bottom w:val="single" w:color="auto" w:sz="4" w:space="0"/>
                    <w:right w:val="single" w:color="auto" w:sz="4" w:space="0"/>
                  </w:tcBorders>
                  <w:vAlign w:val="center"/>
                </w:tcPr>
                <w:p>
                  <w:pPr>
                    <w:pStyle w:val="36"/>
                    <w:jc w:val="both"/>
                    <w:rPr>
                      <w:rFonts w:hint="default" w:eastAsia="宋体"/>
                      <w:color w:val="auto"/>
                      <w:highlight w:val="none"/>
                      <w:lang w:val="en-US" w:eastAsia="zh-CN"/>
                    </w:rPr>
                  </w:pPr>
                  <w:r>
                    <w:rPr>
                      <w:rFonts w:hint="eastAsia"/>
                      <w:color w:val="auto"/>
                      <w:highlight w:val="none"/>
                      <w:lang w:val="en-US" w:eastAsia="zh-CN"/>
                    </w:rPr>
                    <w:t>**</w:t>
                  </w:r>
                </w:p>
              </w:tc>
              <w:tc>
                <w:tcPr>
                  <w:tcW w:w="357"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84"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56"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438"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549"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56"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63"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237"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771"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407"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41"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c>
                <w:tcPr>
                  <w:tcW w:w="303" w:type="pct"/>
                  <w:tcBorders>
                    <w:top w:val="single" w:color="auto" w:sz="4" w:space="0"/>
                    <w:left w:val="nil"/>
                    <w:bottom w:val="single" w:color="auto" w:sz="4" w:space="0"/>
                    <w:right w:val="single" w:color="auto" w:sz="4" w:space="0"/>
                  </w:tcBorders>
                  <w:vAlign w:val="center"/>
                </w:tcPr>
                <w:p>
                  <w:pPr>
                    <w:pStyle w:val="36"/>
                    <w:jc w:val="both"/>
                    <w:rPr>
                      <w:rFonts w:hint="default"/>
                      <w:color w:val="auto"/>
                      <w:highlight w:val="none"/>
                      <w:lang w:val="en-US"/>
                    </w:rPr>
                  </w:pPr>
                </w:p>
              </w:tc>
            </w:tr>
          </w:tbl>
          <w:p>
            <w:pPr>
              <w:pStyle w:val="4"/>
              <w:rPr>
                <w:color w:val="auto"/>
                <w:sz w:val="24"/>
                <w:szCs w:val="24"/>
                <w:highlight w:val="none"/>
              </w:rPr>
            </w:pPr>
            <w:r>
              <w:rPr>
                <w:color w:val="auto"/>
                <w:sz w:val="24"/>
                <w:szCs w:val="24"/>
                <w:highlight w:val="none"/>
              </w:rPr>
              <w:t>4.</w:t>
            </w:r>
            <w:r>
              <w:rPr>
                <w:rFonts w:hint="eastAsia"/>
                <w:color w:val="auto"/>
                <w:sz w:val="24"/>
                <w:szCs w:val="24"/>
                <w:highlight w:val="none"/>
              </w:rPr>
              <w:t>2.2环境空气影响分析和</w:t>
            </w:r>
            <w:r>
              <w:rPr>
                <w:color w:val="auto"/>
                <w:sz w:val="24"/>
                <w:szCs w:val="24"/>
                <w:highlight w:val="none"/>
              </w:rPr>
              <w:t>保护措施</w:t>
            </w:r>
          </w:p>
          <w:p>
            <w:pPr>
              <w:pStyle w:val="8"/>
              <w:rPr>
                <w:color w:val="auto"/>
                <w:highlight w:val="none"/>
                <w:lang w:val="zh-CN"/>
              </w:rPr>
            </w:pPr>
            <w:r>
              <w:rPr>
                <w:color w:val="auto"/>
                <w:highlight w:val="none"/>
              </w:rPr>
              <w:t>本项目</w:t>
            </w:r>
            <w:r>
              <w:rPr>
                <w:rFonts w:hint="eastAsia"/>
                <w:color w:val="auto"/>
                <w:highlight w:val="none"/>
              </w:rPr>
              <w:t>主要采取化学沉淀法+过滤去除COD、氨氮、磷及悬浮物等，不采用生化处理，</w:t>
            </w:r>
            <w:r>
              <w:rPr>
                <w:rFonts w:hint="eastAsia"/>
                <w:color w:val="auto"/>
                <w:highlight w:val="none"/>
                <w:lang w:eastAsia="zh"/>
              </w:rPr>
              <w:t>废水处理过程</w:t>
            </w:r>
            <w:r>
              <w:rPr>
                <w:rFonts w:hint="eastAsia"/>
                <w:color w:val="auto"/>
                <w:highlight w:val="none"/>
              </w:rPr>
              <w:t>基本不产生</w:t>
            </w:r>
            <w:r>
              <w:rPr>
                <w:color w:val="auto"/>
                <w:highlight w:val="none"/>
              </w:rPr>
              <w:t>恶臭</w:t>
            </w:r>
            <w:r>
              <w:rPr>
                <w:rFonts w:hint="eastAsia"/>
                <w:color w:val="auto"/>
                <w:highlight w:val="none"/>
                <w:lang w:eastAsia="zh"/>
              </w:rPr>
              <w:t>。项目进水水质较好，COD、BOD</w:t>
            </w:r>
            <w:r>
              <w:rPr>
                <w:rFonts w:hint="eastAsia" w:ascii="Times New Roman" w:hAnsi="Times New Roman"/>
                <w:color w:val="auto"/>
                <w:sz w:val="21"/>
                <w:szCs w:val="21"/>
                <w:highlight w:val="none"/>
                <w:u w:val="single"/>
                <w:vertAlign w:val="subscript"/>
                <w:lang w:eastAsia="zh" w:bidi="ar"/>
              </w:rPr>
              <w:t>5</w:t>
            </w:r>
            <w:r>
              <w:rPr>
                <w:rFonts w:hint="eastAsia"/>
                <w:color w:val="auto"/>
                <w:highlight w:val="none"/>
                <w:lang w:eastAsia="zh"/>
              </w:rPr>
              <w:t>等有机物浓度较低，接近《污水综合排放标准》（GB8978-1996）一级排放标准，污水处理过程产生的污泥以无机颗粒物为主，有机质含量少，污泥臭气无组织排放量可忽略不计，污泥年产生量仅为63t，固废暂存间加强通风</w:t>
            </w:r>
            <w:r>
              <w:rPr>
                <w:rFonts w:hint="eastAsia"/>
                <w:color w:val="auto"/>
                <w:highlight w:val="none"/>
                <w:lang w:eastAsia="zh-CN"/>
              </w:rPr>
              <w:t>且</w:t>
            </w:r>
            <w:r>
              <w:rPr>
                <w:color w:val="auto"/>
                <w:highlight w:val="none"/>
                <w:lang w:val="zh-CN"/>
              </w:rPr>
              <w:t>项目</w:t>
            </w:r>
            <w:r>
              <w:rPr>
                <w:rFonts w:hint="eastAsia"/>
                <w:color w:val="auto"/>
                <w:highlight w:val="none"/>
                <w:lang w:val="zh-CN"/>
              </w:rPr>
              <w:t>非放射性废水处理站</w:t>
            </w:r>
            <w:r>
              <w:rPr>
                <w:color w:val="auto"/>
                <w:highlight w:val="none"/>
                <w:lang w:val="zh-CN"/>
              </w:rPr>
              <w:t>加建混凝土围墙，并进行封顶处理，</w:t>
            </w:r>
            <w:r>
              <w:rPr>
                <w:color w:val="auto"/>
                <w:highlight w:val="none"/>
              </w:rPr>
              <w:t>最近的居民点是</w:t>
            </w:r>
            <w:r>
              <w:rPr>
                <w:rFonts w:hint="eastAsia"/>
                <w:color w:val="auto"/>
                <w:highlight w:val="none"/>
              </w:rPr>
              <w:t>三山镇前薛村</w:t>
            </w:r>
            <w:r>
              <w:rPr>
                <w:color w:val="auto"/>
                <w:highlight w:val="none"/>
              </w:rPr>
              <w:t>距本项目约</w:t>
            </w:r>
            <w:r>
              <w:rPr>
                <w:rFonts w:hint="eastAsia"/>
                <w:color w:val="auto"/>
                <w:highlight w:val="none"/>
              </w:rPr>
              <w:t>1.726</w:t>
            </w:r>
            <w:r>
              <w:rPr>
                <w:color w:val="auto"/>
                <w:highlight w:val="none"/>
              </w:rPr>
              <w:t>km</w:t>
            </w:r>
            <w:r>
              <w:rPr>
                <w:rFonts w:hint="eastAsia"/>
                <w:color w:val="auto"/>
                <w:highlight w:val="none"/>
              </w:rPr>
              <w:t>，项目对周边居民产生影响较小</w:t>
            </w:r>
            <w:r>
              <w:rPr>
                <w:color w:val="auto"/>
                <w:highlight w:val="none"/>
                <w:lang w:val="zh-CN"/>
              </w:rPr>
              <w:t>。</w:t>
            </w:r>
          </w:p>
          <w:p>
            <w:pPr>
              <w:pStyle w:val="4"/>
              <w:rPr>
                <w:color w:val="auto"/>
                <w:highlight w:val="none"/>
              </w:rPr>
            </w:pPr>
            <w:r>
              <w:rPr>
                <w:color w:val="auto"/>
                <w:highlight w:val="none"/>
              </w:rPr>
              <w:t>4</w:t>
            </w:r>
            <w:r>
              <w:rPr>
                <w:b/>
                <w:bCs/>
                <w:color w:val="auto"/>
                <w:highlight w:val="none"/>
              </w:rPr>
              <w:t>.</w:t>
            </w:r>
            <w:r>
              <w:rPr>
                <w:rFonts w:hint="eastAsia"/>
                <w:b/>
                <w:bCs/>
                <w:color w:val="auto"/>
                <w:highlight w:val="none"/>
              </w:rPr>
              <w:t>2.3声环境影响分析和</w:t>
            </w:r>
            <w:r>
              <w:rPr>
                <w:b/>
                <w:bCs/>
                <w:color w:val="auto"/>
                <w:highlight w:val="none"/>
              </w:rPr>
              <w:t>保护措施</w:t>
            </w:r>
          </w:p>
          <w:p>
            <w:pPr>
              <w:pStyle w:val="8"/>
              <w:ind w:firstLine="482"/>
              <w:rPr>
                <w:b/>
                <w:bCs/>
                <w:color w:val="auto"/>
                <w:highlight w:val="none"/>
              </w:rPr>
            </w:pPr>
            <w:r>
              <w:rPr>
                <w:rFonts w:hint="eastAsia"/>
                <w:b/>
                <w:bCs/>
                <w:color w:val="auto"/>
                <w:highlight w:val="none"/>
              </w:rPr>
              <w:t>（1）</w:t>
            </w:r>
            <w:r>
              <w:rPr>
                <w:b/>
                <w:bCs/>
                <w:color w:val="auto"/>
                <w:highlight w:val="none"/>
              </w:rPr>
              <w:t>噪声源强</w:t>
            </w:r>
          </w:p>
          <w:p>
            <w:pPr>
              <w:pStyle w:val="8"/>
              <w:rPr>
                <w:color w:val="auto"/>
                <w:highlight w:val="none"/>
              </w:rPr>
            </w:pPr>
            <w:r>
              <w:rPr>
                <w:color w:val="auto"/>
                <w:sz w:val="24"/>
                <w:szCs w:val="24"/>
                <w:highlight w:val="none"/>
              </w:rPr>
              <w:t>本项目营运期的噪声主要来源于各类泵、</w:t>
            </w:r>
            <w:r>
              <w:rPr>
                <w:rFonts w:hint="eastAsia"/>
                <w:color w:val="auto"/>
                <w:sz w:val="24"/>
                <w:szCs w:val="24"/>
                <w:highlight w:val="none"/>
              </w:rPr>
              <w:t>高压板框压滤机、反洗风机、</w:t>
            </w:r>
            <w:r>
              <w:rPr>
                <w:color w:val="auto"/>
                <w:sz w:val="24"/>
                <w:szCs w:val="24"/>
                <w:highlight w:val="none"/>
              </w:rPr>
              <w:t>搅拌机等设备运行产生的噪声，</w:t>
            </w:r>
            <w:r>
              <w:rPr>
                <w:rFonts w:hint="eastAsia"/>
                <w:color w:val="auto"/>
                <w:sz w:val="24"/>
                <w:szCs w:val="24"/>
                <w:highlight w:val="none"/>
              </w:rPr>
              <w:t>本项目</w:t>
            </w:r>
            <w:r>
              <w:rPr>
                <w:color w:val="auto"/>
                <w:sz w:val="24"/>
                <w:szCs w:val="24"/>
                <w:highlight w:val="none"/>
              </w:rPr>
              <w:t>主要噪声设备采取隔音、消音和降噪措施后的噪声声级值情况见</w:t>
            </w:r>
            <w:r>
              <w:rPr>
                <w:color w:val="auto"/>
                <w:sz w:val="24"/>
                <w:szCs w:val="24"/>
                <w:highlight w:val="none"/>
              </w:rPr>
              <w:fldChar w:fldCharType="begin"/>
            </w:r>
            <w:r>
              <w:rPr>
                <w:color w:val="auto"/>
                <w:sz w:val="24"/>
                <w:szCs w:val="24"/>
                <w:highlight w:val="none"/>
              </w:rPr>
              <w:instrText xml:space="preserve">REF_Ref208408240\h</w:instrText>
            </w:r>
            <w:r>
              <w:rPr>
                <w:color w:val="auto"/>
                <w:sz w:val="24"/>
                <w:szCs w:val="24"/>
                <w:highlight w:val="none"/>
              </w:rPr>
              <w:fldChar w:fldCharType="separate"/>
            </w:r>
            <w:r>
              <w:rPr>
                <w:rFonts w:hint="eastAsia"/>
                <w:color w:val="auto"/>
                <w:sz w:val="24"/>
                <w:szCs w:val="24"/>
                <w:highlight w:val="none"/>
              </w:rPr>
              <w:t>表4-</w:t>
            </w:r>
            <w:r>
              <w:rPr>
                <w:color w:val="auto"/>
                <w:sz w:val="24"/>
                <w:szCs w:val="24"/>
                <w:highlight w:val="none"/>
              </w:rPr>
              <w:fldChar w:fldCharType="end"/>
            </w:r>
            <w:r>
              <w:rPr>
                <w:rFonts w:hint="eastAsia"/>
                <w:color w:val="auto"/>
                <w:highlight w:val="none"/>
              </w:rPr>
              <w:t>8</w:t>
            </w:r>
            <w:r>
              <w:rPr>
                <w:color w:val="auto"/>
                <w:highlight w:val="none"/>
              </w:rPr>
              <w:t>。</w:t>
            </w:r>
          </w:p>
          <w:p>
            <w:pPr>
              <w:pStyle w:val="5"/>
              <w:keepNext/>
              <w:ind w:firstLine="402" w:firstLineChars="200"/>
              <w:jc w:val="center"/>
              <w:rPr>
                <w:color w:val="auto"/>
                <w:highlight w:val="none"/>
              </w:rPr>
            </w:pPr>
            <w:bookmarkStart w:id="35" w:name="_Ref208408240"/>
            <w:r>
              <w:rPr>
                <w:rFonts w:hint="eastAsia"/>
                <w:color w:val="auto"/>
                <w:highlight w:val="none"/>
              </w:rPr>
              <w:t>表4</w:t>
            </w:r>
            <w:bookmarkEnd w:id="35"/>
            <w:r>
              <w:rPr>
                <w:rFonts w:hint="eastAsia"/>
                <w:color w:val="auto"/>
                <w:highlight w:val="none"/>
                <w:lang w:val="en-US" w:eastAsia="zh-CN"/>
              </w:rPr>
              <w:t>-</w:t>
            </w:r>
            <w:r>
              <w:rPr>
                <w:rFonts w:hint="eastAsia"/>
                <w:color w:val="auto"/>
                <w:highlight w:val="none"/>
              </w:rPr>
              <w:t>8本项目噪声产生情况分析表</w:t>
            </w:r>
          </w:p>
          <w:tbl>
            <w:tblPr>
              <w:tblStyle w:val="17"/>
              <w:tblW w:w="5000" w:type="pct"/>
              <w:jc w:val="center"/>
              <w:tblLayout w:type="autofit"/>
              <w:tblCellMar>
                <w:top w:w="0" w:type="dxa"/>
                <w:left w:w="28" w:type="dxa"/>
                <w:bottom w:w="0" w:type="dxa"/>
                <w:right w:w="28" w:type="dxa"/>
              </w:tblCellMar>
            </w:tblPr>
            <w:tblGrid>
              <w:gridCol w:w="811"/>
              <w:gridCol w:w="910"/>
              <w:gridCol w:w="908"/>
              <w:gridCol w:w="684"/>
              <w:gridCol w:w="603"/>
              <w:gridCol w:w="638"/>
              <w:gridCol w:w="1261"/>
              <w:gridCol w:w="603"/>
              <w:gridCol w:w="603"/>
              <w:gridCol w:w="805"/>
              <w:gridCol w:w="617"/>
            </w:tblGrid>
            <w:tr>
              <w:tblPrEx>
                <w:tblCellMar>
                  <w:top w:w="0" w:type="dxa"/>
                  <w:left w:w="28" w:type="dxa"/>
                  <w:bottom w:w="0" w:type="dxa"/>
                  <w:right w:w="28" w:type="dxa"/>
                </w:tblCellMar>
              </w:tblPrEx>
              <w:trPr>
                <w:trHeight w:val="340" w:hRule="atLeast"/>
                <w:jc w:val="center"/>
              </w:trPr>
              <w:tc>
                <w:tcPr>
                  <w:tcW w:w="480" w:type="pct"/>
                  <w:vMerge w:val="restart"/>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r>
                    <w:rPr>
                      <w:color w:val="auto"/>
                      <w:highlight w:val="none"/>
                    </w:rPr>
                    <w:t>工序</w:t>
                  </w:r>
                </w:p>
                <w:p>
                  <w:pPr>
                    <w:pStyle w:val="36"/>
                    <w:jc w:val="both"/>
                    <w:rPr>
                      <w:color w:val="auto"/>
                      <w:highlight w:val="none"/>
                    </w:rPr>
                  </w:pPr>
                  <w:r>
                    <w:rPr>
                      <w:color w:val="auto"/>
                      <w:highlight w:val="none"/>
                    </w:rPr>
                    <w:t>/生产线</w:t>
                  </w:r>
                </w:p>
              </w:tc>
              <w:tc>
                <w:tcPr>
                  <w:tcW w:w="539"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装置</w:t>
                  </w: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噪声源</w:t>
                  </w:r>
                </w:p>
              </w:tc>
              <w:tc>
                <w:tcPr>
                  <w:tcW w:w="405"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声源类型</w:t>
                  </w:r>
                </w:p>
              </w:tc>
              <w:tc>
                <w:tcPr>
                  <w:tcW w:w="735" w:type="pct"/>
                  <w:gridSpan w:val="2"/>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噪声源强</w:t>
                  </w:r>
                </w:p>
              </w:tc>
              <w:tc>
                <w:tcPr>
                  <w:tcW w:w="1104" w:type="pct"/>
                  <w:gridSpan w:val="2"/>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降噪措施</w:t>
                  </w:r>
                </w:p>
              </w:tc>
              <w:tc>
                <w:tcPr>
                  <w:tcW w:w="834" w:type="pct"/>
                  <w:gridSpan w:val="2"/>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噪声排放值</w:t>
                  </w:r>
                </w:p>
              </w:tc>
              <w:tc>
                <w:tcPr>
                  <w:tcW w:w="365"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持续时间/h</w:t>
                  </w:r>
                </w:p>
              </w:tc>
            </w:tr>
            <w:tr>
              <w:tblPrEx>
                <w:tblCellMar>
                  <w:top w:w="0" w:type="dxa"/>
                  <w:left w:w="28" w:type="dxa"/>
                  <w:bottom w:w="0" w:type="dxa"/>
                  <w:right w:w="28" w:type="dxa"/>
                </w:tblCellMar>
              </w:tblPrEx>
              <w:trPr>
                <w:trHeight w:val="340" w:hRule="atLeast"/>
                <w:jc w:val="center"/>
              </w:trPr>
              <w:tc>
                <w:tcPr>
                  <w:tcW w:w="480" w:type="pct"/>
                  <w:vMerge w:val="continue"/>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p>
              </w:tc>
              <w:tc>
                <w:tcPr>
                  <w:tcW w:w="539"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40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核算方法</w:t>
                  </w:r>
                </w:p>
              </w:tc>
              <w:tc>
                <w:tcPr>
                  <w:tcW w:w="37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噪声值</w:t>
                  </w:r>
                </w:p>
              </w:tc>
              <w:tc>
                <w:tcPr>
                  <w:tcW w:w="74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工艺</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降噪效果</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核算方法</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噪声值</w:t>
                  </w:r>
                </w:p>
                <w:p>
                  <w:pPr>
                    <w:pStyle w:val="36"/>
                    <w:jc w:val="both"/>
                    <w:rPr>
                      <w:color w:val="auto"/>
                      <w:highlight w:val="none"/>
                    </w:rPr>
                  </w:pPr>
                  <w:r>
                    <w:rPr>
                      <w:rFonts w:hint="eastAsia"/>
                      <w:color w:val="auto"/>
                      <w:highlight w:val="none"/>
                    </w:rPr>
                    <w:t>dB(A)</w:t>
                  </w:r>
                </w:p>
              </w:tc>
              <w:tc>
                <w:tcPr>
                  <w:tcW w:w="36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r>
            <w:tr>
              <w:tblPrEx>
                <w:tblCellMar>
                  <w:top w:w="0" w:type="dxa"/>
                  <w:left w:w="28" w:type="dxa"/>
                  <w:bottom w:w="0" w:type="dxa"/>
                  <w:right w:w="28" w:type="dxa"/>
                </w:tblCellMar>
              </w:tblPrEx>
              <w:trPr>
                <w:trHeight w:val="340" w:hRule="atLeast"/>
                <w:jc w:val="center"/>
              </w:trPr>
              <w:tc>
                <w:tcPr>
                  <w:tcW w:w="480" w:type="pct"/>
                  <w:vMerge w:val="restart"/>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非放射性废水处理站</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各类泵</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各类泵</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频发</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37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75~85</w:t>
                  </w:r>
                </w:p>
              </w:tc>
              <w:tc>
                <w:tcPr>
                  <w:tcW w:w="74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建筑隔声、减振机座</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15</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s="Times New Roman"/>
                      <w:color w:val="auto"/>
                      <w:highlight w:val="none"/>
                    </w:rPr>
                    <w:t>60</w:t>
                  </w:r>
                  <w:r>
                    <w:rPr>
                      <w:rFonts w:cs="Times New Roman"/>
                      <w:color w:val="auto"/>
                      <w:highlight w:val="none"/>
                    </w:rPr>
                    <w:t>~</w:t>
                  </w:r>
                  <w:r>
                    <w:rPr>
                      <w:rFonts w:hint="eastAsia" w:cs="Times New Roman"/>
                      <w:color w:val="auto"/>
                      <w:highlight w:val="none"/>
                    </w:rPr>
                    <w:t>70</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8760</w:t>
                  </w:r>
                </w:p>
              </w:tc>
            </w:tr>
            <w:tr>
              <w:tblPrEx>
                <w:tblCellMar>
                  <w:top w:w="0" w:type="dxa"/>
                  <w:left w:w="28" w:type="dxa"/>
                  <w:bottom w:w="0" w:type="dxa"/>
                  <w:right w:w="28" w:type="dxa"/>
                </w:tblCellMar>
              </w:tblPrEx>
              <w:trPr>
                <w:trHeight w:val="340" w:hRule="atLeast"/>
                <w:jc w:val="center"/>
              </w:trPr>
              <w:tc>
                <w:tcPr>
                  <w:tcW w:w="480" w:type="pct"/>
                  <w:vMerge w:val="continue"/>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高压板框压滤机</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高压板框压滤机</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偶发</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37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70~80</w:t>
                  </w:r>
                </w:p>
              </w:tc>
              <w:tc>
                <w:tcPr>
                  <w:tcW w:w="74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建筑隔声、减振机座</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15</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s="Times New Roman"/>
                      <w:color w:val="auto"/>
                      <w:highlight w:val="none"/>
                    </w:rPr>
                    <w:t>55</w:t>
                  </w:r>
                  <w:r>
                    <w:rPr>
                      <w:rFonts w:cs="Times New Roman"/>
                      <w:color w:val="auto"/>
                      <w:highlight w:val="none"/>
                    </w:rPr>
                    <w:t>~</w:t>
                  </w:r>
                  <w:r>
                    <w:rPr>
                      <w:rFonts w:hint="eastAsia" w:cs="Times New Roman"/>
                      <w:color w:val="auto"/>
                      <w:highlight w:val="none"/>
                    </w:rPr>
                    <w:t>65</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3650</w:t>
                  </w:r>
                </w:p>
              </w:tc>
            </w:tr>
            <w:tr>
              <w:tblPrEx>
                <w:tblCellMar>
                  <w:top w:w="0" w:type="dxa"/>
                  <w:left w:w="28" w:type="dxa"/>
                  <w:bottom w:w="0" w:type="dxa"/>
                  <w:right w:w="28" w:type="dxa"/>
                </w:tblCellMar>
              </w:tblPrEx>
              <w:trPr>
                <w:trHeight w:val="340" w:hRule="atLeast"/>
                <w:jc w:val="center"/>
              </w:trPr>
              <w:tc>
                <w:tcPr>
                  <w:tcW w:w="480" w:type="pct"/>
                  <w:vMerge w:val="continue"/>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反洗风机</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反洗风机</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偶发</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37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7</w:t>
                  </w:r>
                  <w:r>
                    <w:rPr>
                      <w:rFonts w:hint="eastAsia"/>
                      <w:color w:val="auto"/>
                      <w:highlight w:val="none"/>
                    </w:rPr>
                    <w:t>0</w:t>
                  </w:r>
                  <w:r>
                    <w:rPr>
                      <w:color w:val="auto"/>
                      <w:highlight w:val="none"/>
                    </w:rPr>
                    <w:t>~8</w:t>
                  </w:r>
                  <w:r>
                    <w:rPr>
                      <w:rFonts w:hint="eastAsia"/>
                      <w:color w:val="auto"/>
                      <w:highlight w:val="none"/>
                    </w:rPr>
                    <w:t>0</w:t>
                  </w:r>
                </w:p>
              </w:tc>
              <w:tc>
                <w:tcPr>
                  <w:tcW w:w="74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建筑隔声、减振机座</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15</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s="Times New Roman"/>
                      <w:color w:val="auto"/>
                      <w:highlight w:val="none"/>
                    </w:rPr>
                    <w:t>55</w:t>
                  </w:r>
                  <w:r>
                    <w:rPr>
                      <w:rFonts w:cs="Times New Roman"/>
                      <w:color w:val="auto"/>
                      <w:highlight w:val="none"/>
                    </w:rPr>
                    <w:t>~</w:t>
                  </w:r>
                  <w:r>
                    <w:rPr>
                      <w:rFonts w:hint="eastAsia" w:cs="Times New Roman"/>
                      <w:color w:val="auto"/>
                      <w:highlight w:val="none"/>
                    </w:rPr>
                    <w:t>65</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3650</w:t>
                  </w:r>
                </w:p>
              </w:tc>
            </w:tr>
            <w:tr>
              <w:tblPrEx>
                <w:tblCellMar>
                  <w:top w:w="0" w:type="dxa"/>
                  <w:left w:w="28" w:type="dxa"/>
                  <w:bottom w:w="0" w:type="dxa"/>
                  <w:right w:w="28" w:type="dxa"/>
                </w:tblCellMar>
              </w:tblPrEx>
              <w:trPr>
                <w:trHeight w:val="340" w:hRule="atLeast"/>
                <w:jc w:val="center"/>
              </w:trPr>
              <w:tc>
                <w:tcPr>
                  <w:tcW w:w="480" w:type="pct"/>
                  <w:vMerge w:val="continue"/>
                  <w:tcBorders>
                    <w:top w:val="single" w:color="000000" w:sz="4" w:space="0"/>
                    <w:left w:val="single" w:color="000000" w:sz="2" w:space="0"/>
                    <w:bottom w:val="single" w:color="000000" w:sz="4" w:space="0"/>
                    <w:right w:val="single" w:color="000000" w:sz="4" w:space="0"/>
                  </w:tcBorders>
                  <w:vAlign w:val="center"/>
                </w:tcPr>
                <w:p>
                  <w:pPr>
                    <w:pStyle w:val="36"/>
                    <w:jc w:val="both"/>
                    <w:rPr>
                      <w:color w:val="auto"/>
                      <w:highlight w:val="none"/>
                    </w:rPr>
                  </w:pP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搅拌机</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搅拌机</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频发</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37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75~85</w:t>
                  </w:r>
                </w:p>
              </w:tc>
              <w:tc>
                <w:tcPr>
                  <w:tcW w:w="74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建筑隔声、减振机座</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highlight w:val="none"/>
                    </w:rPr>
                    <w:t>15</w:t>
                  </w:r>
                </w:p>
              </w:tc>
              <w:tc>
                <w:tcPr>
                  <w:tcW w:w="35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类比法</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s="Times New Roman"/>
                      <w:color w:val="auto"/>
                      <w:highlight w:val="none"/>
                    </w:rPr>
                    <w:t>60</w:t>
                  </w:r>
                  <w:r>
                    <w:rPr>
                      <w:rFonts w:cs="Times New Roman"/>
                      <w:color w:val="auto"/>
                      <w:highlight w:val="none"/>
                    </w:rPr>
                    <w:t>~</w:t>
                  </w:r>
                  <w:r>
                    <w:rPr>
                      <w:rFonts w:hint="eastAsia" w:cs="Times New Roman"/>
                      <w:color w:val="auto"/>
                      <w:highlight w:val="none"/>
                    </w:rPr>
                    <w:t>70</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8760</w:t>
                  </w:r>
                </w:p>
              </w:tc>
            </w:tr>
          </w:tbl>
          <w:p>
            <w:pPr>
              <w:pStyle w:val="8"/>
              <w:ind w:firstLine="482"/>
              <w:rPr>
                <w:b/>
                <w:bCs/>
                <w:color w:val="auto"/>
                <w:highlight w:val="none"/>
              </w:rPr>
            </w:pPr>
            <w:r>
              <w:rPr>
                <w:rFonts w:hint="eastAsia"/>
                <w:b/>
                <w:bCs/>
                <w:color w:val="auto"/>
                <w:highlight w:val="none"/>
              </w:rPr>
              <w:t>（2）</w:t>
            </w:r>
            <w:r>
              <w:rPr>
                <w:b/>
                <w:bCs/>
                <w:color w:val="auto"/>
                <w:highlight w:val="none"/>
              </w:rPr>
              <w:t>厂界达标情况分析</w:t>
            </w:r>
          </w:p>
          <w:p>
            <w:pPr>
              <w:pStyle w:val="8"/>
              <w:rPr>
                <w:color w:val="auto"/>
                <w:highlight w:val="none"/>
              </w:rPr>
            </w:pPr>
            <w:r>
              <w:rPr>
                <w:color w:val="auto"/>
                <w:highlight w:val="none"/>
              </w:rPr>
              <w:t>建设项目声源在预测点产生的等效声级贡献值</w:t>
            </w:r>
            <w:r>
              <w:rPr>
                <w:rFonts w:hint="eastAsia"/>
                <w:color w:val="auto"/>
                <w:highlight w:val="none"/>
              </w:rPr>
              <w:t>（</w:t>
            </w:r>
            <w:r>
              <w:rPr>
                <w:color w:val="auto"/>
                <w:highlight w:val="none"/>
              </w:rPr>
              <w:t>Le</w:t>
            </w:r>
            <w:r>
              <w:rPr>
                <w:rFonts w:hint="eastAsia"/>
                <w:color w:val="auto"/>
                <w:highlight w:val="none"/>
              </w:rPr>
              <w:t>q</w:t>
            </w:r>
            <w:r>
              <w:rPr>
                <w:color w:val="auto"/>
                <w:highlight w:val="none"/>
              </w:rPr>
              <w:t>g</w:t>
            </w:r>
            <w:r>
              <w:rPr>
                <w:rFonts w:hint="eastAsia"/>
                <w:color w:val="auto"/>
                <w:highlight w:val="none"/>
              </w:rPr>
              <w:t>）</w:t>
            </w:r>
            <w:r>
              <w:rPr>
                <w:color w:val="auto"/>
                <w:highlight w:val="none"/>
              </w:rPr>
              <w:t>计算公式</w:t>
            </w:r>
            <w:r>
              <w:rPr>
                <w:rFonts w:hint="eastAsia"/>
                <w:color w:val="auto"/>
                <w:highlight w:val="none"/>
              </w:rPr>
              <w:t>：</w:t>
            </w:r>
          </w:p>
          <w:p>
            <w:pPr>
              <w:pStyle w:val="8"/>
              <w:rPr>
                <w:color w:val="auto"/>
                <w:highlight w:val="none"/>
              </w:rPr>
            </w:pPr>
            <w:r>
              <w:rPr>
                <w:rFonts w:hint="eastAsia"/>
                <w:color w:val="auto"/>
                <w:position w:val="-30"/>
                <w:highlight w:val="none"/>
              </w:rPr>
              <w:object>
                <v:shape id="_x0000_i1025" o:spt="75" type="#_x0000_t75" style="height:36pt;width:129pt;" o:ole="t" filled="f" o:preferrelative="t" stroked="f" coordsize="21600,21600">
                  <v:path/>
                  <v:fill on="f" focussize="0,0"/>
                  <v:stroke on="f" joinstyle="miter"/>
                  <v:imagedata r:id="rId19" o:title=""/>
                  <o:lock v:ext="edit" aspectratio="t"/>
                  <w10:wrap type="none"/>
                  <w10:anchorlock/>
                </v:shape>
                <o:OLEObject Type="Embed" ProgID="Equation.KSEE3" ShapeID="_x0000_i1025" DrawAspect="Content" ObjectID="_1468075725" r:id="rId18">
                  <o:LockedField>false</o:LockedField>
                </o:OLEObject>
              </w:object>
            </w:r>
          </w:p>
          <w:p>
            <w:pPr>
              <w:pStyle w:val="8"/>
              <w:rPr>
                <w:color w:val="auto"/>
                <w:highlight w:val="none"/>
              </w:rPr>
            </w:pPr>
            <w:r>
              <w:rPr>
                <w:color w:val="auto"/>
                <w:highlight w:val="none"/>
              </w:rPr>
              <w:t>式中：L</w:t>
            </w:r>
            <w:r>
              <w:rPr>
                <w:color w:val="auto"/>
                <w:highlight w:val="none"/>
                <w:vertAlign w:val="subscript"/>
              </w:rPr>
              <w:t>eqg</w:t>
            </w:r>
            <w:r>
              <w:rPr>
                <w:color w:val="auto"/>
                <w:highlight w:val="none"/>
              </w:rPr>
              <w:t>—</w:t>
            </w:r>
            <w:r>
              <w:rPr>
                <w:rFonts w:hint="eastAsia"/>
                <w:color w:val="auto"/>
                <w:highlight w:val="none"/>
              </w:rPr>
              <w:t>噪声</w:t>
            </w:r>
            <w:r>
              <w:rPr>
                <w:color w:val="auto"/>
                <w:highlight w:val="none"/>
              </w:rPr>
              <w:t>贡献值，dB(A</w:t>
            </w:r>
            <w:r>
              <w:rPr>
                <w:rFonts w:hint="eastAsia"/>
                <w:color w:val="auto"/>
                <w:highlight w:val="none"/>
              </w:rPr>
              <w:t>)</w:t>
            </w:r>
            <w:r>
              <w:rPr>
                <w:color w:val="auto"/>
                <w:highlight w:val="none"/>
              </w:rPr>
              <w:t>；</w:t>
            </w:r>
          </w:p>
          <w:p>
            <w:pPr>
              <w:pStyle w:val="8"/>
              <w:rPr>
                <w:color w:val="auto"/>
                <w:highlight w:val="none"/>
              </w:rPr>
            </w:pPr>
            <w:r>
              <w:rPr>
                <w:color w:val="auto"/>
                <w:highlight w:val="none"/>
              </w:rPr>
              <w:t>L</w:t>
            </w:r>
            <w:r>
              <w:rPr>
                <w:color w:val="auto"/>
                <w:highlight w:val="none"/>
                <w:vertAlign w:val="subscript"/>
              </w:rPr>
              <w:t>Ai</w:t>
            </w:r>
            <w:r>
              <w:rPr>
                <w:color w:val="auto"/>
                <w:highlight w:val="none"/>
              </w:rPr>
              <w:t>—i声源在预测点产生的</w:t>
            </w:r>
            <w:r>
              <w:rPr>
                <w:rFonts w:hint="eastAsia"/>
                <w:color w:val="auto"/>
                <w:highlight w:val="none"/>
              </w:rPr>
              <w:t>等效连续</w:t>
            </w:r>
            <w:r>
              <w:rPr>
                <w:color w:val="auto"/>
                <w:highlight w:val="none"/>
              </w:rPr>
              <w:t>A声级，dB(A</w:t>
            </w:r>
            <w:r>
              <w:rPr>
                <w:rFonts w:hint="eastAsia"/>
                <w:color w:val="auto"/>
                <w:highlight w:val="none"/>
              </w:rPr>
              <w:t>)</w:t>
            </w:r>
            <w:r>
              <w:rPr>
                <w:color w:val="auto"/>
                <w:highlight w:val="none"/>
              </w:rPr>
              <w:t>；</w:t>
            </w:r>
          </w:p>
          <w:p>
            <w:pPr>
              <w:pStyle w:val="8"/>
              <w:rPr>
                <w:color w:val="auto"/>
                <w:highlight w:val="none"/>
              </w:rPr>
            </w:pPr>
            <w:r>
              <w:rPr>
                <w:color w:val="auto"/>
                <w:highlight w:val="none"/>
              </w:rPr>
              <w:t>T—预测计算的时间段，s；</w:t>
            </w:r>
          </w:p>
          <w:p>
            <w:pPr>
              <w:pStyle w:val="8"/>
              <w:rPr>
                <w:color w:val="auto"/>
                <w:highlight w:val="none"/>
              </w:rPr>
            </w:pPr>
            <w:r>
              <w:rPr>
                <w:color w:val="auto"/>
                <w:highlight w:val="none"/>
              </w:rPr>
              <w:t>ti—i声源在T时段内的运行时间，s。</w:t>
            </w:r>
          </w:p>
          <w:p>
            <w:pPr>
              <w:pStyle w:val="8"/>
              <w:rPr>
                <w:color w:val="auto"/>
                <w:highlight w:val="none"/>
              </w:rPr>
            </w:pPr>
            <w:r>
              <w:rPr>
                <w:color w:val="auto"/>
                <w:highlight w:val="none"/>
              </w:rPr>
              <w:t>只考虑几何发散衰减时，点声源在预测点产生的A声级计算公式</w:t>
            </w:r>
            <w:r>
              <w:rPr>
                <w:rFonts w:hint="eastAsia"/>
                <w:color w:val="auto"/>
                <w:highlight w:val="none"/>
              </w:rPr>
              <w:t>：</w:t>
            </w:r>
          </w:p>
          <w:p>
            <w:pPr>
              <w:pStyle w:val="8"/>
              <w:rPr>
                <w:color w:val="auto"/>
                <w:highlight w:val="none"/>
              </w:rPr>
            </w:pPr>
            <w:r>
              <w:rPr>
                <w:color w:val="auto"/>
                <w:highlight w:val="none"/>
              </w:rPr>
              <w:t>L</w:t>
            </w:r>
            <w:r>
              <w:rPr>
                <w:color w:val="auto"/>
                <w:highlight w:val="none"/>
                <w:vertAlign w:val="subscript"/>
              </w:rPr>
              <w:t>A</w:t>
            </w:r>
            <w:r>
              <w:rPr>
                <w:color w:val="auto"/>
                <w:highlight w:val="none"/>
              </w:rPr>
              <w:t>(r)</w:t>
            </w:r>
            <w:r>
              <w:rPr>
                <w:rFonts w:hint="eastAsia"/>
                <w:color w:val="auto"/>
                <w:highlight w:val="none"/>
              </w:rPr>
              <w:t>=</w:t>
            </w:r>
            <w:r>
              <w:rPr>
                <w:color w:val="auto"/>
                <w:highlight w:val="none"/>
              </w:rPr>
              <w:t>L</w:t>
            </w:r>
            <w:r>
              <w:rPr>
                <w:color w:val="auto"/>
                <w:highlight w:val="none"/>
                <w:vertAlign w:val="subscript"/>
              </w:rPr>
              <w:t>A</w:t>
            </w:r>
            <w:r>
              <w:rPr>
                <w:color w:val="auto"/>
                <w:highlight w:val="none"/>
              </w:rPr>
              <w:t>(r</w:t>
            </w:r>
            <w:r>
              <w:rPr>
                <w:color w:val="auto"/>
                <w:highlight w:val="none"/>
                <w:vertAlign w:val="subscript"/>
              </w:rPr>
              <w:t>0</w:t>
            </w:r>
            <w:r>
              <w:rPr>
                <w:color w:val="auto"/>
                <w:highlight w:val="none"/>
              </w:rPr>
              <w:t>)-20lg</w:t>
            </w:r>
            <w:r>
              <w:rPr>
                <w:rFonts w:hint="eastAsia"/>
                <w:color w:val="auto"/>
                <w:highlight w:val="none"/>
              </w:rPr>
              <w:t>(</w:t>
            </w:r>
            <w:r>
              <w:rPr>
                <w:color w:val="auto"/>
                <w:highlight w:val="none"/>
              </w:rPr>
              <w:t>r/r</w:t>
            </w:r>
            <w:r>
              <w:rPr>
                <w:color w:val="auto"/>
                <w:highlight w:val="none"/>
                <w:vertAlign w:val="subscript"/>
              </w:rPr>
              <w:t>0</w:t>
            </w:r>
            <w:r>
              <w:rPr>
                <w:rFonts w:hint="eastAsia"/>
                <w:color w:val="auto"/>
                <w:highlight w:val="none"/>
                <w:vertAlign w:val="subscript"/>
              </w:rPr>
              <w:t>)</w:t>
            </w:r>
          </w:p>
          <w:p>
            <w:pPr>
              <w:pStyle w:val="8"/>
              <w:rPr>
                <w:color w:val="auto"/>
                <w:highlight w:val="none"/>
              </w:rPr>
            </w:pPr>
            <w:r>
              <w:rPr>
                <w:color w:val="auto"/>
                <w:highlight w:val="none"/>
              </w:rPr>
              <w:t>式中，L</w:t>
            </w:r>
            <w:r>
              <w:rPr>
                <w:color w:val="auto"/>
                <w:highlight w:val="none"/>
                <w:vertAlign w:val="subscript"/>
              </w:rPr>
              <w:t>A</w:t>
            </w:r>
            <w:r>
              <w:rPr>
                <w:color w:val="auto"/>
                <w:highlight w:val="none"/>
              </w:rPr>
              <w:t>(r</w:t>
            </w:r>
            <w:r>
              <w:rPr>
                <w:rFonts w:hint="eastAsia"/>
                <w:color w:val="auto"/>
                <w:highlight w:val="none"/>
              </w:rPr>
              <w:t>)：</w:t>
            </w:r>
            <w:r>
              <w:rPr>
                <w:color w:val="auto"/>
                <w:highlight w:val="none"/>
              </w:rPr>
              <w:t>距离声源r米处的A声级值，dB(A</w:t>
            </w:r>
            <w:r>
              <w:rPr>
                <w:rFonts w:hint="eastAsia"/>
                <w:color w:val="auto"/>
                <w:highlight w:val="none"/>
              </w:rPr>
              <w:t>)；</w:t>
            </w:r>
          </w:p>
          <w:p>
            <w:pPr>
              <w:pStyle w:val="8"/>
              <w:rPr>
                <w:color w:val="auto"/>
                <w:highlight w:val="none"/>
              </w:rPr>
            </w:pPr>
            <w:r>
              <w:rPr>
                <w:color w:val="auto"/>
                <w:highlight w:val="none"/>
              </w:rPr>
              <w:t>L</w:t>
            </w:r>
            <w:r>
              <w:rPr>
                <w:color w:val="auto"/>
                <w:highlight w:val="none"/>
                <w:vertAlign w:val="subscript"/>
              </w:rPr>
              <w:t>A</w:t>
            </w:r>
            <w:r>
              <w:rPr>
                <w:color w:val="auto"/>
                <w:highlight w:val="none"/>
              </w:rPr>
              <w:t>(r</w:t>
            </w:r>
            <w:r>
              <w:rPr>
                <w:color w:val="auto"/>
                <w:highlight w:val="none"/>
                <w:vertAlign w:val="subscript"/>
              </w:rPr>
              <w:t>0</w:t>
            </w:r>
            <w:r>
              <w:rPr>
                <w:rFonts w:hint="eastAsia"/>
                <w:color w:val="auto"/>
                <w:highlight w:val="none"/>
                <w:vertAlign w:val="subscript"/>
              </w:rPr>
              <w:t>)</w:t>
            </w:r>
            <w:r>
              <w:rPr>
                <w:rFonts w:hint="eastAsia"/>
                <w:color w:val="auto"/>
                <w:highlight w:val="none"/>
              </w:rPr>
              <w:t>：</w:t>
            </w:r>
            <w:r>
              <w:rPr>
                <w:color w:val="auto"/>
                <w:highlight w:val="none"/>
              </w:rPr>
              <w:t>距离声源r</w:t>
            </w:r>
            <w:r>
              <w:rPr>
                <w:rFonts w:hint="eastAsia"/>
                <w:color w:val="auto"/>
                <w:highlight w:val="none"/>
                <w:vertAlign w:val="subscript"/>
              </w:rPr>
              <w:t>0</w:t>
            </w:r>
            <w:r>
              <w:rPr>
                <w:color w:val="auto"/>
                <w:highlight w:val="none"/>
              </w:rPr>
              <w:t>米处的A声级值，dB(A</w:t>
            </w:r>
            <w:r>
              <w:rPr>
                <w:rFonts w:hint="eastAsia"/>
                <w:color w:val="auto"/>
                <w:highlight w:val="none"/>
              </w:rPr>
              <w:t>)；</w:t>
            </w:r>
          </w:p>
          <w:p>
            <w:pPr>
              <w:pStyle w:val="8"/>
              <w:rPr>
                <w:color w:val="auto"/>
                <w:highlight w:val="none"/>
              </w:rPr>
            </w:pPr>
            <w:r>
              <w:rPr>
                <w:rFonts w:hint="eastAsia"/>
                <w:color w:val="auto"/>
                <w:highlight w:val="none"/>
              </w:rPr>
              <w:t>r.衰减距离，m；</w:t>
            </w:r>
          </w:p>
          <w:p>
            <w:pPr>
              <w:pStyle w:val="8"/>
              <w:rPr>
                <w:color w:val="auto"/>
                <w:highlight w:val="none"/>
              </w:rPr>
            </w:pPr>
            <w:r>
              <w:rPr>
                <w:color w:val="auto"/>
                <w:highlight w:val="none"/>
              </w:rPr>
              <w:t>r</w:t>
            </w:r>
            <w:r>
              <w:rPr>
                <w:rFonts w:hint="eastAsia"/>
                <w:color w:val="auto"/>
                <w:highlight w:val="none"/>
                <w:vertAlign w:val="subscript"/>
              </w:rPr>
              <w:t>0</w:t>
            </w:r>
            <w:r>
              <w:rPr>
                <w:rFonts w:hint="eastAsia"/>
                <w:color w:val="auto"/>
                <w:highlight w:val="none"/>
              </w:rPr>
              <w:t>：距声源的初始距离，取1米；</w:t>
            </w:r>
          </w:p>
          <w:p>
            <w:pPr>
              <w:pStyle w:val="8"/>
              <w:rPr>
                <w:color w:val="auto"/>
                <w:highlight w:val="none"/>
              </w:rPr>
            </w:pPr>
            <w:r>
              <w:rPr>
                <w:rFonts w:hint="eastAsia"/>
                <w:color w:val="auto"/>
                <w:highlight w:val="none"/>
              </w:rPr>
              <w:t>噪声源在预测点产生的合成声级计算公式：</w:t>
            </w:r>
          </w:p>
          <w:p>
            <w:pPr>
              <w:pStyle w:val="8"/>
              <w:rPr>
                <w:color w:val="auto"/>
                <w:highlight w:val="none"/>
              </w:rPr>
            </w:pPr>
            <w:r>
              <w:rPr>
                <w:rFonts w:hint="eastAsia"/>
                <w:color w:val="auto"/>
                <w:position w:val="-30"/>
                <w:highlight w:val="none"/>
              </w:rPr>
              <w:object>
                <v:shape id="_x0000_i1026" o:spt="75" type="#_x0000_t75" style="height:36pt;width:103.9pt;" o:ole="t" filled="f" o:preferrelative="t" stroked="f" coordsize="21600,21600">
                  <v:path/>
                  <v:fill on="f" focussize="0,0"/>
                  <v:stroke on="f" joinstyle="miter"/>
                  <v:imagedata r:id="rId21" o:title=""/>
                  <o:lock v:ext="edit" aspectratio="t"/>
                  <w10:wrap type="none"/>
                  <w10:anchorlock/>
                </v:shape>
                <o:OLEObject Type="Embed" ProgID="Equation.KSEE3" ShapeID="_x0000_i1026" DrawAspect="Content" ObjectID="_1468075726" r:id="rId20">
                  <o:LockedField>false</o:LockedField>
                </o:OLEObject>
              </w:object>
            </w:r>
          </w:p>
          <w:p>
            <w:pPr>
              <w:pStyle w:val="8"/>
              <w:rPr>
                <w:color w:val="auto"/>
                <w:highlight w:val="none"/>
              </w:rPr>
            </w:pPr>
            <w:r>
              <w:rPr>
                <w:rFonts w:hint="eastAsia"/>
                <w:color w:val="auto"/>
                <w:highlight w:val="none"/>
              </w:rPr>
              <w:t>式中，L</w:t>
            </w:r>
            <w:r>
              <w:rPr>
                <w:rFonts w:hint="eastAsia"/>
                <w:color w:val="auto"/>
                <w:highlight w:val="none"/>
                <w:vertAlign w:val="subscript"/>
              </w:rPr>
              <w:t>T</w:t>
            </w:r>
            <w:r>
              <w:rPr>
                <w:rFonts w:hint="eastAsia"/>
                <w:color w:val="auto"/>
                <w:highlight w:val="none"/>
              </w:rPr>
              <w:t>：叠加后纵声级，dB(A)；</w:t>
            </w:r>
          </w:p>
          <w:p>
            <w:pPr>
              <w:pStyle w:val="8"/>
              <w:rPr>
                <w:color w:val="auto"/>
                <w:highlight w:val="none"/>
              </w:rPr>
            </w:pPr>
            <w:r>
              <w:rPr>
                <w:rFonts w:hint="eastAsia"/>
                <w:color w:val="auto"/>
                <w:highlight w:val="none"/>
              </w:rPr>
              <w:t>L</w:t>
            </w:r>
            <w:r>
              <w:rPr>
                <w:rFonts w:hint="eastAsia"/>
                <w:color w:val="auto"/>
                <w:highlight w:val="none"/>
                <w:vertAlign w:val="subscript"/>
              </w:rPr>
              <w:t>pi</w:t>
            </w:r>
            <w:r>
              <w:rPr>
                <w:rFonts w:hint="eastAsia"/>
                <w:color w:val="auto"/>
                <w:highlight w:val="none"/>
              </w:rPr>
              <w:t>：i声源至基准预测点的压级，声源至基准预测点的压级，dB(A)；</w:t>
            </w:r>
          </w:p>
          <w:p>
            <w:pPr>
              <w:pStyle w:val="8"/>
              <w:rPr>
                <w:color w:val="auto"/>
                <w:highlight w:val="none"/>
              </w:rPr>
            </w:pPr>
            <w:r>
              <w:rPr>
                <w:rFonts w:hint="eastAsia"/>
                <w:color w:val="auto"/>
                <w:highlight w:val="none"/>
              </w:rPr>
              <w:t>n.噪声源数目。</w:t>
            </w:r>
          </w:p>
          <w:p>
            <w:pPr>
              <w:pStyle w:val="8"/>
              <w:rPr>
                <w:color w:val="auto"/>
                <w:highlight w:val="none"/>
              </w:rPr>
            </w:pPr>
            <w:r>
              <w:rPr>
                <w:rFonts w:hint="eastAsia"/>
                <w:color w:val="auto"/>
                <w:highlight w:val="none"/>
              </w:rPr>
              <w:t>预测模型中不考虑项目大气吸收、地面效应引起的衰减量。项目边界噪声排放预测结果见下表。</w:t>
            </w:r>
          </w:p>
          <w:p>
            <w:pPr>
              <w:pStyle w:val="5"/>
              <w:keepNext/>
              <w:ind w:firstLine="402" w:firstLineChars="200"/>
              <w:jc w:val="center"/>
              <w:rPr>
                <w:color w:val="auto"/>
                <w:highlight w:val="none"/>
              </w:rPr>
            </w:pPr>
            <w:r>
              <w:rPr>
                <w:rFonts w:hint="eastAsia"/>
                <w:color w:val="auto"/>
                <w:highlight w:val="none"/>
              </w:rPr>
              <w:t>表4-9</w:t>
            </w:r>
            <w:r>
              <w:rPr>
                <w:color w:val="auto"/>
                <w:highlight w:val="none"/>
              </w:rPr>
              <w:t>厂界噪声排放预测结果表</w:t>
            </w:r>
          </w:p>
          <w:tbl>
            <w:tblPr>
              <w:tblStyle w:val="17"/>
              <w:tblW w:w="4998" w:type="pct"/>
              <w:jc w:val="center"/>
              <w:tblLayout w:type="autofit"/>
              <w:tblCellMar>
                <w:top w:w="0" w:type="dxa"/>
                <w:left w:w="28" w:type="dxa"/>
                <w:bottom w:w="0" w:type="dxa"/>
                <w:right w:w="28" w:type="dxa"/>
              </w:tblCellMar>
            </w:tblPr>
            <w:tblGrid>
              <w:gridCol w:w="1460"/>
              <w:gridCol w:w="1640"/>
              <w:gridCol w:w="1664"/>
              <w:gridCol w:w="1375"/>
              <w:gridCol w:w="1375"/>
              <w:gridCol w:w="926"/>
            </w:tblGrid>
            <w:tr>
              <w:tblPrEx>
                <w:tblCellMar>
                  <w:top w:w="0" w:type="dxa"/>
                  <w:left w:w="28" w:type="dxa"/>
                  <w:bottom w:w="0" w:type="dxa"/>
                  <w:right w:w="28" w:type="dxa"/>
                </w:tblCellMar>
              </w:tblPrEx>
              <w:trPr>
                <w:trHeight w:val="34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预测点位</w:t>
                  </w:r>
                </w:p>
              </w:tc>
              <w:tc>
                <w:tcPr>
                  <w:tcW w:w="971"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噪声源与</w:t>
                  </w:r>
                </w:p>
                <w:p>
                  <w:pPr>
                    <w:pStyle w:val="36"/>
                    <w:jc w:val="both"/>
                    <w:rPr>
                      <w:color w:val="auto"/>
                      <w:highlight w:val="none"/>
                    </w:rPr>
                  </w:pPr>
                  <w:r>
                    <w:rPr>
                      <w:color w:val="auto"/>
                      <w:highlight w:val="none"/>
                    </w:rPr>
                    <w:t>边界距离/m</w:t>
                  </w:r>
                </w:p>
              </w:tc>
              <w:tc>
                <w:tcPr>
                  <w:tcW w:w="985"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预测贡献值</w:t>
                  </w:r>
                </w:p>
                <w:p>
                  <w:pPr>
                    <w:pStyle w:val="36"/>
                    <w:jc w:val="both"/>
                    <w:rPr>
                      <w:color w:val="auto"/>
                      <w:highlight w:val="none"/>
                    </w:rPr>
                  </w:pPr>
                  <w:r>
                    <w:rPr>
                      <w:color w:val="auto"/>
                      <w:highlight w:val="none"/>
                    </w:rPr>
                    <w:t>dB(A)</w:t>
                  </w:r>
                </w:p>
              </w:tc>
              <w:tc>
                <w:tcPr>
                  <w:tcW w:w="1628" w:type="pct"/>
                  <w:gridSpan w:val="2"/>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标准值/dB(A)</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达标情况</w:t>
                  </w:r>
                </w:p>
              </w:tc>
            </w:tr>
            <w:tr>
              <w:tblPrEx>
                <w:tblCellMar>
                  <w:top w:w="0" w:type="dxa"/>
                  <w:left w:w="28" w:type="dxa"/>
                  <w:bottom w:w="0" w:type="dxa"/>
                  <w:right w:w="28" w:type="dxa"/>
                </w:tblCellMar>
              </w:tblPrEx>
              <w:trPr>
                <w:trHeight w:val="34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971"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985"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昼间</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夜间</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p>
              </w:tc>
            </w:tr>
            <w:tr>
              <w:tblPrEx>
                <w:tblCellMar>
                  <w:top w:w="0" w:type="dxa"/>
                  <w:left w:w="28" w:type="dxa"/>
                  <w:bottom w:w="0" w:type="dxa"/>
                  <w:right w:w="28" w:type="dxa"/>
                </w:tblCellMar>
              </w:tblPrEx>
              <w:trPr>
                <w:trHeight w:val="340" w:hRule="atLeast"/>
                <w:jc w:val="center"/>
              </w:trPr>
              <w:tc>
                <w:tcPr>
                  <w:tcW w:w="8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东北边界</w:t>
                  </w:r>
                </w:p>
              </w:tc>
              <w:tc>
                <w:tcPr>
                  <w:tcW w:w="971"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kern w:val="0"/>
                      <w:highlight w:val="none"/>
                    </w:rPr>
                    <w:t>1339</w:t>
                  </w:r>
                </w:p>
              </w:tc>
              <w:tc>
                <w:tcPr>
                  <w:tcW w:w="98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kern w:val="0"/>
                      <w:highlight w:val="none"/>
                    </w:rPr>
                    <w:t>18.09</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65</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55</w:t>
                  </w:r>
                </w:p>
              </w:tc>
              <w:tc>
                <w:tcPr>
                  <w:tcW w:w="54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达标</w:t>
                  </w:r>
                </w:p>
              </w:tc>
            </w:tr>
            <w:tr>
              <w:tblPrEx>
                <w:tblCellMar>
                  <w:top w:w="0" w:type="dxa"/>
                  <w:left w:w="28" w:type="dxa"/>
                  <w:bottom w:w="0" w:type="dxa"/>
                  <w:right w:w="28" w:type="dxa"/>
                </w:tblCellMar>
              </w:tblPrEx>
              <w:trPr>
                <w:trHeight w:val="312" w:hRule="atLeast"/>
                <w:jc w:val="center"/>
              </w:trPr>
              <w:tc>
                <w:tcPr>
                  <w:tcW w:w="8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东南边界</w:t>
                  </w:r>
                </w:p>
              </w:tc>
              <w:tc>
                <w:tcPr>
                  <w:tcW w:w="971"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kern w:val="0"/>
                      <w:highlight w:val="none"/>
                    </w:rPr>
                    <w:t>70</w:t>
                  </w:r>
                </w:p>
              </w:tc>
              <w:tc>
                <w:tcPr>
                  <w:tcW w:w="98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kern w:val="0"/>
                      <w:highlight w:val="none"/>
                    </w:rPr>
                    <w:t>45.80</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65</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55</w:t>
                  </w:r>
                </w:p>
              </w:tc>
              <w:tc>
                <w:tcPr>
                  <w:tcW w:w="54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达标</w:t>
                  </w:r>
                </w:p>
              </w:tc>
            </w:tr>
            <w:tr>
              <w:tblPrEx>
                <w:tblCellMar>
                  <w:top w:w="0" w:type="dxa"/>
                  <w:left w:w="28" w:type="dxa"/>
                  <w:bottom w:w="0" w:type="dxa"/>
                  <w:right w:w="28" w:type="dxa"/>
                </w:tblCellMar>
              </w:tblPrEx>
              <w:trPr>
                <w:trHeight w:val="340" w:hRule="atLeast"/>
                <w:jc w:val="center"/>
              </w:trPr>
              <w:tc>
                <w:tcPr>
                  <w:tcW w:w="8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西南边界</w:t>
                  </w:r>
                </w:p>
              </w:tc>
              <w:tc>
                <w:tcPr>
                  <w:tcW w:w="971"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kern w:val="0"/>
                      <w:highlight w:val="none"/>
                    </w:rPr>
                    <w:t>944</w:t>
                  </w:r>
                </w:p>
              </w:tc>
              <w:tc>
                <w:tcPr>
                  <w:tcW w:w="98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kern w:val="0"/>
                      <w:highlight w:val="none"/>
                    </w:rPr>
                    <w:t>21.77</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65</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55</w:t>
                  </w:r>
                </w:p>
              </w:tc>
              <w:tc>
                <w:tcPr>
                  <w:tcW w:w="54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达标</w:t>
                  </w:r>
                </w:p>
              </w:tc>
            </w:tr>
            <w:tr>
              <w:tblPrEx>
                <w:tblCellMar>
                  <w:top w:w="0" w:type="dxa"/>
                  <w:left w:w="28" w:type="dxa"/>
                  <w:bottom w:w="0" w:type="dxa"/>
                  <w:right w:w="28" w:type="dxa"/>
                </w:tblCellMar>
              </w:tblPrEx>
              <w:trPr>
                <w:trHeight w:val="340" w:hRule="atLeast"/>
                <w:jc w:val="center"/>
              </w:trPr>
              <w:tc>
                <w:tcPr>
                  <w:tcW w:w="86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西北边界</w:t>
                  </w:r>
                </w:p>
              </w:tc>
              <w:tc>
                <w:tcPr>
                  <w:tcW w:w="971"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rFonts w:hint="eastAsia"/>
                      <w:color w:val="auto"/>
                      <w:kern w:val="0"/>
                      <w:highlight w:val="none"/>
                    </w:rPr>
                    <w:t>638</w:t>
                  </w:r>
                </w:p>
              </w:tc>
              <w:tc>
                <w:tcPr>
                  <w:tcW w:w="985"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kern w:val="0"/>
                      <w:highlight w:val="none"/>
                    </w:rPr>
                    <w:t>25.68</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65</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55</w:t>
                  </w:r>
                </w:p>
              </w:tc>
              <w:tc>
                <w:tcPr>
                  <w:tcW w:w="548" w:type="pct"/>
                  <w:tcBorders>
                    <w:top w:val="single" w:color="000000" w:sz="4" w:space="0"/>
                    <w:left w:val="single" w:color="000000" w:sz="4" w:space="0"/>
                    <w:bottom w:val="single" w:color="000000" w:sz="4" w:space="0"/>
                    <w:right w:val="single" w:color="000000" w:sz="4" w:space="0"/>
                  </w:tcBorders>
                  <w:vAlign w:val="center"/>
                </w:tcPr>
                <w:p>
                  <w:pPr>
                    <w:pStyle w:val="36"/>
                    <w:jc w:val="both"/>
                    <w:rPr>
                      <w:color w:val="auto"/>
                      <w:highlight w:val="none"/>
                    </w:rPr>
                  </w:pPr>
                  <w:r>
                    <w:rPr>
                      <w:color w:val="auto"/>
                      <w:highlight w:val="none"/>
                    </w:rPr>
                    <w:t>达标</w:t>
                  </w:r>
                </w:p>
              </w:tc>
            </w:tr>
          </w:tbl>
          <w:p>
            <w:pPr>
              <w:pStyle w:val="8"/>
              <w:rPr>
                <w:color w:val="auto"/>
                <w:highlight w:val="none"/>
              </w:rPr>
            </w:pPr>
            <w:r>
              <w:rPr>
                <w:rFonts w:hint="eastAsia"/>
                <w:color w:val="auto"/>
                <w:highlight w:val="none"/>
              </w:rPr>
              <w:t>注：项目预测源强采用最大值。</w:t>
            </w:r>
          </w:p>
          <w:p>
            <w:pPr>
              <w:pStyle w:val="8"/>
              <w:rPr>
                <w:color w:val="auto"/>
                <w:highlight w:val="none"/>
              </w:rPr>
            </w:pPr>
            <w:r>
              <w:rPr>
                <w:rFonts w:hint="eastAsia"/>
                <w:color w:val="auto"/>
                <w:highlight w:val="none"/>
              </w:rPr>
              <w:t>根据厂界噪声排放预测结果可以看出，当考虑隔声、减振等降噪措施对声源的削减作用后，本项目各厂界噪声可以满足《工业企业界环境噪声排放标准》（GB 12348-2008）3类标准。</w:t>
            </w:r>
          </w:p>
          <w:p>
            <w:pPr>
              <w:pStyle w:val="8"/>
              <w:ind w:firstLine="482"/>
              <w:rPr>
                <w:b/>
                <w:bCs/>
                <w:color w:val="auto"/>
                <w:highlight w:val="none"/>
              </w:rPr>
            </w:pPr>
            <w:r>
              <w:rPr>
                <w:rFonts w:hint="eastAsia"/>
                <w:b/>
                <w:bCs/>
                <w:color w:val="auto"/>
                <w:highlight w:val="none"/>
              </w:rPr>
              <w:t>（3）</w:t>
            </w:r>
            <w:r>
              <w:rPr>
                <w:b/>
                <w:bCs/>
                <w:color w:val="auto"/>
                <w:highlight w:val="none"/>
              </w:rPr>
              <w:t>噪声污染防治措施可行性分析</w:t>
            </w:r>
          </w:p>
          <w:p>
            <w:pPr>
              <w:pStyle w:val="8"/>
              <w:rPr>
                <w:color w:val="auto"/>
                <w:highlight w:val="none"/>
              </w:rPr>
            </w:pPr>
            <w:r>
              <w:rPr>
                <w:color w:val="auto"/>
                <w:highlight w:val="none"/>
              </w:rPr>
              <w:t>生产设备噪声源主要分散布置在厂区内，主要产噪设备为各类泵、</w:t>
            </w:r>
            <w:r>
              <w:rPr>
                <w:rFonts w:hint="eastAsia"/>
                <w:color w:val="auto"/>
                <w:highlight w:val="none"/>
              </w:rPr>
              <w:t>高压板框压滤机、反洗风机、</w:t>
            </w:r>
            <w:r>
              <w:rPr>
                <w:color w:val="auto"/>
                <w:highlight w:val="none"/>
              </w:rPr>
              <w:t>搅拌机等产生的噪声，各类泵、</w:t>
            </w:r>
            <w:r>
              <w:rPr>
                <w:rFonts w:hint="eastAsia"/>
                <w:color w:val="auto"/>
                <w:highlight w:val="none"/>
              </w:rPr>
              <w:t>高压板框压滤机、反洗风机、</w:t>
            </w:r>
            <w:r>
              <w:rPr>
                <w:color w:val="auto"/>
                <w:highlight w:val="none"/>
              </w:rPr>
              <w:t>搅拌机</w:t>
            </w:r>
            <w:r>
              <w:rPr>
                <w:rFonts w:hint="eastAsia"/>
                <w:color w:val="auto"/>
                <w:highlight w:val="none"/>
              </w:rPr>
              <w:t>等设备</w:t>
            </w:r>
            <w:r>
              <w:rPr>
                <w:color w:val="auto"/>
                <w:highlight w:val="none"/>
              </w:rPr>
              <w:t>运行产生的噪声，选用低噪声设备，从源头控制噪声，以及采取基础减振措施，整体降噪能力可达15</w:t>
            </w:r>
            <w:r>
              <w:rPr>
                <w:rFonts w:hint="eastAsia"/>
                <w:color w:val="auto"/>
                <w:highlight w:val="none"/>
              </w:rPr>
              <w:t>d</w:t>
            </w:r>
            <w:r>
              <w:rPr>
                <w:color w:val="auto"/>
                <w:highlight w:val="none"/>
              </w:rPr>
              <w:t>B</w:t>
            </w:r>
            <w:r>
              <w:rPr>
                <w:rFonts w:hint="eastAsia"/>
                <w:color w:val="auto"/>
                <w:highlight w:val="none"/>
              </w:rPr>
              <w:t>（</w:t>
            </w:r>
            <w:r>
              <w:rPr>
                <w:color w:val="auto"/>
                <w:highlight w:val="none"/>
              </w:rPr>
              <w:t>A</w:t>
            </w:r>
            <w:r>
              <w:rPr>
                <w:rFonts w:hint="eastAsia"/>
                <w:color w:val="auto"/>
                <w:highlight w:val="none"/>
              </w:rPr>
              <w:t>）</w:t>
            </w:r>
            <w:r>
              <w:rPr>
                <w:color w:val="auto"/>
                <w:highlight w:val="none"/>
              </w:rPr>
              <w:t>以上。以上噪声治理措施容易实施，技术成熟可靠，投资费用较少，在经济上是可行的。</w:t>
            </w:r>
          </w:p>
          <w:p>
            <w:pPr>
              <w:pStyle w:val="8"/>
              <w:ind w:firstLine="482"/>
              <w:rPr>
                <w:b/>
                <w:bCs/>
                <w:color w:val="auto"/>
                <w:highlight w:val="none"/>
              </w:rPr>
            </w:pPr>
            <w:r>
              <w:rPr>
                <w:rFonts w:hint="eastAsia"/>
                <w:b/>
                <w:bCs/>
                <w:color w:val="auto"/>
                <w:highlight w:val="none"/>
              </w:rPr>
              <w:t>（4）</w:t>
            </w:r>
            <w:r>
              <w:rPr>
                <w:b/>
                <w:bCs/>
                <w:color w:val="auto"/>
                <w:highlight w:val="none"/>
              </w:rPr>
              <w:t>噪声</w:t>
            </w:r>
            <w:r>
              <w:rPr>
                <w:rFonts w:hint="eastAsia"/>
                <w:b/>
                <w:bCs/>
                <w:color w:val="auto"/>
                <w:highlight w:val="none"/>
              </w:rPr>
              <w:t>检测</w:t>
            </w:r>
            <w:r>
              <w:rPr>
                <w:b/>
                <w:bCs/>
                <w:color w:val="auto"/>
                <w:highlight w:val="none"/>
              </w:rPr>
              <w:t>要求</w:t>
            </w:r>
          </w:p>
          <w:p>
            <w:pPr>
              <w:pStyle w:val="8"/>
              <w:rPr>
                <w:color w:val="auto"/>
                <w:highlight w:val="none"/>
              </w:rPr>
            </w:pPr>
            <w:r>
              <w:rPr>
                <w:color w:val="auto"/>
                <w:highlight w:val="none"/>
              </w:rPr>
              <w:t>根据《排污单位自行监测技术指南总则》（H</w:t>
            </w:r>
            <w:r>
              <w:rPr>
                <w:rFonts w:hint="eastAsia"/>
                <w:color w:val="auto"/>
                <w:highlight w:val="none"/>
              </w:rPr>
              <w:t xml:space="preserve"> </w:t>
            </w:r>
            <w:r>
              <w:rPr>
                <w:color w:val="auto"/>
                <w:highlight w:val="none"/>
              </w:rPr>
              <w:t>J819-2017）《排污许可证申请与核发技术规范 工业噪声》</w:t>
            </w:r>
            <w:r>
              <w:rPr>
                <w:rFonts w:hint="eastAsia"/>
                <w:color w:val="auto"/>
                <w:highlight w:val="none"/>
              </w:rPr>
              <w:t>（</w:t>
            </w:r>
            <w:r>
              <w:rPr>
                <w:color w:val="auto"/>
                <w:highlight w:val="none"/>
              </w:rPr>
              <w:t>HJ1301-2023</w:t>
            </w:r>
            <w:r>
              <w:rPr>
                <w:rFonts w:hint="eastAsia"/>
                <w:color w:val="auto"/>
                <w:highlight w:val="none"/>
              </w:rPr>
              <w:t>）</w:t>
            </w:r>
            <w:r>
              <w:rPr>
                <w:color w:val="auto"/>
                <w:highlight w:val="none"/>
              </w:rPr>
              <w:t>，建设单位已开展厂界噪声自行监测计划，本项目无需新增噪声监测。</w:t>
            </w:r>
          </w:p>
          <w:p>
            <w:pPr>
              <w:pStyle w:val="4"/>
              <w:rPr>
                <w:color w:val="auto"/>
                <w:highlight w:val="none"/>
              </w:rPr>
            </w:pPr>
            <w:r>
              <w:rPr>
                <w:color w:val="auto"/>
                <w:highlight w:val="none"/>
              </w:rPr>
              <w:t>4.</w:t>
            </w:r>
            <w:r>
              <w:rPr>
                <w:rFonts w:hint="eastAsia"/>
                <w:color w:val="auto"/>
                <w:highlight w:val="none"/>
              </w:rPr>
              <w:t>2.4</w:t>
            </w:r>
            <w:r>
              <w:rPr>
                <w:color w:val="auto"/>
                <w:highlight w:val="none"/>
              </w:rPr>
              <w:t>固体废物</w:t>
            </w:r>
            <w:r>
              <w:rPr>
                <w:rFonts w:hint="eastAsia"/>
                <w:color w:val="auto"/>
                <w:highlight w:val="none"/>
              </w:rPr>
              <w:t>影响分析和</w:t>
            </w:r>
            <w:r>
              <w:rPr>
                <w:color w:val="auto"/>
                <w:highlight w:val="none"/>
              </w:rPr>
              <w:t>保护措施</w:t>
            </w:r>
          </w:p>
          <w:p>
            <w:pPr>
              <w:pStyle w:val="8"/>
              <w:ind w:firstLine="482"/>
              <w:rPr>
                <w:b/>
                <w:bCs/>
                <w:color w:val="auto"/>
                <w:highlight w:val="none"/>
              </w:rPr>
            </w:pPr>
            <w:r>
              <w:rPr>
                <w:rFonts w:hint="eastAsia"/>
                <w:b/>
                <w:bCs/>
                <w:color w:val="auto"/>
                <w:highlight w:val="none"/>
              </w:rPr>
              <w:t>（1）</w:t>
            </w:r>
            <w:r>
              <w:rPr>
                <w:b/>
                <w:bCs/>
                <w:color w:val="auto"/>
                <w:highlight w:val="none"/>
              </w:rPr>
              <w:t>固体废物判定</w:t>
            </w:r>
          </w:p>
          <w:p>
            <w:pPr>
              <w:pStyle w:val="8"/>
              <w:rPr>
                <w:color w:val="auto"/>
                <w:highlight w:val="none"/>
              </w:rPr>
            </w:pPr>
            <w:r>
              <w:rPr>
                <w:color w:val="auto"/>
                <w:highlight w:val="none"/>
              </w:rPr>
              <w:t>根据《固体废物鉴别标准通则》（GB</w:t>
            </w:r>
            <w:r>
              <w:rPr>
                <w:rFonts w:hint="eastAsia"/>
                <w:color w:val="auto"/>
                <w:highlight w:val="none"/>
              </w:rPr>
              <w:t xml:space="preserve"> </w:t>
            </w:r>
            <w:r>
              <w:rPr>
                <w:color w:val="auto"/>
                <w:highlight w:val="none"/>
              </w:rPr>
              <w:t>34330-2017），</w:t>
            </w:r>
            <w:r>
              <w:rPr>
                <w:rFonts w:hint="eastAsia"/>
                <w:color w:val="auto"/>
                <w:highlight w:val="none"/>
              </w:rPr>
              <w:t>工程分析</w:t>
            </w:r>
            <w:r>
              <w:rPr>
                <w:color w:val="auto"/>
                <w:highlight w:val="none"/>
              </w:rPr>
              <w:t>了各固体废物产生环节、主要成分及其产生量，</w:t>
            </w:r>
            <w:r>
              <w:rPr>
                <w:color w:val="auto"/>
                <w:highlight w:val="none"/>
                <w:u w:val="single"/>
              </w:rPr>
              <w:t>项目废水来源主要为除盐水厂房过滤器反洗水、废水中和池排水、含油生产废水油水分离排水、制氯站中和池排水、室内管沟排水和地面疏水、锅炉房降温排水、水箱溢流排水等，主要污染物为COD、氨氮、总磷、石油类等，水质整体较好</w:t>
            </w:r>
            <w:r>
              <w:rPr>
                <w:rFonts w:hint="eastAsia"/>
                <w:color w:val="auto"/>
                <w:highlight w:val="none"/>
                <w:u w:val="single"/>
                <w:lang w:eastAsia="zh-CN"/>
              </w:rPr>
              <w:t>且</w:t>
            </w:r>
            <w:r>
              <w:rPr>
                <w:color w:val="auto"/>
                <w:highlight w:val="none"/>
                <w:u w:val="single"/>
              </w:rPr>
              <w:t>不涉及放射性废水，可类比常规工业废水。因此，本项目废水处理过程产生的污泥、废活性炭，属于《固体废物鉴别标准通则》（GB 34330-2017）“4.3 环境治理和污染控制过程</w:t>
            </w:r>
            <w:r>
              <w:rPr>
                <w:rFonts w:hint="eastAsia"/>
                <w:color w:val="auto"/>
                <w:highlight w:val="none"/>
                <w:u w:val="single"/>
              </w:rPr>
              <w:t>产生</w:t>
            </w:r>
            <w:r>
              <w:rPr>
                <w:color w:val="auto"/>
                <w:highlight w:val="none"/>
                <w:u w:val="single"/>
              </w:rPr>
              <w:t>的物质 e）水净化和废水处理产生的污泥及其他</w:t>
            </w:r>
            <w:r>
              <w:rPr>
                <w:rFonts w:hint="eastAsia"/>
                <w:color w:val="auto"/>
                <w:highlight w:val="none"/>
                <w:u w:val="single"/>
              </w:rPr>
              <w:t>废弃</w:t>
            </w:r>
            <w:r>
              <w:rPr>
                <w:color w:val="auto"/>
                <w:highlight w:val="none"/>
                <w:u w:val="single"/>
              </w:rPr>
              <w:t>物质”，经集中收集后委托有资质的</w:t>
            </w:r>
            <w:r>
              <w:rPr>
                <w:rFonts w:hint="eastAsia"/>
                <w:color w:val="auto"/>
                <w:highlight w:val="none"/>
                <w:u w:val="single"/>
              </w:rPr>
              <w:t>单位</w:t>
            </w:r>
            <w:r>
              <w:rPr>
                <w:color w:val="auto"/>
                <w:highlight w:val="none"/>
                <w:u w:val="single"/>
              </w:rPr>
              <w:t>处理。</w:t>
            </w:r>
            <w:r>
              <w:rPr>
                <w:color w:val="auto"/>
                <w:highlight w:val="none"/>
              </w:rPr>
              <w:t>根据《固体废物鉴别标准通则》（GB</w:t>
            </w:r>
            <w:r>
              <w:rPr>
                <w:rFonts w:hint="eastAsia"/>
                <w:color w:val="auto"/>
                <w:highlight w:val="none"/>
              </w:rPr>
              <w:t xml:space="preserve"> </w:t>
            </w:r>
            <w:r>
              <w:rPr>
                <w:color w:val="auto"/>
                <w:highlight w:val="none"/>
              </w:rPr>
              <w:t>34330-2017），本项目固体废物判定见</w:t>
            </w:r>
            <w:r>
              <w:rPr>
                <w:rFonts w:hint="eastAsia"/>
                <w:color w:val="auto"/>
                <w:highlight w:val="none"/>
              </w:rPr>
              <w:t>下表</w:t>
            </w:r>
            <w:r>
              <w:rPr>
                <w:color w:val="auto"/>
                <w:highlight w:val="none"/>
              </w:rPr>
              <w:t>。</w:t>
            </w:r>
          </w:p>
          <w:p>
            <w:pPr>
              <w:pStyle w:val="5"/>
              <w:keepNext/>
              <w:ind w:firstLine="402" w:firstLineChars="200"/>
              <w:jc w:val="center"/>
              <w:rPr>
                <w:color w:val="auto"/>
                <w:highlight w:val="none"/>
              </w:rPr>
            </w:pPr>
            <w:r>
              <w:rPr>
                <w:rFonts w:hint="eastAsia"/>
                <w:color w:val="auto"/>
                <w:highlight w:val="none"/>
              </w:rPr>
              <w:t>表4-</w:t>
            </w:r>
            <w:r>
              <w:rPr>
                <w:color w:val="auto"/>
                <w:highlight w:val="none"/>
              </w:rPr>
              <w:fldChar w:fldCharType="begin"/>
            </w:r>
            <w:r>
              <w:rPr>
                <w:rFonts w:hint="eastAsia"/>
                <w:color w:val="auto"/>
                <w:highlight w:val="none"/>
              </w:rPr>
              <w:instrText xml:space="preserve">SEQ表4-\*ARABIC</w:instrText>
            </w:r>
            <w:r>
              <w:rPr>
                <w:color w:val="auto"/>
                <w:highlight w:val="none"/>
              </w:rPr>
              <w:fldChar w:fldCharType="separate"/>
            </w:r>
            <w:r>
              <w:rPr>
                <w:rFonts w:hint="eastAsia"/>
                <w:color w:val="auto"/>
                <w:highlight w:val="none"/>
              </w:rPr>
              <w:t>10</w:t>
            </w:r>
            <w:r>
              <w:rPr>
                <w:color w:val="auto"/>
                <w:highlight w:val="none"/>
              </w:rPr>
              <w:fldChar w:fldCharType="end"/>
            </w:r>
            <w:r>
              <w:rPr>
                <w:color w:val="auto"/>
                <w:highlight w:val="none"/>
              </w:rPr>
              <w:t>固体废物判定</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1"/>
              <w:gridCol w:w="1042"/>
              <w:gridCol w:w="1125"/>
              <w:gridCol w:w="732"/>
              <w:gridCol w:w="1042"/>
              <w:gridCol w:w="154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3" w:type="pct"/>
                  <w:vAlign w:val="center"/>
                </w:tcPr>
                <w:p>
                  <w:pPr>
                    <w:pStyle w:val="36"/>
                    <w:jc w:val="both"/>
                    <w:rPr>
                      <w:color w:val="auto"/>
                      <w:highlight w:val="none"/>
                    </w:rPr>
                  </w:pPr>
                  <w:r>
                    <w:rPr>
                      <w:color w:val="auto"/>
                      <w:highlight w:val="none"/>
                    </w:rPr>
                    <w:t>序号</w:t>
                  </w:r>
                </w:p>
              </w:tc>
              <w:tc>
                <w:tcPr>
                  <w:tcW w:w="618" w:type="pct"/>
                  <w:vAlign w:val="center"/>
                </w:tcPr>
                <w:p>
                  <w:pPr>
                    <w:pStyle w:val="36"/>
                    <w:jc w:val="both"/>
                    <w:rPr>
                      <w:color w:val="auto"/>
                      <w:highlight w:val="none"/>
                    </w:rPr>
                  </w:pPr>
                  <w:r>
                    <w:rPr>
                      <w:color w:val="auto"/>
                      <w:highlight w:val="none"/>
                    </w:rPr>
                    <w:t>固废名称</w:t>
                  </w:r>
                </w:p>
              </w:tc>
              <w:tc>
                <w:tcPr>
                  <w:tcW w:w="667" w:type="pct"/>
                  <w:vAlign w:val="center"/>
                </w:tcPr>
                <w:p>
                  <w:pPr>
                    <w:pStyle w:val="36"/>
                    <w:jc w:val="both"/>
                    <w:rPr>
                      <w:color w:val="auto"/>
                      <w:highlight w:val="none"/>
                    </w:rPr>
                  </w:pPr>
                  <w:r>
                    <w:rPr>
                      <w:color w:val="auto"/>
                      <w:highlight w:val="none"/>
                    </w:rPr>
                    <w:t>产生工序</w:t>
                  </w:r>
                </w:p>
              </w:tc>
              <w:tc>
                <w:tcPr>
                  <w:tcW w:w="434" w:type="pct"/>
                  <w:vAlign w:val="center"/>
                </w:tcPr>
                <w:p>
                  <w:pPr>
                    <w:pStyle w:val="36"/>
                    <w:jc w:val="both"/>
                    <w:rPr>
                      <w:color w:val="auto"/>
                      <w:highlight w:val="none"/>
                    </w:rPr>
                  </w:pPr>
                  <w:r>
                    <w:rPr>
                      <w:color w:val="auto"/>
                      <w:highlight w:val="none"/>
                    </w:rPr>
                    <w:t>形态</w:t>
                  </w:r>
                </w:p>
              </w:tc>
              <w:tc>
                <w:tcPr>
                  <w:tcW w:w="618" w:type="pct"/>
                  <w:vAlign w:val="center"/>
                </w:tcPr>
                <w:p>
                  <w:pPr>
                    <w:pStyle w:val="36"/>
                    <w:jc w:val="both"/>
                    <w:rPr>
                      <w:color w:val="auto"/>
                      <w:highlight w:val="none"/>
                    </w:rPr>
                  </w:pPr>
                  <w:r>
                    <w:rPr>
                      <w:color w:val="auto"/>
                      <w:highlight w:val="none"/>
                    </w:rPr>
                    <w:t>主要成分</w:t>
                  </w:r>
                </w:p>
              </w:tc>
              <w:tc>
                <w:tcPr>
                  <w:tcW w:w="918" w:type="pct"/>
                  <w:vAlign w:val="center"/>
                </w:tcPr>
                <w:p>
                  <w:pPr>
                    <w:pStyle w:val="36"/>
                    <w:jc w:val="both"/>
                    <w:rPr>
                      <w:color w:val="auto"/>
                      <w:highlight w:val="none"/>
                    </w:rPr>
                  </w:pPr>
                  <w:r>
                    <w:rPr>
                      <w:color w:val="auto"/>
                      <w:highlight w:val="none"/>
                    </w:rPr>
                    <w:t>是否属于固废</w:t>
                  </w:r>
                </w:p>
              </w:tc>
              <w:tc>
                <w:tcPr>
                  <w:tcW w:w="1383" w:type="pct"/>
                  <w:vAlign w:val="center"/>
                </w:tcPr>
                <w:p>
                  <w:pPr>
                    <w:pStyle w:val="36"/>
                    <w:jc w:val="both"/>
                    <w:rPr>
                      <w:color w:val="auto"/>
                      <w:highlight w:val="none"/>
                    </w:rPr>
                  </w:pPr>
                  <w:r>
                    <w:rPr>
                      <w:color w:val="auto"/>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3" w:type="pct"/>
                  <w:vAlign w:val="center"/>
                </w:tcPr>
                <w:p>
                  <w:pPr>
                    <w:pStyle w:val="36"/>
                    <w:jc w:val="both"/>
                    <w:rPr>
                      <w:color w:val="auto"/>
                      <w:highlight w:val="none"/>
                    </w:rPr>
                  </w:pPr>
                  <w:r>
                    <w:rPr>
                      <w:color w:val="auto"/>
                      <w:kern w:val="0"/>
                      <w:highlight w:val="none"/>
                    </w:rPr>
                    <w:t>S1</w:t>
                  </w:r>
                </w:p>
              </w:tc>
              <w:tc>
                <w:tcPr>
                  <w:tcW w:w="618" w:type="pct"/>
                  <w:vAlign w:val="center"/>
                </w:tcPr>
                <w:p>
                  <w:pPr>
                    <w:pStyle w:val="36"/>
                    <w:jc w:val="both"/>
                    <w:rPr>
                      <w:color w:val="auto"/>
                      <w:highlight w:val="none"/>
                    </w:rPr>
                  </w:pPr>
                  <w:r>
                    <w:rPr>
                      <w:rFonts w:hint="eastAsia"/>
                      <w:color w:val="auto"/>
                      <w:kern w:val="0"/>
                      <w:highlight w:val="none"/>
                    </w:rPr>
                    <w:t>污泥</w:t>
                  </w:r>
                </w:p>
              </w:tc>
              <w:tc>
                <w:tcPr>
                  <w:tcW w:w="667" w:type="pct"/>
                  <w:vAlign w:val="center"/>
                </w:tcPr>
                <w:p>
                  <w:pPr>
                    <w:pStyle w:val="36"/>
                    <w:jc w:val="both"/>
                    <w:rPr>
                      <w:color w:val="auto"/>
                      <w:highlight w:val="none"/>
                    </w:rPr>
                  </w:pPr>
                  <w:r>
                    <w:rPr>
                      <w:color w:val="auto"/>
                      <w:kern w:val="0"/>
                      <w:highlight w:val="none"/>
                    </w:rPr>
                    <w:t>废水处理</w:t>
                  </w:r>
                </w:p>
              </w:tc>
              <w:tc>
                <w:tcPr>
                  <w:tcW w:w="434" w:type="pct"/>
                  <w:vAlign w:val="center"/>
                </w:tcPr>
                <w:p>
                  <w:pPr>
                    <w:pStyle w:val="36"/>
                    <w:jc w:val="both"/>
                    <w:rPr>
                      <w:color w:val="auto"/>
                      <w:highlight w:val="none"/>
                    </w:rPr>
                  </w:pPr>
                  <w:r>
                    <w:rPr>
                      <w:color w:val="auto"/>
                      <w:kern w:val="0"/>
                      <w:highlight w:val="none"/>
                    </w:rPr>
                    <w:t>固态</w:t>
                  </w:r>
                </w:p>
              </w:tc>
              <w:tc>
                <w:tcPr>
                  <w:tcW w:w="618" w:type="pct"/>
                  <w:vAlign w:val="center"/>
                </w:tcPr>
                <w:p>
                  <w:pPr>
                    <w:pStyle w:val="36"/>
                    <w:jc w:val="both"/>
                    <w:rPr>
                      <w:color w:val="auto"/>
                      <w:highlight w:val="none"/>
                    </w:rPr>
                  </w:pPr>
                  <w:r>
                    <w:rPr>
                      <w:rFonts w:hint="eastAsia"/>
                      <w:color w:val="auto"/>
                      <w:kern w:val="0"/>
                      <w:highlight w:val="none"/>
                    </w:rPr>
                    <w:t>压滤</w:t>
                  </w:r>
                  <w:r>
                    <w:rPr>
                      <w:color w:val="auto"/>
                      <w:kern w:val="0"/>
                      <w:highlight w:val="none"/>
                    </w:rPr>
                    <w:t>污泥</w:t>
                  </w:r>
                </w:p>
              </w:tc>
              <w:tc>
                <w:tcPr>
                  <w:tcW w:w="918" w:type="pct"/>
                  <w:vAlign w:val="center"/>
                </w:tcPr>
                <w:p>
                  <w:pPr>
                    <w:pStyle w:val="36"/>
                    <w:jc w:val="both"/>
                    <w:rPr>
                      <w:color w:val="auto"/>
                      <w:highlight w:val="none"/>
                    </w:rPr>
                  </w:pPr>
                  <w:r>
                    <w:rPr>
                      <w:color w:val="auto"/>
                      <w:kern w:val="0"/>
                      <w:highlight w:val="none"/>
                    </w:rPr>
                    <w:t>是</w:t>
                  </w:r>
                </w:p>
              </w:tc>
              <w:tc>
                <w:tcPr>
                  <w:tcW w:w="1383" w:type="pct"/>
                  <w:vAlign w:val="center"/>
                </w:tcPr>
                <w:p>
                  <w:pPr>
                    <w:pStyle w:val="36"/>
                    <w:jc w:val="both"/>
                    <w:rPr>
                      <w:color w:val="auto"/>
                      <w:highlight w:val="none"/>
                    </w:rPr>
                  </w:pPr>
                  <w:r>
                    <w:rPr>
                      <w:color w:val="auto"/>
                      <w:kern w:val="0"/>
                      <w:highlight w:val="none"/>
                    </w:rPr>
                    <w:t>水净化和废水处理产生的污泥及其他废弃物质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3" w:type="pct"/>
                  <w:vAlign w:val="center"/>
                </w:tcPr>
                <w:p>
                  <w:pPr>
                    <w:pStyle w:val="36"/>
                    <w:jc w:val="both"/>
                    <w:rPr>
                      <w:color w:val="auto"/>
                      <w:highlight w:val="none"/>
                    </w:rPr>
                  </w:pPr>
                  <w:r>
                    <w:rPr>
                      <w:color w:val="auto"/>
                      <w:kern w:val="0"/>
                      <w:highlight w:val="none"/>
                    </w:rPr>
                    <w:t>S</w:t>
                  </w:r>
                  <w:r>
                    <w:rPr>
                      <w:rFonts w:hint="eastAsia"/>
                      <w:color w:val="auto"/>
                      <w:kern w:val="0"/>
                      <w:highlight w:val="none"/>
                    </w:rPr>
                    <w:t>2</w:t>
                  </w:r>
                </w:p>
              </w:tc>
              <w:tc>
                <w:tcPr>
                  <w:tcW w:w="618" w:type="pct"/>
                  <w:vAlign w:val="center"/>
                </w:tcPr>
                <w:p>
                  <w:pPr>
                    <w:pStyle w:val="36"/>
                    <w:jc w:val="both"/>
                    <w:rPr>
                      <w:color w:val="auto"/>
                      <w:highlight w:val="none"/>
                    </w:rPr>
                  </w:pPr>
                  <w:r>
                    <w:rPr>
                      <w:color w:val="auto"/>
                      <w:kern w:val="0"/>
                      <w:highlight w:val="none"/>
                    </w:rPr>
                    <w:t>废活性炭</w:t>
                  </w:r>
                </w:p>
              </w:tc>
              <w:tc>
                <w:tcPr>
                  <w:tcW w:w="667" w:type="pct"/>
                  <w:vAlign w:val="center"/>
                </w:tcPr>
                <w:p>
                  <w:pPr>
                    <w:pStyle w:val="36"/>
                    <w:jc w:val="both"/>
                    <w:rPr>
                      <w:color w:val="auto"/>
                      <w:highlight w:val="none"/>
                    </w:rPr>
                  </w:pPr>
                  <w:r>
                    <w:rPr>
                      <w:color w:val="auto"/>
                      <w:kern w:val="0"/>
                      <w:highlight w:val="none"/>
                    </w:rPr>
                    <w:t>废水处理</w:t>
                  </w:r>
                </w:p>
              </w:tc>
              <w:tc>
                <w:tcPr>
                  <w:tcW w:w="434" w:type="pct"/>
                  <w:vAlign w:val="center"/>
                </w:tcPr>
                <w:p>
                  <w:pPr>
                    <w:pStyle w:val="36"/>
                    <w:jc w:val="both"/>
                    <w:rPr>
                      <w:color w:val="auto"/>
                      <w:highlight w:val="none"/>
                    </w:rPr>
                  </w:pPr>
                  <w:r>
                    <w:rPr>
                      <w:color w:val="auto"/>
                      <w:kern w:val="0"/>
                      <w:highlight w:val="none"/>
                    </w:rPr>
                    <w:t>固态</w:t>
                  </w:r>
                </w:p>
              </w:tc>
              <w:tc>
                <w:tcPr>
                  <w:tcW w:w="618" w:type="pct"/>
                  <w:vAlign w:val="center"/>
                </w:tcPr>
                <w:p>
                  <w:pPr>
                    <w:pStyle w:val="36"/>
                    <w:jc w:val="both"/>
                    <w:rPr>
                      <w:color w:val="auto"/>
                      <w:highlight w:val="none"/>
                    </w:rPr>
                  </w:pPr>
                  <w:r>
                    <w:rPr>
                      <w:rFonts w:hint="eastAsia"/>
                      <w:color w:val="auto"/>
                      <w:kern w:val="0"/>
                      <w:highlight w:val="none"/>
                    </w:rPr>
                    <w:t>杂质、</w:t>
                  </w:r>
                  <w:r>
                    <w:rPr>
                      <w:color w:val="auto"/>
                      <w:kern w:val="0"/>
                      <w:highlight w:val="none"/>
                    </w:rPr>
                    <w:t>废活性炭</w:t>
                  </w:r>
                  <w:r>
                    <w:rPr>
                      <w:rFonts w:hint="eastAsia"/>
                      <w:color w:val="auto"/>
                      <w:kern w:val="0"/>
                      <w:highlight w:val="none"/>
                    </w:rPr>
                    <w:t>等</w:t>
                  </w:r>
                </w:p>
              </w:tc>
              <w:tc>
                <w:tcPr>
                  <w:tcW w:w="918" w:type="pct"/>
                  <w:vAlign w:val="center"/>
                </w:tcPr>
                <w:p>
                  <w:pPr>
                    <w:pStyle w:val="36"/>
                    <w:jc w:val="both"/>
                    <w:rPr>
                      <w:color w:val="auto"/>
                      <w:highlight w:val="none"/>
                    </w:rPr>
                  </w:pPr>
                  <w:r>
                    <w:rPr>
                      <w:color w:val="auto"/>
                      <w:kern w:val="0"/>
                      <w:highlight w:val="none"/>
                    </w:rPr>
                    <w:t>是</w:t>
                  </w:r>
                </w:p>
              </w:tc>
              <w:tc>
                <w:tcPr>
                  <w:tcW w:w="1383" w:type="pct"/>
                  <w:vAlign w:val="center"/>
                </w:tcPr>
                <w:p>
                  <w:pPr>
                    <w:pStyle w:val="36"/>
                    <w:jc w:val="both"/>
                    <w:rPr>
                      <w:color w:val="auto"/>
                      <w:highlight w:val="none"/>
                    </w:rPr>
                  </w:pPr>
                  <w:r>
                    <w:rPr>
                      <w:color w:val="auto"/>
                      <w:kern w:val="0"/>
                      <w:highlight w:val="none"/>
                    </w:rPr>
                    <w:t>水净化和废水处理产生的污泥及其他废弃物质</w:t>
                  </w:r>
                </w:p>
              </w:tc>
            </w:tr>
          </w:tbl>
          <w:p>
            <w:pPr>
              <w:pStyle w:val="8"/>
              <w:ind w:firstLine="482"/>
              <w:rPr>
                <w:b/>
                <w:bCs/>
                <w:color w:val="auto"/>
                <w:highlight w:val="none"/>
              </w:rPr>
            </w:pPr>
            <w:r>
              <w:rPr>
                <w:rFonts w:hint="eastAsia"/>
                <w:b/>
                <w:bCs/>
                <w:color w:val="auto"/>
                <w:highlight w:val="none"/>
              </w:rPr>
              <w:t>（2）</w:t>
            </w:r>
            <w:r>
              <w:rPr>
                <w:b/>
                <w:bCs/>
                <w:color w:val="auto"/>
                <w:highlight w:val="none"/>
              </w:rPr>
              <w:t>固体废物属性判定</w:t>
            </w:r>
          </w:p>
          <w:p>
            <w:pPr>
              <w:pStyle w:val="8"/>
              <w:rPr>
                <w:color w:val="auto"/>
                <w:highlight w:val="none"/>
              </w:rPr>
            </w:pPr>
            <w:r>
              <w:rPr>
                <w:rFonts w:hint="eastAsia"/>
                <w:color w:val="auto"/>
                <w:highlight w:val="none"/>
                <w:u w:val="single"/>
              </w:rPr>
              <w:t>对比《国家危险废物名录》（2025年版），项目废水来源主要为含油废水站处理出水及其他排水、</w:t>
            </w:r>
            <w:r>
              <w:rPr>
                <w:rFonts w:hint="eastAsia"/>
                <w:color w:val="auto"/>
                <w:highlight w:val="none"/>
                <w:u w:val="single"/>
              </w:rPr>
              <w:tab/>
            </w:r>
            <w:r>
              <w:rPr>
                <w:rFonts w:hint="eastAsia"/>
                <w:color w:val="auto"/>
                <w:highlight w:val="none"/>
                <w:u w:val="single"/>
              </w:rPr>
              <w:t>除盐水厂房排水，主要污染物为COD、氨氮、总磷、石油类等，水质整体较好</w:t>
            </w:r>
            <w:r>
              <w:rPr>
                <w:rFonts w:hint="eastAsia"/>
                <w:color w:val="auto"/>
                <w:highlight w:val="none"/>
                <w:u w:val="single"/>
                <w:lang w:eastAsia="zh-CN"/>
              </w:rPr>
              <w:t>且</w:t>
            </w:r>
            <w:r>
              <w:rPr>
                <w:rFonts w:hint="eastAsia"/>
                <w:color w:val="auto"/>
                <w:highlight w:val="none"/>
                <w:u w:val="single"/>
              </w:rPr>
              <w:t>不涉及放射性废水，可类比常规工业废水。项目废水处理产生的</w:t>
            </w:r>
            <w:r>
              <w:rPr>
                <w:color w:val="auto"/>
                <w:highlight w:val="none"/>
              </w:rPr>
              <w:t>污泥、废活性炭不在《国家危险废物名录》（202</w:t>
            </w:r>
            <w:r>
              <w:rPr>
                <w:rFonts w:hint="eastAsia"/>
                <w:color w:val="auto"/>
                <w:highlight w:val="none"/>
              </w:rPr>
              <w:t>5</w:t>
            </w:r>
            <w:r>
              <w:rPr>
                <w:color w:val="auto"/>
                <w:highlight w:val="none"/>
              </w:rPr>
              <w:t>年版）名录内，</w:t>
            </w:r>
            <w:r>
              <w:rPr>
                <w:rFonts w:hint="eastAsia"/>
                <w:color w:val="auto"/>
                <w:highlight w:val="none"/>
              </w:rPr>
              <w:t>属于</w:t>
            </w:r>
            <w:r>
              <w:rPr>
                <w:color w:val="auto"/>
                <w:highlight w:val="none"/>
              </w:rPr>
              <w:t>一般工业固体废物。</w:t>
            </w:r>
          </w:p>
          <w:p>
            <w:pPr>
              <w:pStyle w:val="8"/>
              <w:ind w:firstLine="482"/>
              <w:rPr>
                <w:b/>
                <w:bCs/>
                <w:color w:val="auto"/>
                <w:highlight w:val="none"/>
              </w:rPr>
            </w:pPr>
            <w:r>
              <w:rPr>
                <w:rFonts w:hint="eastAsia"/>
                <w:b/>
                <w:bCs/>
                <w:color w:val="auto"/>
                <w:highlight w:val="none"/>
              </w:rPr>
              <w:t>（3）</w:t>
            </w:r>
            <w:r>
              <w:rPr>
                <w:b/>
                <w:bCs/>
                <w:color w:val="auto"/>
                <w:highlight w:val="none"/>
              </w:rPr>
              <w:t>固体废物产生及处置情况</w:t>
            </w:r>
          </w:p>
          <w:p>
            <w:pPr>
              <w:pStyle w:val="8"/>
              <w:rPr>
                <w:color w:val="auto"/>
                <w:highlight w:val="none"/>
                <w:u w:val="single"/>
              </w:rPr>
            </w:pPr>
            <w:r>
              <w:rPr>
                <w:color w:val="auto"/>
                <w:highlight w:val="none"/>
                <w:u w:val="single"/>
              </w:rPr>
              <w:t>根据本项目两条工艺路线的进出水水质、设计规模以及投加混凝剂的量，确定废水处理站年产生污泥量约63t/a。</w:t>
            </w:r>
            <w:r>
              <w:rPr>
                <w:rFonts w:hint="eastAsia"/>
                <w:color w:val="auto"/>
                <w:highlight w:val="none"/>
                <w:u w:val="single"/>
                <w:lang w:eastAsia="zh"/>
              </w:rPr>
              <w:t>非放射性废水处理站配套1处污泥处理间及固废暂存间，产生污泥经脱水后定期清运，委托有污泥处置能力的单位外运处理</w:t>
            </w:r>
            <w:r>
              <w:rPr>
                <w:color w:val="auto"/>
                <w:highlight w:val="none"/>
                <w:u w:val="single"/>
              </w:rPr>
              <w:t>。单套活性炭过滤器中活性炭重量10.18t，根据设计的水量，考虑到活性炭仅作为应急措施。本项目按照最不利工况下，计算活性炭再生周期70天，年产生废活性炭的量约276t/a，废活性炭由原料提供商更换后直接回收，活性炭过滤设备使用时</w:t>
            </w:r>
            <w:r>
              <w:rPr>
                <w:rFonts w:hint="eastAsia"/>
                <w:color w:val="auto"/>
                <w:highlight w:val="none"/>
                <w:u w:val="single"/>
                <w:lang w:val="en-US" w:eastAsia="zh-CN"/>
              </w:rPr>
              <w:t>有备用</w:t>
            </w:r>
            <w:r>
              <w:rPr>
                <w:color w:val="auto"/>
                <w:highlight w:val="none"/>
                <w:u w:val="single"/>
              </w:rPr>
              <w:t>，可及时更换回收不在场内暂存。</w:t>
            </w:r>
          </w:p>
          <w:p>
            <w:pPr>
              <w:pStyle w:val="8"/>
              <w:rPr>
                <w:color w:val="auto"/>
                <w:highlight w:val="none"/>
              </w:rPr>
            </w:pPr>
            <w:r>
              <w:rPr>
                <w:color w:val="auto"/>
                <w:highlight w:val="none"/>
              </w:rPr>
              <w:t>本项目固体废物污染源源强核算见</w:t>
            </w:r>
            <w:r>
              <w:rPr>
                <w:rFonts w:hint="eastAsia"/>
                <w:color w:val="auto"/>
                <w:highlight w:val="none"/>
              </w:rPr>
              <w:t>下表</w:t>
            </w:r>
            <w:r>
              <w:rPr>
                <w:color w:val="auto"/>
                <w:highlight w:val="none"/>
              </w:rPr>
              <w:t>。</w:t>
            </w:r>
          </w:p>
          <w:p>
            <w:pPr>
              <w:pStyle w:val="5"/>
              <w:keepNext/>
              <w:ind w:firstLine="402" w:firstLineChars="200"/>
              <w:jc w:val="center"/>
              <w:rPr>
                <w:color w:val="auto"/>
                <w:highlight w:val="none"/>
              </w:rPr>
            </w:pPr>
            <w:r>
              <w:rPr>
                <w:rFonts w:hint="eastAsia"/>
                <w:color w:val="auto"/>
                <w:highlight w:val="none"/>
              </w:rPr>
              <w:t>表4-11</w:t>
            </w:r>
            <w:r>
              <w:rPr>
                <w:color w:val="auto"/>
                <w:highlight w:val="none"/>
              </w:rPr>
              <w:t>固体废物污染源源强核算结果及相关参数一览表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3"/>
              <w:gridCol w:w="649"/>
              <w:gridCol w:w="687"/>
              <w:gridCol w:w="1136"/>
              <w:gridCol w:w="630"/>
              <w:gridCol w:w="699"/>
              <w:gridCol w:w="622"/>
              <w:gridCol w:w="847"/>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dxa"/>
                  <w:vMerge w:val="restar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装置</w:t>
                  </w:r>
                </w:p>
              </w:tc>
              <w:tc>
                <w:tcPr>
                  <w:tcW w:w="665" w:type="dxa"/>
                  <w:vMerge w:val="restar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固体废物名称</w:t>
                  </w:r>
                </w:p>
              </w:tc>
              <w:tc>
                <w:tcPr>
                  <w:tcW w:w="705"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固废属性</w:t>
                  </w:r>
                </w:p>
              </w:tc>
              <w:tc>
                <w:tcPr>
                  <w:tcW w:w="1140"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一般固废代码</w:t>
                  </w:r>
                </w:p>
              </w:tc>
              <w:tc>
                <w:tcPr>
                  <w:tcW w:w="645"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核算方法</w:t>
                  </w:r>
                </w:p>
              </w:tc>
              <w:tc>
                <w:tcPr>
                  <w:tcW w:w="708"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产生量</w:t>
                  </w:r>
                </w:p>
                <w:p>
                  <w:pPr>
                    <w:pStyle w:val="36"/>
                    <w:jc w:val="both"/>
                    <w:rPr>
                      <w:color w:val="auto"/>
                      <w:highlight w:val="none"/>
                    </w:rPr>
                  </w:pPr>
                  <w:r>
                    <w:rPr>
                      <w:rFonts w:hint="eastAsia"/>
                      <w:color w:val="auto"/>
                      <w:highlight w:val="none"/>
                    </w:rPr>
                    <w:t>(</w:t>
                  </w:r>
                  <w:r>
                    <w:rPr>
                      <w:color w:val="auto"/>
                      <w:highlight w:val="none"/>
                    </w:rPr>
                    <w:t>t/a</w:t>
                  </w:r>
                  <w:r>
                    <w:rPr>
                      <w:rFonts w:hint="eastAsia"/>
                      <w:color w:val="auto"/>
                      <w:highlight w:val="none"/>
                    </w:rPr>
                    <w:t>)</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处置措施</w:t>
                  </w:r>
                </w:p>
              </w:tc>
              <w:tc>
                <w:tcPr>
                  <w:tcW w:w="2802" w:type="dxa"/>
                  <w:vMerge w:val="restart"/>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7"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p>
              </w:tc>
              <w:tc>
                <w:tcPr>
                  <w:tcW w:w="665" w:type="dxa"/>
                  <w:vMerge w:val="continue"/>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p>
              </w:tc>
              <w:tc>
                <w:tcPr>
                  <w:tcW w:w="705" w:type="dxa"/>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1140" w:type="dxa"/>
                  <w:vMerge w:val="continue"/>
                  <w:tcBorders>
                    <w:left w:val="single" w:color="auto" w:sz="4" w:space="0"/>
                    <w:right w:val="single" w:color="auto" w:sz="4" w:space="0"/>
                  </w:tcBorders>
                  <w:vAlign w:val="center"/>
                </w:tcPr>
                <w:p>
                  <w:pPr>
                    <w:pStyle w:val="36"/>
                    <w:jc w:val="both"/>
                    <w:rPr>
                      <w:color w:val="auto"/>
                      <w:highlight w:val="none"/>
                    </w:rPr>
                  </w:pPr>
                </w:p>
              </w:tc>
              <w:tc>
                <w:tcPr>
                  <w:tcW w:w="645" w:type="dxa"/>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708" w:type="dxa"/>
                  <w:vMerge w:val="continue"/>
                  <w:tcBorders>
                    <w:left w:val="single" w:color="auto" w:sz="4" w:space="0"/>
                    <w:bottom w:val="single" w:color="auto" w:sz="4" w:space="0"/>
                    <w:right w:val="single" w:color="auto" w:sz="4" w:space="0"/>
                  </w:tcBorders>
                  <w:vAlign w:val="center"/>
                </w:tcPr>
                <w:p>
                  <w:pPr>
                    <w:pStyle w:val="36"/>
                    <w:jc w:val="both"/>
                    <w:rPr>
                      <w:color w:val="auto"/>
                      <w:highlight w:val="none"/>
                    </w:rPr>
                  </w:pPr>
                </w:p>
              </w:tc>
              <w:tc>
                <w:tcPr>
                  <w:tcW w:w="637"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工艺</w:t>
                  </w:r>
                </w:p>
              </w:tc>
              <w:tc>
                <w:tcPr>
                  <w:tcW w:w="863"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处置量</w:t>
                  </w:r>
                </w:p>
                <w:p>
                  <w:pPr>
                    <w:pStyle w:val="36"/>
                    <w:jc w:val="both"/>
                    <w:rPr>
                      <w:color w:val="auto"/>
                      <w:highlight w:val="none"/>
                    </w:rPr>
                  </w:pPr>
                  <w:r>
                    <w:rPr>
                      <w:rFonts w:hint="eastAsia"/>
                      <w:color w:val="auto"/>
                      <w:highlight w:val="none"/>
                    </w:rPr>
                    <w:t>(</w:t>
                  </w:r>
                  <w:r>
                    <w:rPr>
                      <w:color w:val="auto"/>
                      <w:highlight w:val="none"/>
                    </w:rPr>
                    <w:t>t/a</w:t>
                  </w:r>
                  <w:r>
                    <w:rPr>
                      <w:rFonts w:hint="eastAsia"/>
                      <w:color w:val="auto"/>
                      <w:highlight w:val="none"/>
                    </w:rPr>
                    <w:t>)</w:t>
                  </w:r>
                </w:p>
              </w:tc>
              <w:tc>
                <w:tcPr>
                  <w:tcW w:w="2802" w:type="dxa"/>
                  <w:vMerge w:val="continue"/>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污水处理</w:t>
                  </w:r>
                </w:p>
              </w:tc>
              <w:tc>
                <w:tcPr>
                  <w:tcW w:w="665"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污泥</w:t>
                  </w:r>
                </w:p>
              </w:tc>
              <w:tc>
                <w:tcPr>
                  <w:tcW w:w="705" w:type="dxa"/>
                  <w:vMerge w:val="restart"/>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一般工业固废</w:t>
                  </w:r>
                </w:p>
              </w:tc>
              <w:tc>
                <w:tcPr>
                  <w:tcW w:w="1140" w:type="dxa"/>
                  <w:tcBorders>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900-999-61</w:t>
                  </w:r>
                </w:p>
              </w:tc>
              <w:tc>
                <w:tcPr>
                  <w:tcW w:w="645"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类比</w:t>
                  </w:r>
                </w:p>
              </w:tc>
              <w:tc>
                <w:tcPr>
                  <w:tcW w:w="708"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63（绝干）</w:t>
                  </w:r>
                </w:p>
              </w:tc>
              <w:tc>
                <w:tcPr>
                  <w:tcW w:w="637"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委托处置</w:t>
                  </w:r>
                </w:p>
              </w:tc>
              <w:tc>
                <w:tcPr>
                  <w:tcW w:w="863"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lang w:eastAsia="zh"/>
                    </w:rPr>
                  </w:pPr>
                  <w:r>
                    <w:rPr>
                      <w:rFonts w:hint="eastAsia"/>
                      <w:color w:val="auto"/>
                      <w:highlight w:val="none"/>
                    </w:rPr>
                    <w:t>63（绝干）</w:t>
                  </w:r>
                </w:p>
              </w:tc>
              <w:tc>
                <w:tcPr>
                  <w:tcW w:w="2802" w:type="dxa"/>
                  <w:tcBorders>
                    <w:left w:val="single" w:color="auto" w:sz="4" w:space="0"/>
                    <w:right w:val="single" w:color="auto" w:sz="4" w:space="0"/>
                  </w:tcBorders>
                  <w:vAlign w:val="center"/>
                </w:tcPr>
                <w:p>
                  <w:pPr>
                    <w:pStyle w:val="36"/>
                    <w:jc w:val="both"/>
                    <w:rPr>
                      <w:rFonts w:hint="eastAsia" w:eastAsia="宋体"/>
                      <w:color w:val="auto"/>
                      <w:highlight w:val="none"/>
                      <w:lang w:eastAsia="zh"/>
                    </w:rPr>
                  </w:pPr>
                  <w:r>
                    <w:rPr>
                      <w:rFonts w:hint="eastAsia"/>
                      <w:color w:val="auto"/>
                      <w:highlight w:val="none"/>
                      <w:lang w:eastAsia="zh"/>
                    </w:rPr>
                    <w:t>配套1处污泥处理间及固废暂存间，产生污泥经脱水后定期清运，委托有污泥处置能力的单位外运处理。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dxa"/>
                  <w:vMerge w:val="continue"/>
                  <w:tcBorders>
                    <w:left w:val="single" w:color="auto" w:sz="4" w:space="0"/>
                    <w:right w:val="single" w:color="auto" w:sz="4" w:space="0"/>
                  </w:tcBorders>
                  <w:vAlign w:val="center"/>
                </w:tcPr>
                <w:p>
                  <w:pPr>
                    <w:pStyle w:val="36"/>
                    <w:jc w:val="both"/>
                    <w:rPr>
                      <w:color w:val="auto"/>
                      <w:highlight w:val="none"/>
                    </w:rPr>
                  </w:pPr>
                </w:p>
              </w:tc>
              <w:tc>
                <w:tcPr>
                  <w:tcW w:w="665" w:type="dxa"/>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废活性炭</w:t>
                  </w:r>
                </w:p>
              </w:tc>
              <w:tc>
                <w:tcPr>
                  <w:tcW w:w="705" w:type="dxa"/>
                  <w:vMerge w:val="continue"/>
                  <w:tcBorders>
                    <w:left w:val="single" w:color="auto" w:sz="4" w:space="0"/>
                    <w:right w:val="single" w:color="auto" w:sz="4" w:space="0"/>
                  </w:tcBorders>
                  <w:vAlign w:val="center"/>
                </w:tcPr>
                <w:p>
                  <w:pPr>
                    <w:pStyle w:val="36"/>
                    <w:jc w:val="both"/>
                    <w:rPr>
                      <w:color w:val="auto"/>
                      <w:highlight w:val="none"/>
                    </w:rPr>
                  </w:pPr>
                </w:p>
              </w:tc>
              <w:tc>
                <w:tcPr>
                  <w:tcW w:w="1140" w:type="dxa"/>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900-999-99</w:t>
                  </w:r>
                </w:p>
              </w:tc>
              <w:tc>
                <w:tcPr>
                  <w:tcW w:w="645" w:type="dxa"/>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类比</w:t>
                  </w:r>
                </w:p>
              </w:tc>
              <w:tc>
                <w:tcPr>
                  <w:tcW w:w="708" w:type="dxa"/>
                  <w:tcBorders>
                    <w:top w:val="single" w:color="auto" w:sz="4" w:space="0"/>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276</w:t>
                  </w:r>
                </w:p>
              </w:tc>
              <w:tc>
                <w:tcPr>
                  <w:tcW w:w="637" w:type="dxa"/>
                  <w:tcBorders>
                    <w:top w:val="single" w:color="auto" w:sz="4" w:space="0"/>
                    <w:left w:val="single" w:color="auto" w:sz="4" w:space="0"/>
                    <w:right w:val="single" w:color="auto" w:sz="4" w:space="0"/>
                  </w:tcBorders>
                  <w:vAlign w:val="center"/>
                </w:tcPr>
                <w:p>
                  <w:pPr>
                    <w:pStyle w:val="36"/>
                    <w:jc w:val="both"/>
                    <w:rPr>
                      <w:color w:val="auto"/>
                      <w:highlight w:val="none"/>
                    </w:rPr>
                  </w:pPr>
                  <w:r>
                    <w:rPr>
                      <w:color w:val="auto"/>
                      <w:highlight w:val="none"/>
                    </w:rPr>
                    <w:t>委托处置</w:t>
                  </w:r>
                </w:p>
              </w:tc>
              <w:tc>
                <w:tcPr>
                  <w:tcW w:w="863" w:type="dxa"/>
                  <w:tcBorders>
                    <w:top w:val="single" w:color="auto" w:sz="4" w:space="0"/>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276</w:t>
                  </w:r>
                </w:p>
              </w:tc>
              <w:tc>
                <w:tcPr>
                  <w:tcW w:w="2802" w:type="dxa"/>
                  <w:tcBorders>
                    <w:left w:val="single" w:color="auto" w:sz="4" w:space="0"/>
                    <w:right w:val="single" w:color="auto" w:sz="4" w:space="0"/>
                  </w:tcBorders>
                  <w:vAlign w:val="center"/>
                </w:tcPr>
                <w:p>
                  <w:pPr>
                    <w:pStyle w:val="36"/>
                    <w:jc w:val="both"/>
                    <w:rPr>
                      <w:color w:val="auto"/>
                      <w:highlight w:val="none"/>
                    </w:rPr>
                  </w:pPr>
                  <w:r>
                    <w:rPr>
                      <w:rFonts w:hint="eastAsia"/>
                      <w:color w:val="auto"/>
                      <w:highlight w:val="none"/>
                    </w:rPr>
                    <w:t>原料提供商更换后直接回收，活性炭过滤设备</w:t>
                  </w:r>
                  <w:r>
                    <w:rPr>
                      <w:rFonts w:hint="eastAsia"/>
                      <w:color w:val="auto"/>
                      <w:highlight w:val="none"/>
                      <w:lang w:val="en-US" w:eastAsia="zh-CN"/>
                    </w:rPr>
                    <w:t>有备用设备</w:t>
                  </w:r>
                  <w:r>
                    <w:rPr>
                      <w:rFonts w:hint="eastAsia"/>
                      <w:color w:val="auto"/>
                      <w:highlight w:val="none"/>
                    </w:rPr>
                    <w:t>，可及时更换回收不在场内暂存</w:t>
                  </w:r>
                </w:p>
              </w:tc>
            </w:tr>
          </w:tbl>
          <w:p>
            <w:pPr>
              <w:pStyle w:val="8"/>
              <w:rPr>
                <w:color w:val="auto"/>
                <w:highlight w:val="none"/>
              </w:rPr>
            </w:pPr>
          </w:p>
          <w:p>
            <w:pPr>
              <w:pStyle w:val="8"/>
              <w:ind w:firstLine="482"/>
              <w:rPr>
                <w:b/>
                <w:bCs/>
                <w:color w:val="auto"/>
                <w:highlight w:val="none"/>
                <w:u w:val="single"/>
              </w:rPr>
            </w:pPr>
            <w:r>
              <w:rPr>
                <w:b/>
                <w:bCs/>
                <w:color w:val="auto"/>
                <w:highlight w:val="none"/>
                <w:u w:val="single"/>
              </w:rPr>
              <w:t>（4）固废贮存、转移、处理处置要求</w:t>
            </w:r>
          </w:p>
          <w:p>
            <w:pPr>
              <w:pStyle w:val="8"/>
              <w:rPr>
                <w:color w:val="auto"/>
                <w:highlight w:val="none"/>
                <w:u w:val="single"/>
              </w:rPr>
            </w:pPr>
            <w:r>
              <w:rPr>
                <w:color w:val="auto"/>
                <w:highlight w:val="none"/>
                <w:u w:val="single"/>
              </w:rPr>
              <w:t>项目收集废水相对清洁，年产生的污泥量较少，</w:t>
            </w:r>
            <w:r>
              <w:rPr>
                <w:rFonts w:hint="eastAsia"/>
                <w:color w:val="auto"/>
                <w:highlight w:val="none"/>
                <w:u w:val="single"/>
                <w:lang w:eastAsia="zh"/>
              </w:rPr>
              <w:t>配套1处污泥处理间及固废暂存间，产生污泥经脱水后定期清运，委托有污泥处置能力的单位外运处理。</w:t>
            </w:r>
            <w:r>
              <w:rPr>
                <w:color w:val="auto"/>
                <w:highlight w:val="none"/>
                <w:u w:val="single"/>
              </w:rPr>
              <w:t>废活性炭主要作为风险应急措施，由原料提供商更换后直接回收，活性炭过滤设备</w:t>
            </w:r>
            <w:r>
              <w:rPr>
                <w:rFonts w:hint="eastAsia"/>
                <w:color w:val="auto"/>
                <w:highlight w:val="none"/>
                <w:u w:val="single"/>
                <w:lang w:val="en-US" w:eastAsia="zh-CN"/>
              </w:rPr>
              <w:t>有备用</w:t>
            </w:r>
            <w:r>
              <w:rPr>
                <w:color w:val="auto"/>
                <w:highlight w:val="none"/>
                <w:u w:val="single"/>
              </w:rPr>
              <w:t>，可及时更换回收不在场内暂存。</w:t>
            </w:r>
          </w:p>
          <w:p>
            <w:pPr>
              <w:pStyle w:val="8"/>
              <w:rPr>
                <w:color w:val="auto"/>
                <w:highlight w:val="none"/>
              </w:rPr>
            </w:pPr>
            <w:r>
              <w:rPr>
                <w:color w:val="auto"/>
                <w:highlight w:val="none"/>
                <w:u w:val="single"/>
              </w:rPr>
              <w:t>本项目应按照《中华人民共和国固体废物污染环境防治法》（2020年4月29日修订版），建立健全工业固体废物产生、收集、贮存、运输、利用、处置全过程的污染环境防治责任制度</w:t>
            </w:r>
            <w:r>
              <w:rPr>
                <w:rFonts w:hint="eastAsia"/>
                <w:color w:val="auto"/>
                <w:highlight w:val="none"/>
                <w:u w:val="single"/>
              </w:rPr>
              <w:t>，在</w:t>
            </w:r>
            <w:r>
              <w:rPr>
                <w:color w:val="auto"/>
                <w:highlight w:val="none"/>
                <w:u w:val="single"/>
              </w:rPr>
              <w:t>转移过程建立工业固体废物管理台账，如实记录产生工业固体废物的种类、数量、流向、贮存、利用、处置等信息，实现工业固体废物可追溯、可查询。</w:t>
            </w:r>
            <w:r>
              <w:rPr>
                <w:rFonts w:hint="eastAsia"/>
                <w:color w:val="auto"/>
                <w:highlight w:val="none"/>
                <w:u w:val="single"/>
                <w:lang w:eastAsia="zh"/>
              </w:rPr>
              <w:t>配套污泥处理间及固废暂存间，产生污泥经脱水后定期清运，委托有污泥处置能力的单位外运处理。</w:t>
            </w:r>
            <w:r>
              <w:rPr>
                <w:color w:val="auto"/>
                <w:highlight w:val="none"/>
                <w:u w:val="single"/>
              </w:rPr>
              <w:t>污水脱水间</w:t>
            </w:r>
            <w:r>
              <w:rPr>
                <w:rFonts w:hint="eastAsia"/>
                <w:color w:val="auto"/>
                <w:highlight w:val="none"/>
                <w:u w:val="single"/>
                <w:lang w:eastAsia="zh"/>
              </w:rPr>
              <w:t>、固废暂存间</w:t>
            </w:r>
            <w:r>
              <w:rPr>
                <w:color w:val="auto"/>
                <w:highlight w:val="none"/>
                <w:u w:val="single"/>
              </w:rPr>
              <w:t>应按照固废暂存区域管理要求，落实“防风、防雨、防渗、防流失”等措施要求，并填报转移联单、做好信息台账管理，运输车辆应密闭、整洁，具备防渗漏、防遗撒装置，确保不污染道路和环境。废活性炭应根据实际运行情况，及时更换、回收，若原料提供商无法及时回收，</w:t>
            </w:r>
            <w:r>
              <w:rPr>
                <w:rFonts w:hint="eastAsia"/>
                <w:color w:val="auto"/>
                <w:highlight w:val="none"/>
                <w:u w:val="single"/>
                <w:lang w:eastAsia="zh"/>
              </w:rPr>
              <w:t>应及时转运至固废暂存间内</w:t>
            </w:r>
            <w:r>
              <w:rPr>
                <w:color w:val="auto"/>
                <w:highlight w:val="none"/>
                <w:u w:val="single"/>
              </w:rPr>
              <w:t>，并填报转移联单、做好信息台账管理。</w:t>
            </w:r>
          </w:p>
          <w:p>
            <w:pPr>
              <w:pStyle w:val="8"/>
              <w:rPr>
                <w:color w:val="auto"/>
                <w:highlight w:val="none"/>
              </w:rPr>
            </w:pPr>
            <w:r>
              <w:rPr>
                <w:color w:val="auto"/>
                <w:highlight w:val="none"/>
              </w:rPr>
              <w:t>综上所述，在加强管理，并在落实好各项污染防治措施和固体废物安全处置措施的前提下，</w:t>
            </w:r>
            <w:r>
              <w:rPr>
                <w:rFonts w:hint="eastAsia"/>
                <w:color w:val="auto"/>
                <w:highlight w:val="none"/>
              </w:rPr>
              <w:t>本项目</w:t>
            </w:r>
            <w:r>
              <w:rPr>
                <w:color w:val="auto"/>
                <w:highlight w:val="none"/>
              </w:rPr>
              <w:t>产生的固体废物对周围环境的影响较小。</w:t>
            </w:r>
          </w:p>
          <w:p>
            <w:pPr>
              <w:pStyle w:val="4"/>
              <w:rPr>
                <w:color w:val="auto"/>
                <w:highlight w:val="none"/>
              </w:rPr>
            </w:pPr>
            <w:r>
              <w:rPr>
                <w:color w:val="auto"/>
                <w:highlight w:val="none"/>
              </w:rPr>
              <w:t>4.</w:t>
            </w:r>
            <w:r>
              <w:rPr>
                <w:rFonts w:hint="eastAsia"/>
                <w:color w:val="auto"/>
                <w:highlight w:val="none"/>
              </w:rPr>
              <w:t>2.5</w:t>
            </w:r>
            <w:r>
              <w:rPr>
                <w:color w:val="auto"/>
                <w:highlight w:val="none"/>
              </w:rPr>
              <w:t>地下水、土壤</w:t>
            </w:r>
            <w:r>
              <w:rPr>
                <w:rFonts w:hint="eastAsia"/>
                <w:color w:val="auto"/>
                <w:highlight w:val="none"/>
              </w:rPr>
              <w:t>环境影响分析和</w:t>
            </w:r>
            <w:r>
              <w:rPr>
                <w:color w:val="auto"/>
                <w:highlight w:val="none"/>
              </w:rPr>
              <w:t>保护措施</w:t>
            </w:r>
          </w:p>
          <w:p>
            <w:pPr>
              <w:pStyle w:val="8"/>
              <w:rPr>
                <w:color w:val="auto"/>
                <w:highlight w:val="none"/>
              </w:rPr>
            </w:pPr>
            <w:r>
              <w:rPr>
                <w:color w:val="auto"/>
                <w:highlight w:val="none"/>
              </w:rPr>
              <w:t>项目</w:t>
            </w:r>
            <w:r>
              <w:rPr>
                <w:rFonts w:hint="eastAsia"/>
                <w:color w:val="auto"/>
                <w:highlight w:val="none"/>
              </w:rPr>
              <w:t>非放射性生产废水</w:t>
            </w:r>
            <w:r>
              <w:rPr>
                <w:color w:val="auto"/>
                <w:highlight w:val="none"/>
              </w:rPr>
              <w:t>经管网收集后</w:t>
            </w:r>
            <w:r>
              <w:rPr>
                <w:rFonts w:hint="eastAsia"/>
                <w:color w:val="auto"/>
                <w:highlight w:val="none"/>
              </w:rPr>
              <w:t>，</w:t>
            </w:r>
            <w:r>
              <w:rPr>
                <w:color w:val="auto"/>
                <w:highlight w:val="none"/>
              </w:rPr>
              <w:t>汇合进入</w:t>
            </w:r>
            <w:r>
              <w:rPr>
                <w:rFonts w:hint="eastAsia"/>
                <w:color w:val="auto"/>
                <w:highlight w:val="none"/>
              </w:rPr>
              <w:t>非放射性废水处理站，</w:t>
            </w:r>
            <w:r>
              <w:rPr>
                <w:color w:val="auto"/>
                <w:highlight w:val="none"/>
              </w:rPr>
              <w:t>处理达到</w:t>
            </w:r>
            <w:r>
              <w:rPr>
                <w:rFonts w:hint="eastAsia"/>
                <w:color w:val="auto"/>
                <w:highlight w:val="none"/>
              </w:rPr>
              <w:t>《污水综合排放标准》（GB 8978-1996）表4中一级标准</w:t>
            </w:r>
            <w:r>
              <w:rPr>
                <w:color w:val="auto"/>
                <w:highlight w:val="none"/>
              </w:rPr>
              <w:t>后通过现有</w:t>
            </w:r>
            <w:r>
              <w:rPr>
                <w:rFonts w:hint="eastAsia"/>
                <w:color w:val="auto"/>
                <w:highlight w:val="none"/>
              </w:rPr>
              <w:t>排污虹吸井（总排放渠混合井CC），经排水明渠排入兴化湾。非放射性废水处理站各处理水池为地上一层混凝土框架结构（局部二层），地下防水采用防水混凝土+防水卷材铺设，发生渗漏的概率非常低。</w:t>
            </w:r>
            <w:r>
              <w:rPr>
                <w:color w:val="auto"/>
                <w:highlight w:val="none"/>
              </w:rPr>
              <w:t>污泥</w:t>
            </w:r>
            <w:r>
              <w:rPr>
                <w:rFonts w:hint="eastAsia"/>
                <w:color w:val="auto"/>
                <w:highlight w:val="none"/>
                <w:lang w:eastAsia="zh"/>
              </w:rPr>
              <w:t>堆存的固废暂存间</w:t>
            </w:r>
            <w:r>
              <w:rPr>
                <w:rFonts w:hint="eastAsia"/>
                <w:color w:val="auto"/>
                <w:highlight w:val="none"/>
              </w:rPr>
              <w:t>周边采取“防风、防雨、防渗、防流失”等措施，定期</w:t>
            </w:r>
            <w:r>
              <w:rPr>
                <w:color w:val="auto"/>
                <w:highlight w:val="none"/>
              </w:rPr>
              <w:t>清理</w:t>
            </w:r>
            <w:r>
              <w:rPr>
                <w:rFonts w:hint="eastAsia"/>
                <w:color w:val="auto"/>
                <w:highlight w:val="none"/>
              </w:rPr>
              <w:t>、</w:t>
            </w:r>
            <w:r>
              <w:rPr>
                <w:color w:val="auto"/>
                <w:highlight w:val="none"/>
              </w:rPr>
              <w:t>外运</w:t>
            </w:r>
            <w:r>
              <w:rPr>
                <w:rFonts w:hint="eastAsia"/>
                <w:color w:val="auto"/>
                <w:highlight w:val="none"/>
              </w:rPr>
              <w:t>，</w:t>
            </w:r>
            <w:r>
              <w:rPr>
                <w:color w:val="auto"/>
                <w:highlight w:val="none"/>
              </w:rPr>
              <w:t>委托有污泥处置能力的单位处理</w:t>
            </w:r>
            <w:r>
              <w:rPr>
                <w:rFonts w:hint="eastAsia"/>
                <w:color w:val="auto"/>
                <w:highlight w:val="none"/>
              </w:rPr>
              <w:t>。</w:t>
            </w:r>
            <w:r>
              <w:rPr>
                <w:color w:val="auto"/>
                <w:highlight w:val="none"/>
              </w:rPr>
              <w:t>本项目的废水和固废</w:t>
            </w:r>
            <w:r>
              <w:rPr>
                <w:rFonts w:hint="eastAsia"/>
                <w:color w:val="auto"/>
                <w:highlight w:val="none"/>
              </w:rPr>
              <w:t>基本不会</w:t>
            </w:r>
            <w:r>
              <w:rPr>
                <w:color w:val="auto"/>
                <w:highlight w:val="none"/>
              </w:rPr>
              <w:t>对土壤环境及地下水环境产生影响。</w:t>
            </w:r>
          </w:p>
          <w:p>
            <w:pPr>
              <w:pStyle w:val="8"/>
              <w:rPr>
                <w:color w:val="auto"/>
                <w:highlight w:val="none"/>
              </w:rPr>
            </w:pPr>
            <w:r>
              <w:rPr>
                <w:rFonts w:hint="eastAsia"/>
                <w:color w:val="auto"/>
                <w:highlight w:val="none"/>
              </w:rPr>
              <w:t>为进一步预防项目对地下水、土壤环境产生影响，本项目在运营过程中，还应落实以下措施：</w:t>
            </w:r>
          </w:p>
          <w:p>
            <w:pPr>
              <w:pStyle w:val="8"/>
              <w:rPr>
                <w:color w:val="auto"/>
                <w:highlight w:val="none"/>
                <w:u w:val="single"/>
              </w:rPr>
            </w:pPr>
            <w:r>
              <w:rPr>
                <w:rFonts w:hint="eastAsia"/>
                <w:color w:val="auto"/>
                <w:highlight w:val="none"/>
                <w:u w:val="single"/>
              </w:rPr>
              <w:t>（1）根据《环境影响评价技术导则 地下水环境》（HJ 610-2016），本项目不涉及重金属、持久性污染物，主要为COD、氨氮、总磷等常规污染物，池体渗漏后难以控制，根据生产设施分区情况提出地下水防渗分区要求如下：</w:t>
            </w:r>
          </w:p>
          <w:p>
            <w:pPr>
              <w:pStyle w:val="5"/>
              <w:keepNext/>
              <w:ind w:firstLine="402" w:firstLineChars="200"/>
              <w:jc w:val="center"/>
              <w:rPr>
                <w:color w:val="auto"/>
                <w:highlight w:val="none"/>
              </w:rPr>
            </w:pPr>
            <w:r>
              <w:rPr>
                <w:rFonts w:hint="eastAsia"/>
                <w:color w:val="auto"/>
                <w:highlight w:val="none"/>
              </w:rPr>
              <w:t>表4-12项目地下水污染防渗分区一览表</w:t>
            </w:r>
          </w:p>
          <w:tbl>
            <w:tblPr>
              <w:tblStyle w:val="18"/>
              <w:tblW w:w="8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9"/>
              <w:gridCol w:w="1337"/>
              <w:gridCol w:w="1227"/>
              <w:gridCol w:w="1053"/>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29" w:type="dxa"/>
                  <w:vAlign w:val="center"/>
                </w:tcPr>
                <w:p>
                  <w:pPr>
                    <w:rPr>
                      <w:rFonts w:ascii="宋体" w:hAnsi="宋体" w:cs="宋体"/>
                      <w:color w:val="auto"/>
                      <w:szCs w:val="21"/>
                      <w:highlight w:val="none"/>
                    </w:rPr>
                  </w:pPr>
                  <w:r>
                    <w:rPr>
                      <w:rFonts w:hint="eastAsia"/>
                      <w:color w:val="auto"/>
                      <w:highlight w:val="none"/>
                    </w:rPr>
                    <w:t>场地名称</w:t>
                  </w:r>
                </w:p>
              </w:tc>
              <w:tc>
                <w:tcPr>
                  <w:tcW w:w="1337" w:type="dxa"/>
                  <w:vAlign w:val="center"/>
                </w:tcPr>
                <w:p>
                  <w:pPr>
                    <w:rPr>
                      <w:color w:val="auto"/>
                      <w:highlight w:val="none"/>
                    </w:rPr>
                  </w:pPr>
                  <w:r>
                    <w:rPr>
                      <w:rFonts w:hint="eastAsia"/>
                      <w:color w:val="auto"/>
                      <w:highlight w:val="none"/>
                    </w:rPr>
                    <w:t>天然包气带</w:t>
                  </w:r>
                </w:p>
                <w:p>
                  <w:pPr>
                    <w:rPr>
                      <w:rFonts w:ascii="宋体" w:hAnsi="宋体" w:cs="宋体"/>
                      <w:color w:val="auto"/>
                      <w:szCs w:val="21"/>
                      <w:highlight w:val="none"/>
                    </w:rPr>
                  </w:pPr>
                  <w:r>
                    <w:rPr>
                      <w:rFonts w:hint="eastAsia"/>
                      <w:color w:val="auto"/>
                      <w:highlight w:val="none"/>
                    </w:rPr>
                    <w:t>防污性能</w:t>
                  </w:r>
                </w:p>
              </w:tc>
              <w:tc>
                <w:tcPr>
                  <w:tcW w:w="1227" w:type="dxa"/>
                  <w:vAlign w:val="center"/>
                </w:tcPr>
                <w:p>
                  <w:pPr>
                    <w:rPr>
                      <w:color w:val="auto"/>
                      <w:highlight w:val="none"/>
                    </w:rPr>
                  </w:pPr>
                  <w:r>
                    <w:rPr>
                      <w:rFonts w:hint="eastAsia"/>
                      <w:color w:val="auto"/>
                      <w:highlight w:val="none"/>
                    </w:rPr>
                    <w:t>污染控制</w:t>
                  </w:r>
                </w:p>
                <w:p>
                  <w:pPr>
                    <w:rPr>
                      <w:rFonts w:ascii="宋体" w:hAnsi="宋体" w:cs="宋体"/>
                      <w:color w:val="auto"/>
                      <w:szCs w:val="21"/>
                      <w:highlight w:val="none"/>
                    </w:rPr>
                  </w:pPr>
                  <w:r>
                    <w:rPr>
                      <w:rFonts w:hint="eastAsia"/>
                      <w:color w:val="auto"/>
                      <w:highlight w:val="none"/>
                    </w:rPr>
                    <w:t>难易程度</w:t>
                  </w:r>
                </w:p>
              </w:tc>
              <w:tc>
                <w:tcPr>
                  <w:tcW w:w="1053" w:type="dxa"/>
                  <w:vAlign w:val="center"/>
                </w:tcPr>
                <w:p>
                  <w:pPr>
                    <w:rPr>
                      <w:rFonts w:ascii="宋体" w:hAnsi="宋体" w:cs="宋体"/>
                      <w:color w:val="auto"/>
                      <w:szCs w:val="21"/>
                      <w:highlight w:val="none"/>
                    </w:rPr>
                  </w:pPr>
                  <w:r>
                    <w:rPr>
                      <w:rFonts w:hint="eastAsia"/>
                      <w:color w:val="auto"/>
                      <w:highlight w:val="none"/>
                    </w:rPr>
                    <w:t>污染物类型</w:t>
                  </w:r>
                </w:p>
              </w:tc>
              <w:tc>
                <w:tcPr>
                  <w:tcW w:w="1687" w:type="dxa"/>
                  <w:vAlign w:val="center"/>
                </w:tcPr>
                <w:p>
                  <w:pPr>
                    <w:rPr>
                      <w:color w:val="auto"/>
                      <w:highlight w:val="none"/>
                    </w:rPr>
                  </w:pPr>
                  <w:r>
                    <w:rPr>
                      <w:rFonts w:hint="eastAsia"/>
                      <w:color w:val="auto"/>
                      <w:highlight w:val="none"/>
                    </w:rPr>
                    <w:t>防渗分区</w:t>
                  </w:r>
                </w:p>
                <w:p>
                  <w:pPr>
                    <w:rPr>
                      <w:rFonts w:ascii="宋体" w:hAnsi="宋体" w:cs="宋体"/>
                      <w:color w:val="auto"/>
                      <w:szCs w:val="21"/>
                      <w:highlight w:val="none"/>
                    </w:rPr>
                  </w:pPr>
                  <w:r>
                    <w:rPr>
                      <w:rFonts w:hint="eastAsia"/>
                      <w:color w:val="auto"/>
                      <w:highlight w:val="none"/>
                    </w:rPr>
                    <w:t>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29"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调节池、中间水池、污泥池、清水池、深度处理间、污泥脱水间、</w:t>
                  </w:r>
                  <w:r>
                    <w:rPr>
                      <w:rFonts w:hint="eastAsia" w:ascii="宋体" w:hAnsi="宋体" w:cs="宋体"/>
                      <w:color w:val="auto"/>
                      <w:sz w:val="21"/>
                      <w:szCs w:val="21"/>
                      <w:highlight w:val="none"/>
                      <w:lang w:eastAsia="zh"/>
                    </w:rPr>
                    <w:t>固废暂存间、</w:t>
                  </w:r>
                  <w:r>
                    <w:rPr>
                      <w:rFonts w:hint="eastAsia" w:ascii="宋体" w:hAnsi="宋体" w:cs="宋体"/>
                      <w:color w:val="auto"/>
                      <w:sz w:val="21"/>
                      <w:szCs w:val="21"/>
                      <w:highlight w:val="none"/>
                    </w:rPr>
                    <w:t>工艺预处理区、药品储罐区、在线监测间、水泵间</w:t>
                  </w:r>
                </w:p>
              </w:tc>
              <w:tc>
                <w:tcPr>
                  <w:tcW w:w="1337"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中-强</w:t>
                  </w:r>
                </w:p>
              </w:tc>
              <w:tc>
                <w:tcPr>
                  <w:tcW w:w="1227"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难</w:t>
                  </w:r>
                </w:p>
              </w:tc>
              <w:tc>
                <w:tcPr>
                  <w:tcW w:w="1053" w:type="dxa"/>
                  <w:vAlign w:val="center"/>
                </w:tcPr>
                <w:p>
                  <w:pPr>
                    <w:pStyle w:val="8"/>
                    <w:spacing w:line="240" w:lineRule="auto"/>
                    <w:ind w:firstLine="0" w:firstLineChars="0"/>
                    <w:rPr>
                      <w:rFonts w:ascii="宋体" w:hAnsi="宋体" w:cs="宋体"/>
                      <w:color w:val="auto"/>
                      <w:sz w:val="21"/>
                      <w:szCs w:val="21"/>
                      <w:highlight w:val="none"/>
                    </w:rPr>
                  </w:pPr>
                  <w:r>
                    <w:rPr>
                      <w:rFonts w:hint="eastAsia"/>
                      <w:color w:val="auto"/>
                      <w:sz w:val="21"/>
                      <w:highlight w:val="none"/>
                    </w:rPr>
                    <w:t>其他类型</w:t>
                  </w:r>
                </w:p>
              </w:tc>
              <w:tc>
                <w:tcPr>
                  <w:tcW w:w="1687" w:type="dxa"/>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一般防渗区。等效黏土层厚</w:t>
                  </w:r>
                  <w:r>
                    <w:rPr>
                      <w:rFonts w:ascii="Arial" w:hAnsi="Arial" w:cs="Arial"/>
                      <w:color w:val="auto"/>
                      <w:sz w:val="21"/>
                      <w:szCs w:val="21"/>
                      <w:highlight w:val="none"/>
                    </w:rPr>
                    <w:t>≥</w:t>
                  </w:r>
                  <w:r>
                    <w:rPr>
                      <w:rFonts w:hint="eastAsia" w:ascii="宋体" w:hAnsi="宋体" w:cs="宋体"/>
                      <w:color w:val="auto"/>
                      <w:sz w:val="21"/>
                      <w:szCs w:val="21"/>
                      <w:highlight w:val="none"/>
                    </w:rPr>
                    <w:t>1.5m，K</w:t>
                  </w:r>
                  <w:r>
                    <w:rPr>
                      <w:rFonts w:hint="eastAsia" w:ascii="微软雅黑" w:hAnsi="微软雅黑" w:eastAsia="微软雅黑" w:cs="微软雅黑"/>
                      <w:color w:val="auto"/>
                      <w:sz w:val="21"/>
                      <w:szCs w:val="21"/>
                      <w:highlight w:val="none"/>
                    </w:rPr>
                    <w:t>≤</w:t>
                  </w:r>
                  <w:r>
                    <w:rPr>
                      <w:rFonts w:hint="eastAsia" w:ascii="宋体" w:hAnsi="宋体" w:cs="宋体"/>
                      <w:color w:val="auto"/>
                      <w:sz w:val="21"/>
                      <w:szCs w:val="21"/>
                      <w:highlight w:val="none"/>
                    </w:rPr>
                    <w:t>1×10—7cm/s；或参照GB16889执行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29"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加药间、配电间、控制室、物品间、办公辅助用房</w:t>
                  </w:r>
                </w:p>
              </w:tc>
              <w:tc>
                <w:tcPr>
                  <w:tcW w:w="1337"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中-强</w:t>
                  </w:r>
                </w:p>
              </w:tc>
              <w:tc>
                <w:tcPr>
                  <w:tcW w:w="1227" w:type="dxa"/>
                  <w:vAlign w:val="center"/>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易</w:t>
                  </w:r>
                </w:p>
              </w:tc>
              <w:tc>
                <w:tcPr>
                  <w:tcW w:w="1053" w:type="dxa"/>
                  <w:vAlign w:val="center"/>
                </w:tcPr>
                <w:p>
                  <w:pPr>
                    <w:pStyle w:val="8"/>
                    <w:spacing w:line="240" w:lineRule="auto"/>
                    <w:ind w:firstLine="0" w:firstLineChars="0"/>
                    <w:rPr>
                      <w:rFonts w:ascii="宋体" w:hAnsi="宋体" w:cs="宋体"/>
                      <w:color w:val="auto"/>
                      <w:sz w:val="21"/>
                      <w:szCs w:val="21"/>
                      <w:highlight w:val="none"/>
                    </w:rPr>
                  </w:pPr>
                  <w:r>
                    <w:rPr>
                      <w:rFonts w:hint="eastAsia"/>
                      <w:color w:val="auto"/>
                      <w:sz w:val="21"/>
                      <w:highlight w:val="none"/>
                    </w:rPr>
                    <w:t>其他类型</w:t>
                  </w:r>
                </w:p>
              </w:tc>
              <w:tc>
                <w:tcPr>
                  <w:tcW w:w="1687" w:type="dxa"/>
                </w:tcPr>
                <w:p>
                  <w:pPr>
                    <w:pStyle w:val="8"/>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简单防渗区，一般地面硬化</w:t>
                  </w:r>
                </w:p>
              </w:tc>
            </w:tr>
          </w:tbl>
          <w:p>
            <w:pPr>
              <w:pStyle w:val="8"/>
              <w:rPr>
                <w:color w:val="auto"/>
                <w:highlight w:val="none"/>
              </w:rPr>
            </w:pPr>
            <w:r>
              <w:rPr>
                <w:rFonts w:hint="eastAsia"/>
                <w:color w:val="auto"/>
                <w:highlight w:val="none"/>
              </w:rPr>
              <w:t>（2）废水处理站、污水管网定期检修，防止污废水可能跑、冒、滴、漏；</w:t>
            </w:r>
          </w:p>
          <w:p>
            <w:pPr>
              <w:pStyle w:val="8"/>
              <w:rPr>
                <w:color w:val="auto"/>
                <w:highlight w:val="none"/>
              </w:rPr>
            </w:pPr>
            <w:r>
              <w:rPr>
                <w:rFonts w:hint="eastAsia"/>
                <w:color w:val="auto"/>
                <w:highlight w:val="none"/>
              </w:rPr>
              <w:t>（3）固体废物严格按要求进行处理处置，严禁随意倾倒、丢弃，污泥堆存</w:t>
            </w:r>
            <w:r>
              <w:rPr>
                <w:rFonts w:hint="eastAsia"/>
                <w:color w:val="auto"/>
                <w:highlight w:val="none"/>
                <w:lang w:eastAsia="zh"/>
              </w:rPr>
              <w:t>的固废暂存间</w:t>
            </w:r>
            <w:r>
              <w:rPr>
                <w:rFonts w:hint="eastAsia"/>
                <w:color w:val="auto"/>
                <w:highlight w:val="none"/>
              </w:rPr>
              <w:t>周边采取“防风、防雨、防渗、防流失”等措施；</w:t>
            </w:r>
          </w:p>
          <w:p>
            <w:pPr>
              <w:pStyle w:val="8"/>
              <w:rPr>
                <w:color w:val="auto"/>
                <w:highlight w:val="none"/>
              </w:rPr>
            </w:pPr>
            <w:r>
              <w:rPr>
                <w:rFonts w:hint="eastAsia"/>
                <w:color w:val="auto"/>
                <w:highlight w:val="none"/>
              </w:rPr>
              <w:t>（4）加强生产管理，从源头减少废水、废气的产生和排放，以减少污染物排入。</w:t>
            </w:r>
          </w:p>
          <w:p>
            <w:pPr>
              <w:pStyle w:val="8"/>
              <w:rPr>
                <w:color w:val="auto"/>
                <w:highlight w:val="none"/>
                <w:u w:val="single"/>
              </w:rPr>
            </w:pPr>
            <w:r>
              <w:rPr>
                <w:rFonts w:hint="eastAsia"/>
                <w:color w:val="auto"/>
                <w:highlight w:val="none"/>
                <w:u w:val="single"/>
              </w:rPr>
              <w:t>（5）纳入现有全厂区突发环境事件应急预案更新，一旦发生环境污染事故立即启动应急预案、采取应急措施控制污染，并使污染得到治理。</w:t>
            </w:r>
          </w:p>
          <w:p>
            <w:pPr>
              <w:pStyle w:val="8"/>
              <w:rPr>
                <w:color w:val="auto"/>
                <w:highlight w:val="none"/>
              </w:rPr>
            </w:pPr>
            <w:r>
              <w:rPr>
                <w:rFonts w:hint="eastAsia"/>
                <w:color w:val="auto"/>
                <w:highlight w:val="none"/>
              </w:rPr>
              <w:t>经采取上述措施后，项目的实施不会对周边土壤、地下水环境造成明显影响。</w:t>
            </w:r>
          </w:p>
          <w:p>
            <w:pPr>
              <w:pStyle w:val="4"/>
              <w:rPr>
                <w:color w:val="auto"/>
                <w:highlight w:val="none"/>
              </w:rPr>
            </w:pPr>
            <w:r>
              <w:rPr>
                <w:color w:val="auto"/>
                <w:highlight w:val="none"/>
              </w:rPr>
              <w:t>4.</w:t>
            </w:r>
            <w:r>
              <w:rPr>
                <w:rFonts w:hint="eastAsia"/>
                <w:color w:val="auto"/>
                <w:highlight w:val="none"/>
              </w:rPr>
              <w:t>2.6</w:t>
            </w:r>
            <w:r>
              <w:rPr>
                <w:color w:val="auto"/>
                <w:highlight w:val="none"/>
              </w:rPr>
              <w:t>生态</w:t>
            </w:r>
            <w:r>
              <w:rPr>
                <w:rFonts w:hint="eastAsia"/>
                <w:color w:val="auto"/>
                <w:highlight w:val="none"/>
              </w:rPr>
              <w:t>环境影响分析和</w:t>
            </w:r>
            <w:r>
              <w:rPr>
                <w:color w:val="auto"/>
                <w:highlight w:val="none"/>
              </w:rPr>
              <w:t>保护措施</w:t>
            </w:r>
          </w:p>
          <w:p>
            <w:pPr>
              <w:pStyle w:val="8"/>
              <w:rPr>
                <w:bCs/>
                <w:color w:val="auto"/>
                <w:highlight w:val="none"/>
              </w:rPr>
            </w:pPr>
            <w:r>
              <w:rPr>
                <w:bCs/>
                <w:color w:val="auto"/>
                <w:highlight w:val="none"/>
              </w:rPr>
              <w:t>本项目在原厂区范围内</w:t>
            </w:r>
            <w:r>
              <w:rPr>
                <w:rFonts w:hint="eastAsia"/>
                <w:bCs/>
                <w:color w:val="auto"/>
                <w:highlight w:val="none"/>
              </w:rPr>
              <w:t>建设</w:t>
            </w:r>
            <w:r>
              <w:rPr>
                <w:bCs/>
                <w:color w:val="auto"/>
                <w:highlight w:val="none"/>
              </w:rPr>
              <w:t>，不新增用地，因此不开展生态环境影响分析。</w:t>
            </w:r>
          </w:p>
          <w:p>
            <w:pPr>
              <w:pStyle w:val="4"/>
              <w:rPr>
                <w:color w:val="auto"/>
                <w:highlight w:val="none"/>
              </w:rPr>
            </w:pPr>
            <w:r>
              <w:rPr>
                <w:rFonts w:hint="eastAsia"/>
                <w:color w:val="auto"/>
                <w:highlight w:val="none"/>
              </w:rPr>
              <w:t>4.2.7环境风险影响分析和保护措施</w:t>
            </w:r>
          </w:p>
          <w:p>
            <w:pPr>
              <w:pStyle w:val="8"/>
              <w:ind w:firstLine="482"/>
              <w:rPr>
                <w:b/>
                <w:bCs/>
                <w:color w:val="auto"/>
                <w:highlight w:val="none"/>
              </w:rPr>
            </w:pPr>
            <w:r>
              <w:rPr>
                <w:rFonts w:hint="eastAsia"/>
                <w:b/>
                <w:bCs/>
                <w:color w:val="auto"/>
                <w:highlight w:val="none"/>
              </w:rPr>
              <w:t>（1）环境风险识别及潜势判断</w:t>
            </w:r>
          </w:p>
          <w:p>
            <w:pPr>
              <w:pStyle w:val="8"/>
              <w:rPr>
                <w:color w:val="auto"/>
                <w:highlight w:val="none"/>
              </w:rPr>
            </w:pPr>
            <w:r>
              <w:rPr>
                <w:rFonts w:hint="eastAsia"/>
                <w:color w:val="auto"/>
                <w:highlight w:val="none"/>
              </w:rPr>
              <w:t>根据《建设项目环境风险评价技术导则》（HJ 169-2018），本项目危险物质判定及Q值见下表。</w:t>
            </w:r>
          </w:p>
          <w:p>
            <w:pPr>
              <w:pStyle w:val="5"/>
              <w:keepNext/>
              <w:ind w:firstLine="402" w:firstLineChars="200"/>
              <w:jc w:val="center"/>
              <w:rPr>
                <w:color w:val="auto"/>
                <w:highlight w:val="none"/>
              </w:rPr>
            </w:pPr>
            <w:r>
              <w:rPr>
                <w:rFonts w:hint="eastAsia"/>
                <w:color w:val="auto"/>
                <w:highlight w:val="none"/>
              </w:rPr>
              <w:t>表4-13本项目危险物质判定及Q值</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2115"/>
              <w:gridCol w:w="2044"/>
              <w:gridCol w:w="164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序号</w:t>
                  </w:r>
                </w:p>
              </w:tc>
              <w:tc>
                <w:tcPr>
                  <w:tcW w:w="247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危险物质名称</w:t>
                  </w:r>
                </w:p>
              </w:tc>
              <w:tc>
                <w:tcPr>
                  <w:tcW w:w="2493"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最大存储量（t）</w:t>
                  </w:r>
                </w:p>
              </w:tc>
              <w:tc>
                <w:tcPr>
                  <w:tcW w:w="1958"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临界量（t）</w:t>
                  </w:r>
                </w:p>
              </w:tc>
              <w:tc>
                <w:tcPr>
                  <w:tcW w:w="2005"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1</w:t>
                  </w:r>
                </w:p>
              </w:tc>
              <w:tc>
                <w:tcPr>
                  <w:tcW w:w="247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次氯酸钠</w:t>
                  </w:r>
                  <w:r>
                    <w:rPr>
                      <w:rFonts w:hint="eastAsia"/>
                      <w:color w:val="auto"/>
                      <w:highlight w:val="none"/>
                      <w:vertAlign w:val="superscript"/>
                    </w:rPr>
                    <w:t>①</w:t>
                  </w:r>
                </w:p>
              </w:tc>
              <w:tc>
                <w:tcPr>
                  <w:tcW w:w="2493"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2.525</w:t>
                  </w:r>
                </w:p>
              </w:tc>
              <w:tc>
                <w:tcPr>
                  <w:tcW w:w="1958"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color w:val="auto"/>
                      <w:highlight w:val="none"/>
                    </w:rPr>
                    <w:t>5</w:t>
                  </w:r>
                </w:p>
              </w:tc>
              <w:tc>
                <w:tcPr>
                  <w:tcW w:w="2005"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2</w:t>
                  </w:r>
                </w:p>
              </w:tc>
              <w:tc>
                <w:tcPr>
                  <w:tcW w:w="2479"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盐酸（37%）</w:t>
                  </w:r>
                  <w:r>
                    <w:rPr>
                      <w:rFonts w:hint="eastAsia"/>
                      <w:color w:val="auto"/>
                      <w:highlight w:val="none"/>
                      <w:vertAlign w:val="superscript"/>
                    </w:rPr>
                    <w:t>②</w:t>
                  </w:r>
                </w:p>
              </w:tc>
              <w:tc>
                <w:tcPr>
                  <w:tcW w:w="2493"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2.89</w:t>
                  </w:r>
                </w:p>
              </w:tc>
              <w:tc>
                <w:tcPr>
                  <w:tcW w:w="1958"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7.5</w:t>
                  </w:r>
                </w:p>
              </w:tc>
              <w:tc>
                <w:tcPr>
                  <w:tcW w:w="2005" w:type="dxa"/>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64" w:type="dxa"/>
                  <w:gridSpan w:val="5"/>
                  <w:tcBorders>
                    <w:top w:val="single" w:color="auto" w:sz="4" w:space="0"/>
                    <w:left w:val="single" w:color="auto" w:sz="4" w:space="0"/>
                    <w:bottom w:val="single" w:color="auto" w:sz="4" w:space="0"/>
                    <w:right w:val="single" w:color="auto" w:sz="4" w:space="0"/>
                  </w:tcBorders>
                  <w:vAlign w:val="center"/>
                </w:tcPr>
                <w:p>
                  <w:pPr>
                    <w:pStyle w:val="36"/>
                    <w:jc w:val="both"/>
                    <w:rPr>
                      <w:color w:val="auto"/>
                      <w:highlight w:val="none"/>
                    </w:rPr>
                  </w:pPr>
                  <w:r>
                    <w:rPr>
                      <w:rFonts w:hint="eastAsia"/>
                      <w:color w:val="auto"/>
                      <w:highlight w:val="none"/>
                    </w:rPr>
                    <w:t>注：①设置2套5%次氯酸钠储罐，每套有效容积25m</w:t>
                  </w:r>
                  <w:r>
                    <w:rPr>
                      <w:rFonts w:hint="eastAsia"/>
                      <w:color w:val="auto"/>
                      <w:highlight w:val="none"/>
                      <w:vertAlign w:val="superscript"/>
                    </w:rPr>
                    <w:t>3</w:t>
                  </w:r>
                  <w:r>
                    <w:rPr>
                      <w:rFonts w:hint="eastAsia"/>
                      <w:color w:val="auto"/>
                      <w:highlight w:val="none"/>
                    </w:rPr>
                    <w:t>，折算为次氯酸钠的贮存量为2.525t。</w:t>
                  </w:r>
                </w:p>
                <w:p>
                  <w:pPr>
                    <w:pStyle w:val="36"/>
                    <w:ind w:firstLine="420" w:firstLineChars="200"/>
                    <w:jc w:val="both"/>
                    <w:rPr>
                      <w:color w:val="auto"/>
                      <w:highlight w:val="none"/>
                    </w:rPr>
                  </w:pPr>
                  <w:r>
                    <w:rPr>
                      <w:rFonts w:hint="eastAsia"/>
                      <w:color w:val="auto"/>
                      <w:highlight w:val="none"/>
                    </w:rPr>
                    <w:t>②设置1套31%盐酸储罐，有效容积3m</w:t>
                  </w:r>
                  <w:r>
                    <w:rPr>
                      <w:rFonts w:hint="eastAsia"/>
                      <w:color w:val="auto"/>
                      <w:highlight w:val="none"/>
                      <w:vertAlign w:val="superscript"/>
                    </w:rPr>
                    <w:t>3</w:t>
                  </w:r>
                  <w:r>
                    <w:rPr>
                      <w:rFonts w:hint="eastAsia"/>
                      <w:color w:val="auto"/>
                      <w:highlight w:val="none"/>
                    </w:rPr>
                    <w:t>，折算为37%盐酸的贮存量为2.89t。</w:t>
                  </w:r>
                </w:p>
              </w:tc>
            </w:tr>
          </w:tbl>
          <w:p>
            <w:pPr>
              <w:pStyle w:val="8"/>
              <w:rPr>
                <w:color w:val="auto"/>
                <w:highlight w:val="none"/>
              </w:rPr>
            </w:pPr>
            <w:r>
              <w:rPr>
                <w:rFonts w:hint="eastAsia"/>
                <w:color w:val="auto"/>
                <w:highlight w:val="none"/>
              </w:rPr>
              <w:t>根据危险物质Q值判定表可知，危险物质数量与临界量的比值Q=0.505+0.385=0.89＜1，该项目环境风险潜势为Ⅰ，评价工作等级为简单分析。</w:t>
            </w:r>
          </w:p>
          <w:p>
            <w:pPr>
              <w:pStyle w:val="8"/>
              <w:ind w:firstLine="482"/>
              <w:rPr>
                <w:b/>
                <w:bCs/>
                <w:color w:val="auto"/>
                <w:highlight w:val="none"/>
              </w:rPr>
            </w:pPr>
            <w:r>
              <w:rPr>
                <w:rFonts w:hint="eastAsia"/>
                <w:b/>
                <w:bCs/>
                <w:color w:val="auto"/>
                <w:highlight w:val="none"/>
              </w:rPr>
              <w:t>（2）危险物质泄漏影响分析及防治措施</w:t>
            </w:r>
          </w:p>
          <w:p>
            <w:pPr>
              <w:pStyle w:val="8"/>
              <w:rPr>
                <w:color w:val="auto"/>
                <w:highlight w:val="none"/>
              </w:rPr>
            </w:pPr>
            <w:r>
              <w:rPr>
                <w:rFonts w:hint="eastAsia"/>
                <w:color w:val="auto"/>
                <w:highlight w:val="none"/>
              </w:rPr>
              <w:t>危险物质（5%次氯酸钠、31%盐酸）为罐装贮存，危险物质的主要环境风险事故为罐体泄漏，污染海域水体环境。</w:t>
            </w:r>
          </w:p>
          <w:p>
            <w:pPr>
              <w:pStyle w:val="8"/>
              <w:rPr>
                <w:color w:val="auto"/>
                <w:highlight w:val="none"/>
              </w:rPr>
            </w:pPr>
            <w:r>
              <w:rPr>
                <w:rFonts w:hint="eastAsia"/>
                <w:color w:val="auto"/>
                <w:highlight w:val="none"/>
              </w:rPr>
              <w:t>次氯酸钠储罐单独设有安全围堰，围堰有效容积51.6m</w:t>
            </w:r>
            <w:r>
              <w:rPr>
                <w:rFonts w:hint="eastAsia"/>
                <w:color w:val="auto"/>
                <w:highlight w:val="none"/>
                <w:vertAlign w:val="superscript"/>
              </w:rPr>
              <w:t>3</w:t>
            </w:r>
            <w:r>
              <w:rPr>
                <w:rFonts w:hint="eastAsia"/>
                <w:color w:val="auto"/>
                <w:highlight w:val="none"/>
              </w:rPr>
              <w:t>；盐酸储罐单独设有安全围堰，围堰有效容积11m</w:t>
            </w:r>
            <w:r>
              <w:rPr>
                <w:rFonts w:hint="eastAsia"/>
                <w:color w:val="auto"/>
                <w:highlight w:val="none"/>
                <w:vertAlign w:val="superscript"/>
              </w:rPr>
              <w:t>3</w:t>
            </w:r>
            <w:r>
              <w:rPr>
                <w:rFonts w:hint="eastAsia"/>
                <w:color w:val="auto"/>
                <w:highlight w:val="none"/>
              </w:rPr>
              <w:t>。一般情况下，单个储罐全部泄漏的情况下其罐区围堰设施依旧可以将其控制在围堰区域内，不会泄漏至围堰外，因此不会对环境造成风险。</w:t>
            </w:r>
          </w:p>
          <w:p>
            <w:pPr>
              <w:pStyle w:val="8"/>
              <w:ind w:firstLine="482"/>
              <w:rPr>
                <w:b/>
                <w:bCs/>
                <w:color w:val="auto"/>
                <w:highlight w:val="none"/>
              </w:rPr>
            </w:pPr>
            <w:r>
              <w:rPr>
                <w:rFonts w:hint="eastAsia"/>
                <w:b/>
                <w:bCs/>
                <w:color w:val="auto"/>
                <w:highlight w:val="none"/>
              </w:rPr>
              <w:t>（3）污水事故排放影响分析及防治措施</w:t>
            </w:r>
          </w:p>
          <w:p>
            <w:pPr>
              <w:pStyle w:val="8"/>
              <w:rPr>
                <w:color w:val="auto"/>
                <w:highlight w:val="none"/>
              </w:rPr>
            </w:pPr>
            <w:r>
              <w:rPr>
                <w:rFonts w:hint="eastAsia"/>
                <w:color w:val="auto"/>
                <w:highlight w:val="none"/>
              </w:rPr>
              <w:t>非放射性生产废水处理设施不能正常运行或出现突发事故时，会造成超标废水排放的事故风险。其主要情况有以下几种：1）操作处置不当，或进水水质、水量异常；2）突发停电；3）废水处理设施、设备故障；4）废水处理设施池体、废水管道破裂等。以上情况均可能导致废水处理设施出水不达标，对纳污水体带来一定的冲击影响。针对生产废水泄漏、事故排放风险，项目采取以下防范措施：</w:t>
            </w:r>
          </w:p>
          <w:p>
            <w:pPr>
              <w:pStyle w:val="8"/>
              <w:rPr>
                <w:color w:val="auto"/>
                <w:highlight w:val="none"/>
              </w:rPr>
            </w:pPr>
            <w:r>
              <w:rPr>
                <w:rFonts w:hint="eastAsia"/>
                <w:color w:val="auto"/>
                <w:highlight w:val="none"/>
              </w:rPr>
              <w:t>1）建立可靠的运行监控系统，包括计量、采样、监测、报警等设施，发生异常情况，及时调整运行参数，以控制和避免事故的发生。</w:t>
            </w:r>
          </w:p>
          <w:p>
            <w:pPr>
              <w:pStyle w:val="8"/>
              <w:rPr>
                <w:color w:val="auto"/>
                <w:highlight w:val="none"/>
              </w:rPr>
            </w:pPr>
            <w:r>
              <w:rPr>
                <w:rFonts w:hint="eastAsia"/>
                <w:color w:val="auto"/>
                <w:highlight w:val="none"/>
              </w:rPr>
              <w:t>2）加强设施的维护和管理，提高设备的完好率，关键设备要配备足够的备件，一旦事故发生能够及时处理。</w:t>
            </w:r>
          </w:p>
          <w:p>
            <w:pPr>
              <w:pStyle w:val="8"/>
              <w:rPr>
                <w:color w:val="auto"/>
                <w:highlight w:val="none"/>
              </w:rPr>
            </w:pPr>
            <w:r>
              <w:rPr>
                <w:rFonts w:hint="eastAsia"/>
                <w:color w:val="auto"/>
                <w:highlight w:val="none"/>
              </w:rPr>
              <w:t>3）记录进水水质水量变化引起污水处理设施的处理效果和尾水水质变化状况，尤其要记录事故时的工况，以便总结经验，杜绝事故的再次发生。</w:t>
            </w:r>
          </w:p>
          <w:p>
            <w:pPr>
              <w:pStyle w:val="8"/>
              <w:rPr>
                <w:color w:val="auto"/>
                <w:highlight w:val="none"/>
              </w:rPr>
            </w:pPr>
            <w:r>
              <w:rPr>
                <w:rFonts w:hint="eastAsia"/>
                <w:color w:val="auto"/>
                <w:highlight w:val="none"/>
              </w:rPr>
              <w:t>4）当出水超标，通过中间水泵出水管的超越管，将超标废水回流至调节池，排放口暂时停止排放废水，核查超标原因情况并采取相应措施。待故障排除后再处理达标后排放，将影响降至最低。</w:t>
            </w:r>
          </w:p>
          <w:p>
            <w:pPr>
              <w:pStyle w:val="8"/>
              <w:rPr>
                <w:color w:val="auto"/>
                <w:highlight w:val="none"/>
              </w:rPr>
            </w:pPr>
            <w:r>
              <w:rPr>
                <w:rFonts w:hint="eastAsia"/>
                <w:color w:val="auto"/>
                <w:highlight w:val="none"/>
              </w:rPr>
              <w:t>5）制订应急措施，明确事故发生时的应急、抢险操作。</w:t>
            </w:r>
          </w:p>
          <w:p>
            <w:pPr>
              <w:pStyle w:val="8"/>
              <w:ind w:firstLine="482"/>
              <w:rPr>
                <w:b/>
                <w:bCs/>
                <w:color w:val="auto"/>
                <w:highlight w:val="none"/>
              </w:rPr>
            </w:pPr>
            <w:r>
              <w:rPr>
                <w:rFonts w:hint="eastAsia"/>
                <w:b/>
                <w:bCs/>
                <w:color w:val="auto"/>
                <w:highlight w:val="none"/>
              </w:rPr>
              <w:t>（4）环境风险防范措施</w:t>
            </w:r>
          </w:p>
          <w:p>
            <w:pPr>
              <w:pStyle w:val="8"/>
              <w:rPr>
                <w:color w:val="auto"/>
                <w:highlight w:val="none"/>
              </w:rPr>
            </w:pPr>
            <w:r>
              <w:rPr>
                <w:rFonts w:hint="eastAsia"/>
                <w:color w:val="auto"/>
                <w:highlight w:val="none"/>
              </w:rPr>
              <w:t>1）建立完善风险管理制度，安排专门人员负责制度管理。</w:t>
            </w:r>
          </w:p>
          <w:p>
            <w:pPr>
              <w:pStyle w:val="8"/>
              <w:rPr>
                <w:color w:val="auto"/>
                <w:highlight w:val="none"/>
              </w:rPr>
            </w:pPr>
            <w:r>
              <w:rPr>
                <w:rFonts w:hint="eastAsia"/>
                <w:color w:val="auto"/>
                <w:highlight w:val="none"/>
              </w:rPr>
              <w:t>2）建立安全生产管理要求和相关操作规程；工作现场禁止吸烟、进食、饮水。</w:t>
            </w:r>
          </w:p>
          <w:p>
            <w:pPr>
              <w:pStyle w:val="8"/>
              <w:rPr>
                <w:color w:val="auto"/>
                <w:highlight w:val="none"/>
              </w:rPr>
            </w:pPr>
            <w:r>
              <w:rPr>
                <w:rFonts w:hint="eastAsia"/>
                <w:color w:val="auto"/>
                <w:highlight w:val="none"/>
              </w:rPr>
              <w:t>3）车间选用防腐、防水、防尘的电气设备，并设置防雷、防静电设施和接地保护，配备必要的个人防护用品。</w:t>
            </w:r>
          </w:p>
          <w:p>
            <w:pPr>
              <w:pStyle w:val="8"/>
              <w:rPr>
                <w:color w:val="auto"/>
                <w:highlight w:val="none"/>
              </w:rPr>
            </w:pPr>
            <w:r>
              <w:rPr>
                <w:rFonts w:hint="eastAsia"/>
                <w:color w:val="auto"/>
                <w:highlight w:val="none"/>
              </w:rPr>
              <w:t>4）生产区严禁烟火，厂区按要求布置消防设施，配备足够数量的灭火器材，尽可能及时控制险情。</w:t>
            </w:r>
          </w:p>
          <w:p>
            <w:pPr>
              <w:pStyle w:val="8"/>
              <w:ind w:firstLine="482"/>
              <w:rPr>
                <w:b/>
                <w:bCs/>
                <w:color w:val="auto"/>
                <w:highlight w:val="none"/>
              </w:rPr>
            </w:pPr>
            <w:r>
              <w:rPr>
                <w:rFonts w:hint="eastAsia"/>
                <w:b/>
                <w:bCs/>
                <w:color w:val="auto"/>
                <w:highlight w:val="none"/>
              </w:rPr>
              <w:t>（5）环境风险评价结论</w:t>
            </w:r>
          </w:p>
          <w:p>
            <w:pPr>
              <w:pStyle w:val="8"/>
              <w:rPr>
                <w:color w:val="auto"/>
                <w:highlight w:val="none"/>
                <w:u w:val="single"/>
              </w:rPr>
            </w:pPr>
            <w:r>
              <w:rPr>
                <w:rFonts w:hint="eastAsia"/>
                <w:color w:val="auto"/>
                <w:highlight w:val="none"/>
              </w:rPr>
              <w:t>综上所述，本项目环境风险评价工作等级为简单分析，环境风险事故影响较小，在建设单位严格落实环评提出的各项防范措施后，其环境风险可防可控，本项目风险水平可以接受。</w:t>
            </w:r>
          </w:p>
          <w:p>
            <w:pPr>
              <w:pStyle w:val="3"/>
              <w:jc w:val="both"/>
              <w:rPr>
                <w:color w:val="auto"/>
                <w:highlight w:val="none"/>
                <w:u w:val="single"/>
              </w:rPr>
            </w:pPr>
            <w:bookmarkStart w:id="36" w:name="_Toc14607"/>
            <w:bookmarkStart w:id="37" w:name="_Toc9737"/>
            <w:r>
              <w:rPr>
                <w:color w:val="auto"/>
                <w:highlight w:val="none"/>
                <w:u w:val="single"/>
              </w:rPr>
              <w:t>4.3</w:t>
            </w:r>
            <w:r>
              <w:rPr>
                <w:rFonts w:hint="eastAsia"/>
                <w:color w:val="auto"/>
                <w:highlight w:val="none"/>
                <w:u w:val="single"/>
              </w:rPr>
              <w:t>环境管理和监测计划</w:t>
            </w:r>
            <w:bookmarkEnd w:id="36"/>
            <w:bookmarkEnd w:id="37"/>
          </w:p>
          <w:p>
            <w:pPr>
              <w:pStyle w:val="4"/>
              <w:rPr>
                <w:color w:val="auto"/>
                <w:highlight w:val="none"/>
                <w:u w:val="single"/>
              </w:rPr>
            </w:pPr>
            <w:r>
              <w:rPr>
                <w:color w:val="auto"/>
                <w:highlight w:val="none"/>
                <w:u w:val="single"/>
              </w:rPr>
              <w:t>4.3.1</w:t>
            </w:r>
            <w:r>
              <w:rPr>
                <w:rFonts w:hint="eastAsia"/>
                <w:color w:val="auto"/>
                <w:highlight w:val="none"/>
                <w:u w:val="single"/>
              </w:rPr>
              <w:t>环境管理</w:t>
            </w:r>
          </w:p>
          <w:p>
            <w:pPr>
              <w:pStyle w:val="8"/>
              <w:ind w:firstLine="482"/>
              <w:rPr>
                <w:b/>
                <w:color w:val="auto"/>
                <w:highlight w:val="none"/>
                <w:u w:val="single"/>
              </w:rPr>
            </w:pPr>
            <w:r>
              <w:rPr>
                <w:rFonts w:hint="eastAsia"/>
                <w:b/>
                <w:color w:val="auto"/>
                <w:highlight w:val="none"/>
                <w:u w:val="single"/>
              </w:rPr>
              <w:t>（</w:t>
            </w:r>
            <w:r>
              <w:rPr>
                <w:b/>
                <w:color w:val="auto"/>
                <w:highlight w:val="none"/>
                <w:u w:val="single"/>
              </w:rPr>
              <w:t>1</w:t>
            </w:r>
            <w:r>
              <w:rPr>
                <w:rFonts w:hint="eastAsia"/>
                <w:b/>
                <w:color w:val="auto"/>
                <w:highlight w:val="none"/>
                <w:u w:val="single"/>
              </w:rPr>
              <w:t>）竣工环境保护验收</w:t>
            </w:r>
          </w:p>
          <w:p>
            <w:pPr>
              <w:pStyle w:val="8"/>
              <w:rPr>
                <w:color w:val="auto"/>
                <w:highlight w:val="none"/>
                <w:u w:val="single"/>
              </w:rPr>
            </w:pPr>
            <w:r>
              <w:rPr>
                <w:rFonts w:hint="eastAsia"/>
                <w:color w:val="auto"/>
                <w:highlight w:val="none"/>
                <w:u w:val="single"/>
              </w:rPr>
              <w:t>根据《建设项目竣工环境保护验收暂行办法》的规定，建设项目竣工后，建设单位应当如实查验、监测、记载建设项目环境保护设施的建设和调试情况，编制验收调查监测报告表。除按照国家规定需要保密的情形外，建设单位应当依法向社会公开验收报告。建设项目配套建设的环境保护设施经验收合格，方可投入生产或者使用；未经验收或者验收不合格的，不得投入生产或者使用。</w:t>
            </w:r>
          </w:p>
          <w:p>
            <w:pPr>
              <w:pStyle w:val="8"/>
              <w:ind w:firstLine="482"/>
              <w:rPr>
                <w:b/>
                <w:color w:val="auto"/>
                <w:highlight w:val="none"/>
                <w:u w:val="single"/>
              </w:rPr>
            </w:pPr>
            <w:r>
              <w:rPr>
                <w:rFonts w:hint="eastAsia"/>
                <w:b/>
                <w:color w:val="auto"/>
                <w:highlight w:val="none"/>
                <w:u w:val="single"/>
              </w:rPr>
              <w:t>（2）建立环境管理制度</w:t>
            </w:r>
          </w:p>
          <w:p>
            <w:pPr>
              <w:pStyle w:val="8"/>
              <w:rPr>
                <w:color w:val="auto"/>
                <w:highlight w:val="none"/>
                <w:u w:val="single"/>
              </w:rPr>
            </w:pPr>
            <w:r>
              <w:rPr>
                <w:rFonts w:hint="eastAsia"/>
                <w:color w:val="auto"/>
                <w:highlight w:val="none"/>
                <w:u w:val="single"/>
              </w:rPr>
              <w:t>应根据项目实际情况，设置专门的环境管理机构或兼职环境管理人员，研究、制定有关环保事宜，统筹本工程治理后的环境管理工作。建立环境管理台账，环境管理台账应当载明环境保护设施运行和维护的情况及相应的主要参数、污染物排放情况及相关监测数据，原始记录应清晰，及时归档并妥善管理。从本项目建设全过程进行，如设计阶段污染防范、施工阶段污染防治、运营后环保设施环境管理等，使环境管理工作贯穿于项目的全过程中。</w:t>
            </w:r>
          </w:p>
          <w:p>
            <w:pPr>
              <w:pStyle w:val="8"/>
              <w:ind w:firstLine="482"/>
              <w:rPr>
                <w:b/>
                <w:color w:val="auto"/>
                <w:highlight w:val="none"/>
                <w:u w:val="single"/>
              </w:rPr>
            </w:pPr>
            <w:r>
              <w:rPr>
                <w:rFonts w:hint="eastAsia"/>
                <w:b/>
                <w:color w:val="auto"/>
                <w:highlight w:val="none"/>
                <w:u w:val="single"/>
              </w:rPr>
              <w:t>（3）排放口规范管理</w:t>
            </w:r>
          </w:p>
          <w:p>
            <w:pPr>
              <w:pStyle w:val="8"/>
              <w:rPr>
                <w:color w:val="auto"/>
                <w:highlight w:val="none"/>
                <w:u w:val="single"/>
              </w:rPr>
            </w:pPr>
            <w:r>
              <w:rPr>
                <w:rFonts w:hint="eastAsia"/>
                <w:color w:val="auto"/>
                <w:highlight w:val="none"/>
                <w:u w:val="single"/>
              </w:rPr>
              <w:t>规范化排放口：排放口应预留监测口做到便于采样和测定流量，按照《环境保护图形标志</w:t>
            </w:r>
            <w:r>
              <w:rPr>
                <w:color w:val="auto"/>
                <w:highlight w:val="none"/>
                <w:u w:val="single"/>
              </w:rPr>
              <w:t>——</w:t>
            </w:r>
            <w:r>
              <w:rPr>
                <w:rFonts w:hint="eastAsia"/>
                <w:color w:val="auto"/>
                <w:highlight w:val="none"/>
                <w:u w:val="single"/>
              </w:rPr>
              <w:t>排放口（源）》（</w:t>
            </w:r>
            <w:r>
              <w:rPr>
                <w:color w:val="auto"/>
                <w:highlight w:val="none"/>
                <w:u w:val="single"/>
              </w:rPr>
              <w:t>GB15562.1-1995</w:t>
            </w:r>
            <w:r>
              <w:rPr>
                <w:rFonts w:hint="eastAsia"/>
                <w:color w:val="auto"/>
                <w:highlight w:val="none"/>
                <w:u w:val="single"/>
              </w:rPr>
              <w:t>）、《环境保护图形标志</w:t>
            </w:r>
            <w:r>
              <w:rPr>
                <w:color w:val="auto"/>
                <w:highlight w:val="none"/>
                <w:u w:val="single"/>
              </w:rPr>
              <w:t>——</w:t>
            </w:r>
            <w:r>
              <w:rPr>
                <w:rFonts w:hint="eastAsia"/>
                <w:color w:val="auto"/>
                <w:highlight w:val="none"/>
                <w:u w:val="single"/>
              </w:rPr>
              <w:t>固体废物贮存（处置）场》（</w:t>
            </w:r>
            <w:r>
              <w:rPr>
                <w:color w:val="auto"/>
                <w:highlight w:val="none"/>
                <w:u w:val="single"/>
              </w:rPr>
              <w:t>GB15562.2-1995</w:t>
            </w:r>
            <w:r>
              <w:rPr>
                <w:rFonts w:hint="eastAsia"/>
                <w:color w:val="auto"/>
                <w:highlight w:val="none"/>
                <w:u w:val="single"/>
              </w:rPr>
              <w:t>）及其修改单、有关规定设立专门的标志，标志牌应设在与之功能相应的醒目处，并保持清晰、完整。同时，根据《排污单位污染物排放口二维码标识技术规范》（</w:t>
            </w:r>
            <w:r>
              <w:rPr>
                <w:color w:val="auto"/>
                <w:highlight w:val="none"/>
                <w:u w:val="single"/>
              </w:rPr>
              <w:t>HJ 1297-2023</w:t>
            </w:r>
            <w:r>
              <w:rPr>
                <w:rFonts w:hint="eastAsia"/>
                <w:color w:val="auto"/>
                <w:highlight w:val="none"/>
                <w:u w:val="single"/>
              </w:rPr>
              <w:t>），设置规范的排放口二维码标识。</w:t>
            </w:r>
          </w:p>
          <w:p>
            <w:pPr>
              <w:pStyle w:val="4"/>
              <w:rPr>
                <w:color w:val="auto"/>
                <w:highlight w:val="none"/>
                <w:u w:val="single"/>
              </w:rPr>
            </w:pPr>
            <w:r>
              <w:rPr>
                <w:color w:val="auto"/>
                <w:highlight w:val="none"/>
                <w:u w:val="single"/>
              </w:rPr>
              <w:t>4.3.2</w:t>
            </w:r>
            <w:r>
              <w:rPr>
                <w:rFonts w:hint="eastAsia"/>
                <w:color w:val="auto"/>
                <w:highlight w:val="none"/>
                <w:u w:val="single"/>
              </w:rPr>
              <w:t>监测计划</w:t>
            </w:r>
          </w:p>
          <w:p>
            <w:pPr>
              <w:pStyle w:val="8"/>
              <w:rPr>
                <w:color w:val="auto"/>
                <w:highlight w:val="none"/>
                <w:u w:val="single"/>
              </w:rPr>
            </w:pPr>
            <w:r>
              <w:rPr>
                <w:rFonts w:hint="eastAsia"/>
                <w:color w:val="auto"/>
                <w:highlight w:val="none"/>
                <w:u w:val="single"/>
              </w:rPr>
              <w:t>本项目为福清核电厂区雨废分离项目，位于福清核电现有厂区内，施工场地周边</w:t>
            </w:r>
            <w:r>
              <w:rPr>
                <w:color w:val="auto"/>
                <w:highlight w:val="none"/>
                <w:u w:val="single"/>
              </w:rPr>
              <w:t>500m</w:t>
            </w:r>
            <w:r>
              <w:rPr>
                <w:rFonts w:hint="eastAsia"/>
                <w:color w:val="auto"/>
                <w:highlight w:val="none"/>
                <w:u w:val="single"/>
              </w:rPr>
              <w:t>范围内不涉及居住区、水源地等环境保护目标；根据施工时序，非放射性废水处理站建成后，陆续改建已有管网，将现有非放射性废水接入废水处理站处理，施工期对周边环境影响相对较小。运行期监测计划</w:t>
            </w:r>
            <w:r>
              <w:rPr>
                <w:rFonts w:hint="eastAsia"/>
                <w:color w:val="auto"/>
                <w:highlight w:val="none"/>
                <w:u w:val="single"/>
                <w:lang w:val="en-US" w:eastAsia="zh-CN"/>
              </w:rPr>
              <w:t>见下表</w:t>
            </w:r>
            <w:r>
              <w:rPr>
                <w:rFonts w:hint="eastAsia"/>
                <w:color w:val="auto"/>
                <w:highlight w:val="none"/>
                <w:u w:val="single"/>
              </w:rPr>
              <w:t>。</w:t>
            </w:r>
          </w:p>
          <w:p>
            <w:pPr>
              <w:pStyle w:val="5"/>
              <w:keepNext/>
              <w:jc w:val="center"/>
              <w:rPr>
                <w:color w:val="auto"/>
                <w:highlight w:val="none"/>
                <w:u w:val="single"/>
              </w:rPr>
            </w:pPr>
            <w:r>
              <w:rPr>
                <w:rFonts w:hint="eastAsia"/>
                <w:color w:val="auto"/>
                <w:highlight w:val="none"/>
                <w:u w:val="single"/>
              </w:rPr>
              <w:t>表</w:t>
            </w:r>
            <w:r>
              <w:rPr>
                <w:color w:val="auto"/>
                <w:highlight w:val="none"/>
                <w:u w:val="single"/>
              </w:rPr>
              <w:t xml:space="preserve">4-14 </w:t>
            </w:r>
            <w:r>
              <w:rPr>
                <w:rFonts w:hint="eastAsia"/>
                <w:color w:val="auto"/>
                <w:highlight w:val="none"/>
                <w:u w:val="single"/>
              </w:rPr>
              <w:t>项目自行监测计划一览表（运行期）</w:t>
            </w:r>
          </w:p>
          <w:tbl>
            <w:tblPr>
              <w:tblStyle w:val="54"/>
              <w:tblW w:w="0" w:type="auto"/>
              <w:tblInd w:w="0"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25"/>
              <w:gridCol w:w="1990"/>
              <w:gridCol w:w="1816"/>
              <w:gridCol w:w="1158"/>
              <w:gridCol w:w="2050"/>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tcBorders>
                    <w:top w:val="single" w:color="auto" w:sz="4" w:space="0"/>
                    <w:left w:val="nil"/>
                    <w:bottom w:val="single" w:color="auto" w:sz="4" w:space="0"/>
                    <w:right w:val="single" w:color="auto" w:sz="4" w:space="0"/>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类别</w:t>
                  </w:r>
                </w:p>
              </w:tc>
              <w:tc>
                <w:tcPr>
                  <w:tcW w:w="736"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监测对象</w:t>
                  </w:r>
                </w:p>
              </w:tc>
              <w:tc>
                <w:tcPr>
                  <w:tcW w:w="2004"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监测点位</w:t>
                  </w: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监测因子</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监测频次</w:t>
                  </w:r>
                </w:p>
              </w:tc>
              <w:tc>
                <w:tcPr>
                  <w:tcW w:w="2054" w:type="dxa"/>
                  <w:tcBorders>
                    <w:top w:val="single" w:color="auto" w:sz="4" w:space="0"/>
                    <w:left w:val="single" w:color="auto" w:sz="4" w:space="0"/>
                    <w:bottom w:val="single" w:color="auto" w:sz="4" w:space="0"/>
                    <w:right w:val="nil"/>
                  </w:tcBorders>
                  <w:vAlign w:val="center"/>
                </w:tcPr>
                <w:p>
                  <w:pPr>
                    <w:pStyle w:val="14"/>
                    <w:snapToGrid w:val="0"/>
                    <w:spacing w:before="0" w:beforeAutospacing="0" w:after="0" w:afterAutospacing="0"/>
                    <w:jc w:val="both"/>
                    <w:rPr>
                      <w:b/>
                      <w:bCs/>
                      <w:color w:val="auto"/>
                      <w:sz w:val="21"/>
                      <w:szCs w:val="21"/>
                      <w:highlight w:val="none"/>
                      <w:u w:val="single"/>
                    </w:rPr>
                  </w:pPr>
                  <w:r>
                    <w:rPr>
                      <w:rFonts w:hint="eastAsia" w:ascii="Times New Roman" w:hAnsi="Times New Roman" w:cs="宋体"/>
                      <w:b/>
                      <w:bCs/>
                      <w:color w:val="auto"/>
                      <w:sz w:val="21"/>
                      <w:szCs w:val="21"/>
                      <w:highlight w:val="none"/>
                      <w:u w:val="single"/>
                      <w:lang w:bidi="ar"/>
                    </w:rPr>
                    <w:t>执行标准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vMerge w:val="restart"/>
                  <w:tcBorders>
                    <w:top w:val="single" w:color="auto" w:sz="4" w:space="0"/>
                    <w:left w:val="nil"/>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废水</w:t>
                  </w:r>
                </w:p>
              </w:tc>
              <w:tc>
                <w:tcPr>
                  <w:tcW w:w="736"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废水</w:t>
                  </w:r>
                </w:p>
              </w:tc>
              <w:tc>
                <w:tcPr>
                  <w:tcW w:w="2004"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非放射性废水处理站出水口（清水池出口）</w:t>
                  </w: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流量、</w:t>
                  </w:r>
                  <w:r>
                    <w:rPr>
                      <w:rFonts w:ascii="Times New Roman" w:hAnsi="Times New Roman"/>
                      <w:color w:val="auto"/>
                      <w:sz w:val="21"/>
                      <w:szCs w:val="21"/>
                      <w:highlight w:val="none"/>
                      <w:u w:val="single"/>
                      <w:lang w:bidi="ar"/>
                    </w:rPr>
                    <w:t>pH</w:t>
                  </w:r>
                  <w:r>
                    <w:rPr>
                      <w:rFonts w:hint="eastAsia" w:ascii="Times New Roman" w:hAnsi="Times New Roman" w:cs="宋体"/>
                      <w:color w:val="auto"/>
                      <w:sz w:val="21"/>
                      <w:szCs w:val="21"/>
                      <w:highlight w:val="none"/>
                      <w:u w:val="single"/>
                      <w:lang w:bidi="ar"/>
                    </w:rPr>
                    <w:t>、水温、</w:t>
                  </w:r>
                  <w:r>
                    <w:rPr>
                      <w:rFonts w:ascii="Times New Roman" w:hAnsi="Times New Roman"/>
                      <w:color w:val="auto"/>
                      <w:sz w:val="21"/>
                      <w:szCs w:val="21"/>
                      <w:highlight w:val="none"/>
                      <w:u w:val="single"/>
                      <w:lang w:bidi="ar"/>
                    </w:rPr>
                    <w:t>COD</w:t>
                  </w:r>
                  <w:r>
                    <w:rPr>
                      <w:rFonts w:hint="eastAsia" w:ascii="Times New Roman" w:hAnsi="Times New Roman" w:cs="宋体"/>
                      <w:color w:val="auto"/>
                      <w:sz w:val="21"/>
                      <w:szCs w:val="21"/>
                      <w:highlight w:val="none"/>
                      <w:u w:val="single"/>
                      <w:lang w:bidi="ar"/>
                    </w:rPr>
                    <w:t>、氨氮、总磷、总氮</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自动监测</w:t>
                  </w:r>
                </w:p>
              </w:tc>
              <w:tc>
                <w:tcPr>
                  <w:tcW w:w="2054" w:type="dxa"/>
                  <w:vMerge w:val="restart"/>
                  <w:tcBorders>
                    <w:top w:val="single" w:color="auto" w:sz="4" w:space="0"/>
                    <w:left w:val="single" w:color="auto" w:sz="4" w:space="0"/>
                    <w:bottom w:val="single" w:color="auto" w:sz="4" w:space="0"/>
                    <w:right w:val="nil"/>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《污水综合排放标准》（</w:t>
                  </w:r>
                  <w:r>
                    <w:rPr>
                      <w:rFonts w:ascii="Times New Roman" w:hAnsi="Times New Roman"/>
                      <w:color w:val="auto"/>
                      <w:sz w:val="21"/>
                      <w:szCs w:val="21"/>
                      <w:highlight w:val="none"/>
                      <w:u w:val="single"/>
                      <w:lang w:bidi="ar"/>
                    </w:rPr>
                    <w:t>GB 8978-1996</w:t>
                  </w:r>
                  <w:r>
                    <w:rPr>
                      <w:rFonts w:hint="eastAsia" w:ascii="Times New Roman" w:hAnsi="Times New Roman" w:cs="宋体"/>
                      <w:color w:val="auto"/>
                      <w:sz w:val="21"/>
                      <w:szCs w:val="21"/>
                      <w:highlight w:val="none"/>
                      <w:u w:val="single"/>
                      <w:lang w:bidi="ar"/>
                    </w:rPr>
                    <w:t>）表</w:t>
                  </w:r>
                  <w:r>
                    <w:rPr>
                      <w:rFonts w:ascii="Times New Roman" w:hAnsi="Times New Roman"/>
                      <w:color w:val="auto"/>
                      <w:sz w:val="21"/>
                      <w:szCs w:val="21"/>
                      <w:highlight w:val="none"/>
                      <w:u w:val="single"/>
                      <w:lang w:bidi="ar"/>
                    </w:rPr>
                    <w:t>4</w:t>
                  </w:r>
                  <w:r>
                    <w:rPr>
                      <w:rFonts w:hint="eastAsia" w:ascii="Times New Roman" w:hAnsi="Times New Roman" w:cs="宋体"/>
                      <w:color w:val="auto"/>
                      <w:sz w:val="21"/>
                      <w:szCs w:val="21"/>
                      <w:highlight w:val="none"/>
                      <w:u w:val="single"/>
                      <w:lang w:bidi="ar"/>
                    </w:rPr>
                    <w:t>中一级标准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vMerge w:val="continue"/>
                  <w:tcBorders>
                    <w:top w:val="single" w:color="auto" w:sz="4" w:space="0"/>
                    <w:left w:val="nil"/>
                    <w:bottom w:val="single" w:color="auto" w:sz="4" w:space="0"/>
                    <w:right w:val="single" w:color="auto" w:sz="4" w:space="0"/>
                  </w:tcBorders>
                  <w:vAlign w:val="center"/>
                </w:tcPr>
                <w:p>
                  <w:pPr>
                    <w:rPr>
                      <w:color w:val="auto"/>
                      <w:szCs w:val="20"/>
                      <w:highlight w:val="none"/>
                      <w:u w:val="single"/>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rPr>
                      <w:color w:val="auto"/>
                      <w:szCs w:val="20"/>
                      <w:highlight w:val="none"/>
                      <w:u w:val="single"/>
                    </w:rPr>
                  </w:pPr>
                </w:p>
              </w:tc>
              <w:tc>
                <w:tcPr>
                  <w:tcW w:w="2004" w:type="dxa"/>
                  <w:vMerge w:val="continue"/>
                  <w:tcBorders>
                    <w:top w:val="single" w:color="auto" w:sz="4" w:space="0"/>
                    <w:left w:val="single" w:color="auto" w:sz="4" w:space="0"/>
                    <w:bottom w:val="single" w:color="auto" w:sz="4" w:space="0"/>
                    <w:right w:val="single" w:color="auto" w:sz="4" w:space="0"/>
                  </w:tcBorders>
                  <w:vAlign w:val="center"/>
                </w:tcPr>
                <w:p>
                  <w:pPr>
                    <w:rPr>
                      <w:color w:val="auto"/>
                      <w:szCs w:val="20"/>
                      <w:highlight w:val="none"/>
                      <w:u w:val="single"/>
                    </w:rPr>
                  </w:pP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ascii="Times New Roman" w:hAnsi="Times New Roman"/>
                      <w:color w:val="auto"/>
                      <w:sz w:val="21"/>
                      <w:szCs w:val="21"/>
                      <w:highlight w:val="none"/>
                      <w:u w:val="single"/>
                      <w:lang w:bidi="ar"/>
                    </w:rPr>
                    <w:t>SS</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ascii="Times New Roman" w:hAnsi="Times New Roman"/>
                      <w:color w:val="auto"/>
                      <w:sz w:val="21"/>
                      <w:szCs w:val="21"/>
                      <w:highlight w:val="none"/>
                      <w:u w:val="single"/>
                      <w:lang w:bidi="ar"/>
                    </w:rPr>
                    <w:t>1</w:t>
                  </w:r>
                  <w:r>
                    <w:rPr>
                      <w:rFonts w:hint="eastAsia" w:ascii="Times New Roman" w:hAnsi="Times New Roman" w:cs="宋体"/>
                      <w:color w:val="auto"/>
                      <w:sz w:val="21"/>
                      <w:szCs w:val="21"/>
                      <w:highlight w:val="none"/>
                      <w:u w:val="single"/>
                      <w:lang w:bidi="ar"/>
                    </w:rPr>
                    <w:t>次</w:t>
                  </w:r>
                  <w:r>
                    <w:rPr>
                      <w:rFonts w:ascii="Times New Roman" w:hAnsi="Times New Roman"/>
                      <w:color w:val="auto"/>
                      <w:sz w:val="21"/>
                      <w:szCs w:val="21"/>
                      <w:highlight w:val="none"/>
                      <w:u w:val="single"/>
                      <w:lang w:bidi="ar"/>
                    </w:rPr>
                    <w:t>/</w:t>
                  </w:r>
                  <w:r>
                    <w:rPr>
                      <w:rFonts w:hint="eastAsia" w:ascii="Times New Roman" w:hAnsi="Times New Roman" w:cs="宋体"/>
                      <w:color w:val="auto"/>
                      <w:sz w:val="21"/>
                      <w:szCs w:val="21"/>
                      <w:highlight w:val="none"/>
                      <w:u w:val="single"/>
                      <w:lang w:bidi="ar"/>
                    </w:rPr>
                    <w:t>日</w:t>
                  </w:r>
                </w:p>
              </w:tc>
              <w:tc>
                <w:tcPr>
                  <w:tcW w:w="2054" w:type="dxa"/>
                  <w:vMerge w:val="continue"/>
                  <w:tcBorders>
                    <w:top w:val="single" w:color="auto" w:sz="4" w:space="0"/>
                    <w:left w:val="single" w:color="auto" w:sz="4" w:space="0"/>
                    <w:bottom w:val="single" w:color="auto" w:sz="4" w:space="0"/>
                    <w:right w:val="nil"/>
                  </w:tcBorders>
                  <w:vAlign w:val="center"/>
                </w:tcPr>
                <w:p>
                  <w:pPr>
                    <w:rPr>
                      <w:color w:val="auto"/>
                      <w:szCs w:val="20"/>
                      <w:highlight w:val="none"/>
                      <w:u w:val="single"/>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vMerge w:val="continue"/>
                  <w:tcBorders>
                    <w:top w:val="single" w:color="auto" w:sz="4" w:space="0"/>
                    <w:left w:val="nil"/>
                    <w:bottom w:val="single" w:color="auto" w:sz="4" w:space="0"/>
                    <w:right w:val="single" w:color="auto" w:sz="4" w:space="0"/>
                  </w:tcBorders>
                  <w:vAlign w:val="center"/>
                </w:tcPr>
                <w:p>
                  <w:pPr>
                    <w:rPr>
                      <w:color w:val="auto"/>
                      <w:szCs w:val="20"/>
                      <w:highlight w:val="none"/>
                      <w:u w:val="single"/>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rPr>
                      <w:color w:val="auto"/>
                      <w:szCs w:val="20"/>
                      <w:highlight w:val="none"/>
                      <w:u w:val="single"/>
                    </w:rPr>
                  </w:pPr>
                </w:p>
              </w:tc>
              <w:tc>
                <w:tcPr>
                  <w:tcW w:w="2004" w:type="dxa"/>
                  <w:vMerge w:val="continue"/>
                  <w:tcBorders>
                    <w:top w:val="single" w:color="auto" w:sz="4" w:space="0"/>
                    <w:left w:val="single" w:color="auto" w:sz="4" w:space="0"/>
                    <w:bottom w:val="single" w:color="auto" w:sz="4" w:space="0"/>
                    <w:right w:val="single" w:color="auto" w:sz="4" w:space="0"/>
                  </w:tcBorders>
                  <w:vAlign w:val="center"/>
                </w:tcPr>
                <w:p>
                  <w:pPr>
                    <w:rPr>
                      <w:color w:val="auto"/>
                      <w:szCs w:val="20"/>
                      <w:highlight w:val="none"/>
                      <w:u w:val="single"/>
                    </w:rPr>
                  </w:pP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ascii="Times New Roman" w:hAnsi="Times New Roman"/>
                      <w:color w:val="auto"/>
                      <w:sz w:val="21"/>
                      <w:szCs w:val="21"/>
                      <w:highlight w:val="none"/>
                      <w:u w:val="single"/>
                      <w:lang w:bidi="ar"/>
                    </w:rPr>
                    <w:t>BOD</w:t>
                  </w:r>
                  <w:r>
                    <w:rPr>
                      <w:rFonts w:hint="eastAsia" w:ascii="Times New Roman" w:hAnsi="Times New Roman"/>
                      <w:color w:val="auto"/>
                      <w:sz w:val="21"/>
                      <w:szCs w:val="21"/>
                      <w:highlight w:val="none"/>
                      <w:u w:val="single"/>
                      <w:vertAlign w:val="subscript"/>
                      <w:lang w:eastAsia="zh" w:bidi="ar"/>
                    </w:rPr>
                    <w:t>5</w:t>
                  </w:r>
                  <w:r>
                    <w:rPr>
                      <w:rFonts w:hint="eastAsia" w:ascii="Times New Roman" w:hAnsi="Times New Roman" w:cs="宋体"/>
                      <w:color w:val="auto"/>
                      <w:sz w:val="21"/>
                      <w:szCs w:val="21"/>
                      <w:highlight w:val="none"/>
                      <w:u w:val="single"/>
                      <w:lang w:bidi="ar"/>
                    </w:rPr>
                    <w:t>、石油类</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ascii="Times New Roman" w:hAnsi="Times New Roman"/>
                      <w:color w:val="auto"/>
                      <w:sz w:val="21"/>
                      <w:szCs w:val="21"/>
                      <w:highlight w:val="none"/>
                      <w:u w:val="single"/>
                      <w:lang w:bidi="ar"/>
                    </w:rPr>
                    <w:t>1</w:t>
                  </w:r>
                  <w:r>
                    <w:rPr>
                      <w:rFonts w:hint="eastAsia" w:ascii="Times New Roman" w:hAnsi="Times New Roman" w:cs="宋体"/>
                      <w:color w:val="auto"/>
                      <w:sz w:val="21"/>
                      <w:szCs w:val="21"/>
                      <w:highlight w:val="none"/>
                      <w:u w:val="single"/>
                      <w:lang w:bidi="ar"/>
                    </w:rPr>
                    <w:t>次</w:t>
                  </w:r>
                  <w:r>
                    <w:rPr>
                      <w:rFonts w:ascii="Times New Roman" w:hAnsi="Times New Roman"/>
                      <w:color w:val="auto"/>
                      <w:sz w:val="21"/>
                      <w:szCs w:val="21"/>
                      <w:highlight w:val="none"/>
                      <w:u w:val="single"/>
                      <w:lang w:bidi="ar"/>
                    </w:rPr>
                    <w:t>/</w:t>
                  </w:r>
                  <w:r>
                    <w:rPr>
                      <w:rFonts w:hint="eastAsia" w:ascii="Times New Roman" w:hAnsi="Times New Roman" w:cs="宋体"/>
                      <w:color w:val="auto"/>
                      <w:sz w:val="21"/>
                      <w:szCs w:val="21"/>
                      <w:highlight w:val="none"/>
                      <w:u w:val="single"/>
                      <w:lang w:bidi="ar"/>
                    </w:rPr>
                    <w:t>月</w:t>
                  </w:r>
                </w:p>
              </w:tc>
              <w:tc>
                <w:tcPr>
                  <w:tcW w:w="2054" w:type="dxa"/>
                  <w:vMerge w:val="continue"/>
                  <w:tcBorders>
                    <w:top w:val="single" w:color="auto" w:sz="4" w:space="0"/>
                    <w:left w:val="single" w:color="auto" w:sz="4" w:space="0"/>
                    <w:bottom w:val="single" w:color="auto" w:sz="4" w:space="0"/>
                    <w:right w:val="nil"/>
                  </w:tcBorders>
                  <w:vAlign w:val="center"/>
                </w:tcPr>
                <w:p>
                  <w:pPr>
                    <w:rPr>
                      <w:color w:val="auto"/>
                      <w:szCs w:val="20"/>
                      <w:highlight w:val="none"/>
                      <w:u w:val="single"/>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tcBorders>
                    <w:top w:val="single" w:color="auto" w:sz="4" w:space="0"/>
                    <w:left w:val="nil"/>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环境监测</w:t>
                  </w:r>
                </w:p>
              </w:tc>
              <w:tc>
                <w:tcPr>
                  <w:tcW w:w="736"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海水</w:t>
                  </w:r>
                </w:p>
              </w:tc>
              <w:tc>
                <w:tcPr>
                  <w:tcW w:w="2004"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排污口所处兴化湾前薛三类区（</w:t>
                  </w:r>
                  <w:r>
                    <w:rPr>
                      <w:rFonts w:ascii="Times New Roman" w:hAnsi="Times New Roman"/>
                      <w:color w:val="auto"/>
                      <w:sz w:val="21"/>
                      <w:szCs w:val="21"/>
                      <w:highlight w:val="none"/>
                      <w:u w:val="single"/>
                      <w:lang w:bidi="ar"/>
                    </w:rPr>
                    <w:t>FJ091-C-</w:t>
                  </w:r>
                  <w:r>
                    <w:rPr>
                      <w:rFonts w:hint="eastAsia" w:cs="宋体"/>
                      <w:color w:val="auto"/>
                      <w:sz w:val="21"/>
                      <w:szCs w:val="21"/>
                      <w:highlight w:val="none"/>
                      <w:u w:val="single"/>
                      <w:lang w:bidi="ar"/>
                    </w:rPr>
                    <w:t>Ⅲ</w:t>
                  </w:r>
                  <w:r>
                    <w:rPr>
                      <w:rFonts w:hint="eastAsia" w:ascii="Times New Roman" w:hAnsi="Times New Roman" w:cs="宋体"/>
                      <w:color w:val="auto"/>
                      <w:sz w:val="21"/>
                      <w:szCs w:val="21"/>
                      <w:highlight w:val="none"/>
                      <w:u w:val="single"/>
                      <w:lang w:bidi="ar"/>
                    </w:rPr>
                    <w:t>）</w:t>
                  </w: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color w:val="auto"/>
                      <w:sz w:val="21"/>
                      <w:szCs w:val="21"/>
                      <w:highlight w:val="none"/>
                      <w:u w:val="single"/>
                    </w:rPr>
                  </w:pPr>
                  <w:r>
                    <w:rPr>
                      <w:rFonts w:ascii="Times New Roman" w:hAnsi="Times New Roman"/>
                      <w:color w:val="auto"/>
                      <w:sz w:val="21"/>
                      <w:szCs w:val="21"/>
                      <w:highlight w:val="none"/>
                      <w:u w:val="single"/>
                      <w:lang w:bidi="ar"/>
                    </w:rPr>
                    <w:t>pH</w:t>
                  </w:r>
                  <w:r>
                    <w:rPr>
                      <w:rFonts w:hint="eastAsia" w:ascii="Times New Roman" w:hAnsi="Times New Roman" w:cs="宋体"/>
                      <w:color w:val="auto"/>
                      <w:sz w:val="21"/>
                      <w:szCs w:val="21"/>
                      <w:highlight w:val="none"/>
                      <w:u w:val="single"/>
                      <w:lang w:bidi="ar"/>
                    </w:rPr>
                    <w:t>、</w:t>
                  </w:r>
                  <w:r>
                    <w:rPr>
                      <w:rFonts w:ascii="Times New Roman" w:hAnsi="Times New Roman"/>
                      <w:color w:val="auto"/>
                      <w:sz w:val="21"/>
                      <w:szCs w:val="21"/>
                      <w:highlight w:val="none"/>
                      <w:u w:val="single"/>
                      <w:lang w:bidi="ar"/>
                    </w:rPr>
                    <w:t>COD</w:t>
                  </w:r>
                  <w:r>
                    <w:rPr>
                      <w:rFonts w:hint="eastAsia" w:ascii="Times New Roman" w:hAnsi="Times New Roman" w:cs="宋体"/>
                      <w:color w:val="auto"/>
                      <w:sz w:val="21"/>
                      <w:szCs w:val="21"/>
                      <w:highlight w:val="none"/>
                      <w:u w:val="single"/>
                      <w:lang w:bidi="ar"/>
                    </w:rPr>
                    <w:t>、</w:t>
                  </w:r>
                  <w:r>
                    <w:rPr>
                      <w:rFonts w:ascii="Times New Roman" w:hAnsi="Times New Roman"/>
                      <w:color w:val="auto"/>
                      <w:sz w:val="21"/>
                      <w:szCs w:val="21"/>
                      <w:highlight w:val="none"/>
                      <w:u w:val="single"/>
                      <w:lang w:bidi="ar"/>
                    </w:rPr>
                    <w:t>BOD</w:t>
                  </w:r>
                  <w:r>
                    <w:rPr>
                      <w:rFonts w:hint="eastAsia" w:ascii="Times New Roman" w:hAnsi="Times New Roman"/>
                      <w:color w:val="auto"/>
                      <w:sz w:val="21"/>
                      <w:szCs w:val="21"/>
                      <w:highlight w:val="none"/>
                      <w:u w:val="single"/>
                      <w:vertAlign w:val="subscript"/>
                      <w:lang w:eastAsia="zh" w:bidi="ar"/>
                    </w:rPr>
                    <w:t>5</w:t>
                  </w:r>
                  <w:r>
                    <w:rPr>
                      <w:rFonts w:hint="eastAsia" w:ascii="Times New Roman" w:hAnsi="Times New Roman" w:cs="宋体"/>
                      <w:color w:val="auto"/>
                      <w:sz w:val="21"/>
                      <w:szCs w:val="21"/>
                      <w:highlight w:val="none"/>
                      <w:u w:val="single"/>
                      <w:lang w:bidi="ar"/>
                    </w:rPr>
                    <w:t>、溶解氧、活性磷酸盐、无机氮、石油类</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center"/>
                    <w:rPr>
                      <w:color w:val="auto"/>
                      <w:sz w:val="21"/>
                      <w:szCs w:val="21"/>
                      <w:highlight w:val="none"/>
                      <w:u w:val="single"/>
                    </w:rPr>
                  </w:pPr>
                  <w:r>
                    <w:rPr>
                      <w:rFonts w:hint="eastAsia" w:ascii="Times New Roman" w:hAnsi="Times New Roman" w:cs="宋体"/>
                      <w:color w:val="auto"/>
                      <w:sz w:val="21"/>
                      <w:szCs w:val="21"/>
                      <w:highlight w:val="none"/>
                      <w:u w:val="single"/>
                      <w:lang w:bidi="ar"/>
                    </w:rPr>
                    <w:t>每年大潮期、小潮期至少各监测</w:t>
                  </w:r>
                  <w:r>
                    <w:rPr>
                      <w:rFonts w:ascii="Times New Roman" w:hAnsi="Times New Roman"/>
                      <w:color w:val="auto"/>
                      <w:sz w:val="21"/>
                      <w:szCs w:val="21"/>
                      <w:highlight w:val="none"/>
                      <w:u w:val="single"/>
                      <w:lang w:bidi="ar"/>
                    </w:rPr>
                    <w:t>1</w:t>
                  </w:r>
                  <w:r>
                    <w:rPr>
                      <w:rFonts w:hint="eastAsia" w:ascii="Times New Roman" w:hAnsi="Times New Roman" w:cs="宋体"/>
                      <w:color w:val="auto"/>
                      <w:sz w:val="21"/>
                      <w:szCs w:val="21"/>
                      <w:highlight w:val="none"/>
                      <w:u w:val="single"/>
                      <w:lang w:bidi="ar"/>
                    </w:rPr>
                    <w:t>次</w:t>
                  </w:r>
                </w:p>
              </w:tc>
              <w:tc>
                <w:tcPr>
                  <w:tcW w:w="2054" w:type="dxa"/>
                  <w:tcBorders>
                    <w:top w:val="single" w:color="auto" w:sz="4" w:space="0"/>
                    <w:left w:val="single" w:color="auto" w:sz="4" w:space="0"/>
                    <w:bottom w:val="single" w:color="auto" w:sz="4" w:space="0"/>
                    <w:right w:val="nil"/>
                  </w:tcBorders>
                  <w:vAlign w:val="center"/>
                </w:tcPr>
                <w:p>
                  <w:pPr>
                    <w:pStyle w:val="14"/>
                    <w:snapToGrid w:val="0"/>
                    <w:spacing w:before="0" w:beforeAutospacing="0" w:after="0" w:afterAutospacing="0"/>
                    <w:jc w:val="both"/>
                    <w:rPr>
                      <w:color w:val="auto"/>
                      <w:sz w:val="21"/>
                      <w:szCs w:val="21"/>
                      <w:highlight w:val="none"/>
                      <w:u w:val="single"/>
                    </w:rPr>
                  </w:pPr>
                  <w:r>
                    <w:rPr>
                      <w:rFonts w:hint="eastAsia" w:ascii="Times New Roman" w:hAnsi="Times New Roman" w:cs="宋体"/>
                      <w:color w:val="auto"/>
                      <w:sz w:val="21"/>
                      <w:szCs w:val="21"/>
                      <w:highlight w:val="none"/>
                      <w:u w:val="single"/>
                      <w:lang w:bidi="ar"/>
                    </w:rPr>
                    <w:t>《海水水质标准》（</w:t>
                  </w:r>
                  <w:r>
                    <w:rPr>
                      <w:rFonts w:ascii="Times New Roman" w:hAnsi="Times New Roman"/>
                      <w:color w:val="auto"/>
                      <w:sz w:val="21"/>
                      <w:szCs w:val="21"/>
                      <w:highlight w:val="none"/>
                      <w:u w:val="single"/>
                      <w:lang w:bidi="ar"/>
                    </w:rPr>
                    <w:t>GB3097-1997</w:t>
                  </w:r>
                  <w:r>
                    <w:rPr>
                      <w:rFonts w:hint="eastAsia" w:ascii="Times New Roman" w:hAnsi="Times New Roman" w:cs="宋体"/>
                      <w:color w:val="auto"/>
                      <w:sz w:val="21"/>
                      <w:szCs w:val="21"/>
                      <w:highlight w:val="none"/>
                      <w:u w:val="single"/>
                      <w:lang w:bidi="ar"/>
                    </w:rPr>
                    <w:t>）第一类、第二类、第三类海水水质</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715" w:type="dxa"/>
                  <w:tcBorders>
                    <w:top w:val="single" w:color="auto" w:sz="4" w:space="0"/>
                    <w:left w:val="nil"/>
                    <w:bottom w:val="single" w:color="auto" w:sz="4" w:space="0"/>
                    <w:right w:val="single" w:color="auto" w:sz="4" w:space="0"/>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噪声</w:t>
                  </w:r>
                </w:p>
              </w:tc>
              <w:tc>
                <w:tcPr>
                  <w:tcW w:w="736"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噪声</w:t>
                  </w:r>
                </w:p>
              </w:tc>
              <w:tc>
                <w:tcPr>
                  <w:tcW w:w="2004"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核电厂界</w:t>
                  </w:r>
                </w:p>
              </w:tc>
              <w:tc>
                <w:tcPr>
                  <w:tcW w:w="1850"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rFonts w:ascii="Times New Roman" w:hAnsi="Times New Roman"/>
                      <w:color w:val="auto"/>
                      <w:sz w:val="21"/>
                      <w:szCs w:val="21"/>
                      <w:highlight w:val="none"/>
                      <w:u w:val="single"/>
                      <w:lang w:bidi="ar"/>
                    </w:rPr>
                  </w:pPr>
                  <w:r>
                    <w:rPr>
                      <w:rFonts w:hint="eastAsia" w:ascii="Times New Roman" w:hAnsi="Times New Roman" w:cs="宋体"/>
                      <w:color w:val="auto"/>
                      <w:sz w:val="21"/>
                      <w:szCs w:val="21"/>
                      <w:highlight w:val="none"/>
                      <w:u w:val="single"/>
                      <w:lang w:bidi="ar"/>
                    </w:rPr>
                    <w:t>等效连续</w:t>
                  </w:r>
                  <w:r>
                    <w:rPr>
                      <w:rFonts w:ascii="Times New Roman" w:hAnsi="Times New Roman"/>
                      <w:color w:val="auto"/>
                      <w:sz w:val="21"/>
                      <w:szCs w:val="21"/>
                      <w:highlight w:val="none"/>
                      <w:u w:val="single"/>
                      <w:lang w:bidi="ar"/>
                    </w:rPr>
                    <w:t>A</w:t>
                  </w:r>
                  <w:r>
                    <w:rPr>
                      <w:rFonts w:hint="eastAsia" w:ascii="Times New Roman" w:hAnsi="Times New Roman" w:cs="宋体"/>
                      <w:color w:val="auto"/>
                      <w:sz w:val="21"/>
                      <w:szCs w:val="21"/>
                      <w:highlight w:val="none"/>
                      <w:u w:val="single"/>
                      <w:lang w:bidi="ar"/>
                    </w:rPr>
                    <w:t>声级</w:t>
                  </w:r>
                </w:p>
              </w:tc>
              <w:tc>
                <w:tcPr>
                  <w:tcW w:w="1178" w:type="dxa"/>
                  <w:tcBorders>
                    <w:top w:val="single" w:color="auto" w:sz="4" w:space="0"/>
                    <w:left w:val="single" w:color="auto" w:sz="4" w:space="0"/>
                    <w:bottom w:val="single" w:color="auto" w:sz="4" w:space="0"/>
                    <w:right w:val="single" w:color="auto" w:sz="4" w:space="0"/>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季度</w:t>
                  </w:r>
                </w:p>
              </w:tc>
              <w:tc>
                <w:tcPr>
                  <w:tcW w:w="2054" w:type="dxa"/>
                  <w:tcBorders>
                    <w:top w:val="single" w:color="auto" w:sz="4" w:space="0"/>
                    <w:left w:val="single" w:color="auto" w:sz="4" w:space="0"/>
                    <w:bottom w:val="single" w:color="auto" w:sz="4" w:space="0"/>
                    <w:right w:val="nil"/>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《工业企业厂界环境噪声排放标准》（</w:t>
                  </w:r>
                  <w:r>
                    <w:rPr>
                      <w:rFonts w:ascii="Times New Roman" w:hAnsi="Times New Roman"/>
                      <w:color w:val="auto"/>
                      <w:sz w:val="21"/>
                      <w:szCs w:val="21"/>
                      <w:highlight w:val="none"/>
                      <w:u w:val="single"/>
                      <w:lang w:bidi="ar"/>
                    </w:rPr>
                    <w:t>GB12348-2008</w:t>
                  </w:r>
                  <w:r>
                    <w:rPr>
                      <w:rFonts w:hint="eastAsia" w:ascii="Times New Roman" w:hAnsi="Times New Roman" w:cs="宋体"/>
                      <w:color w:val="auto"/>
                      <w:sz w:val="21"/>
                      <w:szCs w:val="21"/>
                      <w:highlight w:val="none"/>
                      <w:u w:val="single"/>
                      <w:lang w:bidi="ar"/>
                    </w:rPr>
                    <w:t>）</w:t>
                  </w:r>
                  <w:r>
                    <w:rPr>
                      <w:rFonts w:ascii="Times New Roman" w:hAnsi="Times New Roman"/>
                      <w:color w:val="auto"/>
                      <w:sz w:val="21"/>
                      <w:szCs w:val="21"/>
                      <w:highlight w:val="none"/>
                      <w:u w:val="single"/>
                      <w:lang w:bidi="ar"/>
                    </w:rPr>
                    <w:t>3</w:t>
                  </w:r>
                  <w:r>
                    <w:rPr>
                      <w:rFonts w:hint="eastAsia" w:ascii="Times New Roman" w:hAnsi="Times New Roman" w:cs="宋体"/>
                      <w:color w:val="auto"/>
                      <w:sz w:val="21"/>
                      <w:szCs w:val="21"/>
                      <w:highlight w:val="none"/>
                      <w:u w:val="single"/>
                      <w:lang w:bidi="ar"/>
                    </w:rPr>
                    <w:t>类排放限值</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PrEx>
              <w:tc>
                <w:tcPr>
                  <w:tcW w:w="8537" w:type="dxa"/>
                  <w:gridSpan w:val="6"/>
                  <w:tcBorders>
                    <w:top w:val="single" w:color="auto" w:sz="4" w:space="0"/>
                    <w:left w:val="nil"/>
                    <w:bottom w:val="single" w:color="auto" w:sz="4" w:space="0"/>
                    <w:right w:val="nil"/>
                  </w:tcBorders>
                  <w:vAlign w:val="center"/>
                </w:tcPr>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备注：</w:t>
                  </w:r>
                  <w:r>
                    <w:rPr>
                      <w:rFonts w:ascii="Times New Roman" w:hAnsi="Times New Roman" w:cs="宋体"/>
                      <w:color w:val="auto"/>
                      <w:sz w:val="21"/>
                      <w:szCs w:val="21"/>
                      <w:highlight w:val="none"/>
                      <w:u w:val="single"/>
                      <w:lang w:bidi="ar"/>
                    </w:rPr>
                    <w:t>1</w:t>
                  </w:r>
                  <w:r>
                    <w:rPr>
                      <w:rFonts w:hint="eastAsia" w:ascii="Times New Roman" w:hAnsi="Times New Roman" w:cs="宋体"/>
                      <w:color w:val="auto"/>
                      <w:sz w:val="21"/>
                      <w:szCs w:val="21"/>
                      <w:highlight w:val="none"/>
                      <w:u w:val="single"/>
                      <w:lang w:bidi="ar"/>
                    </w:rPr>
                    <w:t>、自动监测设施不可用时，可按相关标准执行人工取样监测。</w:t>
                  </w:r>
                </w:p>
                <w:p>
                  <w:pPr>
                    <w:pStyle w:val="14"/>
                    <w:snapToGrid w:val="0"/>
                    <w:spacing w:before="0" w:beforeAutospacing="0" w:after="0" w:afterAutospacing="0"/>
                    <w:jc w:val="both"/>
                    <w:rPr>
                      <w:rFonts w:ascii="Times New Roman" w:hAnsi="Times New Roman" w:cs="宋体"/>
                      <w:color w:val="auto"/>
                      <w:sz w:val="21"/>
                      <w:szCs w:val="21"/>
                      <w:highlight w:val="none"/>
                      <w:u w:val="single"/>
                      <w:lang w:bidi="ar"/>
                    </w:rPr>
                  </w:pPr>
                  <w:r>
                    <w:rPr>
                      <w:rFonts w:hint="eastAsia" w:ascii="Times New Roman" w:hAnsi="Times New Roman" w:cs="宋体"/>
                      <w:color w:val="auto"/>
                      <w:sz w:val="21"/>
                      <w:szCs w:val="21"/>
                      <w:highlight w:val="none"/>
                      <w:u w:val="single"/>
                      <w:lang w:bidi="ar"/>
                    </w:rPr>
                    <w:t>2、噪声、海水环境自行监测内容，建议纳入全厂区已有自行监测计划一并考虑。</w:t>
                  </w:r>
                </w:p>
              </w:tc>
            </w:tr>
          </w:tbl>
          <w:p>
            <w:pPr>
              <w:pStyle w:val="3"/>
              <w:jc w:val="both"/>
              <w:rPr>
                <w:color w:val="auto"/>
                <w:highlight w:val="none"/>
                <w:u w:val="single"/>
              </w:rPr>
            </w:pPr>
            <w:bookmarkStart w:id="38" w:name="_Toc9946"/>
          </w:p>
          <w:p>
            <w:pPr>
              <w:pStyle w:val="3"/>
              <w:jc w:val="both"/>
              <w:rPr>
                <w:color w:val="auto"/>
                <w:highlight w:val="none"/>
                <w:u w:val="single"/>
              </w:rPr>
            </w:pPr>
            <w:bookmarkStart w:id="39" w:name="_Toc22871"/>
            <w:r>
              <w:rPr>
                <w:color w:val="auto"/>
                <w:highlight w:val="none"/>
                <w:u w:val="single"/>
              </w:rPr>
              <w:t>4.</w:t>
            </w:r>
            <w:r>
              <w:rPr>
                <w:rFonts w:hint="eastAsia"/>
                <w:color w:val="auto"/>
                <w:highlight w:val="none"/>
                <w:u w:val="single"/>
              </w:rPr>
              <w:t>4建设项目“三同时”验收</w:t>
            </w:r>
            <w:bookmarkEnd w:id="38"/>
            <w:bookmarkEnd w:id="39"/>
          </w:p>
          <w:p>
            <w:pPr>
              <w:pStyle w:val="8"/>
              <w:rPr>
                <w:color w:val="auto"/>
                <w:highlight w:val="none"/>
                <w:u w:val="single"/>
              </w:rPr>
            </w:pPr>
            <w:r>
              <w:rPr>
                <w:rFonts w:hint="eastAsia"/>
                <w:color w:val="auto"/>
                <w:highlight w:val="none"/>
                <w:u w:val="single"/>
              </w:rPr>
              <w:t>根据《建设项目环境保护管理条例》（国务院第682号令），建设项目竣工后，建设单位应按照国务院环境保护行政主管部门规定的标准和程序进行竣工环境保护验收；建设单位在环境保护验收过程中，应当如实查验、监测、记载建设项目环境保护设施的建设和调试情况，其配套建设的环境保护设施经验收合格，方可投入生产或者使用；未经验收或者验收不合格的，不得投入生产或者使用。本项目环保“三同时”验收清单见下表。</w:t>
            </w:r>
          </w:p>
          <w:p>
            <w:pPr>
              <w:pStyle w:val="5"/>
              <w:keepNext w:val="0"/>
              <w:ind w:firstLine="0" w:firstLineChars="0"/>
              <w:jc w:val="center"/>
              <w:rPr>
                <w:color w:val="auto"/>
                <w:highlight w:val="none"/>
              </w:rPr>
            </w:pPr>
            <w:r>
              <w:rPr>
                <w:rFonts w:hint="eastAsia"/>
                <w:color w:val="auto"/>
                <w:highlight w:val="none"/>
              </w:rPr>
              <w:t>表</w:t>
            </w:r>
            <w:r>
              <w:rPr>
                <w:color w:val="auto"/>
                <w:highlight w:val="none"/>
              </w:rPr>
              <w:t xml:space="preserve">4-15 </w:t>
            </w:r>
            <w:r>
              <w:rPr>
                <w:rFonts w:hint="eastAsia"/>
                <w:color w:val="auto"/>
                <w:highlight w:val="none"/>
              </w:rPr>
              <w:t>工程环保竣工验收一览表</w:t>
            </w:r>
          </w:p>
          <w:tbl>
            <w:tblPr>
              <w:tblStyle w:val="17"/>
              <w:tblW w:w="499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136"/>
              <w:gridCol w:w="3024"/>
              <w:gridCol w:w="3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类型</w:t>
                  </w: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污染源</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环保措施</w:t>
                  </w:r>
                </w:p>
              </w:tc>
              <w:tc>
                <w:tcPr>
                  <w:tcW w:w="2081" w:type="pc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验收标准和要求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废水</w:t>
                  </w: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非放射性生产废水</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lang w:eastAsia="zh"/>
                    </w:rPr>
                  </w:pPr>
                  <w:r>
                    <w:rPr>
                      <w:color w:val="auto"/>
                      <w:sz w:val="21"/>
                      <w:szCs w:val="21"/>
                      <w:highlight w:val="none"/>
                      <w:u w:val="single"/>
                    </w:rPr>
                    <w:t>工艺路线一</w:t>
                  </w:r>
                  <w:r>
                    <w:rPr>
                      <w:rFonts w:hint="eastAsia"/>
                      <w:color w:val="auto"/>
                      <w:sz w:val="21"/>
                      <w:szCs w:val="21"/>
                      <w:highlight w:val="none"/>
                      <w:u w:val="single"/>
                      <w:lang w:eastAsia="zh"/>
                    </w:rPr>
                    <w:t>：</w:t>
                  </w:r>
                  <w:r>
                    <w:rPr>
                      <w:color w:val="auto"/>
                      <w:sz w:val="21"/>
                      <w:szCs w:val="21"/>
                      <w:highlight w:val="none"/>
                      <w:u w:val="single"/>
                    </w:rPr>
                    <w:t>含油废水处理站出水及其他非放射性废水采用“调节池+pH调整池+混合池+反应池+浮沉池+中间水池+过滤器+清水池”</w:t>
                  </w:r>
                  <w:r>
                    <w:rPr>
                      <w:rFonts w:hint="eastAsia"/>
                      <w:color w:val="auto"/>
                      <w:sz w:val="21"/>
                      <w:szCs w:val="21"/>
                      <w:highlight w:val="none"/>
                      <w:u w:val="single"/>
                      <w:lang w:eastAsia="zh"/>
                    </w:rPr>
                    <w:t>；</w:t>
                  </w:r>
                </w:p>
                <w:p>
                  <w:pPr>
                    <w:pStyle w:val="8"/>
                    <w:spacing w:line="240" w:lineRule="auto"/>
                    <w:ind w:firstLine="0" w:firstLineChars="0"/>
                    <w:rPr>
                      <w:color w:val="auto"/>
                      <w:sz w:val="21"/>
                      <w:szCs w:val="21"/>
                      <w:highlight w:val="none"/>
                      <w:u w:val="single"/>
                    </w:rPr>
                  </w:pPr>
                  <w:r>
                    <w:rPr>
                      <w:color w:val="auto"/>
                      <w:sz w:val="21"/>
                      <w:szCs w:val="21"/>
                      <w:highlight w:val="none"/>
                      <w:u w:val="single"/>
                    </w:rPr>
                    <w:t>工艺路线二</w:t>
                  </w:r>
                  <w:r>
                    <w:rPr>
                      <w:rFonts w:hint="eastAsia"/>
                      <w:color w:val="auto"/>
                      <w:sz w:val="21"/>
                      <w:szCs w:val="21"/>
                      <w:highlight w:val="none"/>
                      <w:u w:val="single"/>
                      <w:lang w:eastAsia="zh"/>
                    </w:rPr>
                    <w:t>：</w:t>
                  </w:r>
                  <w:r>
                    <w:rPr>
                      <w:color w:val="auto"/>
                      <w:sz w:val="21"/>
                      <w:szCs w:val="21"/>
                      <w:highlight w:val="none"/>
                      <w:u w:val="single"/>
                    </w:rPr>
                    <w:t>除盐水厂房排水采用“调节池+过滤器+清水池”</w:t>
                  </w:r>
                </w:p>
                <w:p>
                  <w:pPr>
                    <w:pStyle w:val="8"/>
                    <w:spacing w:line="240" w:lineRule="auto"/>
                    <w:ind w:firstLine="0" w:firstLineChars="0"/>
                    <w:rPr>
                      <w:color w:val="auto"/>
                      <w:sz w:val="21"/>
                      <w:szCs w:val="21"/>
                      <w:highlight w:val="none"/>
                      <w:u w:val="single"/>
                    </w:rPr>
                  </w:pPr>
                  <w:r>
                    <w:rPr>
                      <w:rFonts w:hint="default"/>
                      <w:color w:val="auto"/>
                      <w:sz w:val="21"/>
                      <w:szCs w:val="21"/>
                      <w:highlight w:val="none"/>
                      <w:u w:val="single"/>
                    </w:rPr>
                    <w:t>两条工艺路线在实际运行时可独立运行或联合运行。</w:t>
                  </w:r>
                </w:p>
              </w:tc>
              <w:tc>
                <w:tcPr>
                  <w:tcW w:w="2081" w:type="pc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《污水综合排放标准》（</w:t>
                  </w:r>
                  <w:r>
                    <w:rPr>
                      <w:color w:val="auto"/>
                      <w:sz w:val="21"/>
                      <w:szCs w:val="21"/>
                      <w:highlight w:val="none"/>
                      <w:u w:val="single"/>
                    </w:rPr>
                    <w:t>GB 8978-1996</w:t>
                  </w:r>
                  <w:r>
                    <w:rPr>
                      <w:rFonts w:hint="eastAsia"/>
                      <w:color w:val="auto"/>
                      <w:sz w:val="21"/>
                      <w:szCs w:val="21"/>
                      <w:highlight w:val="none"/>
                      <w:u w:val="single"/>
                    </w:rPr>
                    <w:t>）表</w:t>
                  </w:r>
                  <w:r>
                    <w:rPr>
                      <w:color w:val="auto"/>
                      <w:sz w:val="21"/>
                      <w:szCs w:val="21"/>
                      <w:highlight w:val="none"/>
                      <w:u w:val="single"/>
                    </w:rPr>
                    <w:t>4</w:t>
                  </w:r>
                  <w:r>
                    <w:rPr>
                      <w:rFonts w:hint="eastAsia"/>
                      <w:color w:val="auto"/>
                      <w:sz w:val="21"/>
                      <w:szCs w:val="21"/>
                      <w:highlight w:val="none"/>
                      <w:u w:val="single"/>
                    </w:rPr>
                    <w:t>中一级标准（</w:t>
                  </w:r>
                  <w:r>
                    <w:rPr>
                      <w:color w:val="auto"/>
                      <w:sz w:val="21"/>
                      <w:szCs w:val="21"/>
                      <w:highlight w:val="none"/>
                      <w:u w:val="single"/>
                    </w:rPr>
                    <w:t>pH6~9</w:t>
                  </w:r>
                  <w:r>
                    <w:rPr>
                      <w:rFonts w:hint="eastAsia"/>
                      <w:color w:val="auto"/>
                      <w:sz w:val="21"/>
                      <w:szCs w:val="21"/>
                      <w:highlight w:val="none"/>
                      <w:u w:val="single"/>
                    </w:rPr>
                    <w:t>、</w:t>
                  </w:r>
                  <w:r>
                    <w:rPr>
                      <w:color w:val="auto"/>
                      <w:sz w:val="21"/>
                      <w:szCs w:val="21"/>
                      <w:highlight w:val="none"/>
                      <w:u w:val="single"/>
                    </w:rPr>
                    <w:t>COD</w:t>
                  </w:r>
                  <w:r>
                    <w:rPr>
                      <w:rFonts w:hint="eastAsia"/>
                      <w:color w:val="auto"/>
                      <w:sz w:val="21"/>
                      <w:szCs w:val="21"/>
                      <w:highlight w:val="none"/>
                      <w:u w:val="single"/>
                    </w:rPr>
                    <w:t>≤</w:t>
                  </w:r>
                  <w:r>
                    <w:rPr>
                      <w:color w:val="auto"/>
                      <w:sz w:val="21"/>
                      <w:szCs w:val="21"/>
                      <w:highlight w:val="none"/>
                      <w:u w:val="single"/>
                    </w:rPr>
                    <w:t>100mg/L</w:t>
                  </w:r>
                  <w:r>
                    <w:rPr>
                      <w:rFonts w:hint="eastAsia"/>
                      <w:color w:val="auto"/>
                      <w:sz w:val="21"/>
                      <w:szCs w:val="21"/>
                      <w:highlight w:val="none"/>
                      <w:u w:val="single"/>
                    </w:rPr>
                    <w:t>、</w:t>
                  </w:r>
                  <w:r>
                    <w:rPr>
                      <w:color w:val="auto"/>
                      <w:sz w:val="21"/>
                      <w:szCs w:val="21"/>
                      <w:highlight w:val="none"/>
                      <w:u w:val="single"/>
                    </w:rPr>
                    <w:t>SS</w:t>
                  </w:r>
                  <w:r>
                    <w:rPr>
                      <w:rFonts w:hint="eastAsia"/>
                      <w:color w:val="auto"/>
                      <w:sz w:val="21"/>
                      <w:szCs w:val="21"/>
                      <w:highlight w:val="none"/>
                      <w:u w:val="single"/>
                    </w:rPr>
                    <w:t>≤</w:t>
                  </w:r>
                  <w:r>
                    <w:rPr>
                      <w:color w:val="auto"/>
                      <w:sz w:val="21"/>
                      <w:szCs w:val="21"/>
                      <w:highlight w:val="none"/>
                      <w:u w:val="single"/>
                    </w:rPr>
                    <w:t>70mg/L</w:t>
                  </w:r>
                  <w:r>
                    <w:rPr>
                      <w:rFonts w:hint="eastAsia"/>
                      <w:color w:val="auto"/>
                      <w:sz w:val="21"/>
                      <w:szCs w:val="21"/>
                      <w:highlight w:val="none"/>
                      <w:u w:val="single"/>
                    </w:rPr>
                    <w:t>、氨氮≤</w:t>
                  </w:r>
                  <w:r>
                    <w:rPr>
                      <w:color w:val="auto"/>
                      <w:sz w:val="21"/>
                      <w:szCs w:val="21"/>
                      <w:highlight w:val="none"/>
                      <w:u w:val="single"/>
                    </w:rPr>
                    <w:t>15mg/L</w:t>
                  </w:r>
                  <w:r>
                    <w:rPr>
                      <w:rFonts w:hint="eastAsia"/>
                      <w:color w:val="auto"/>
                      <w:sz w:val="21"/>
                      <w:szCs w:val="21"/>
                      <w:highlight w:val="none"/>
                      <w:u w:val="single"/>
                    </w:rPr>
                    <w:t>、磷酸盐≤</w:t>
                  </w:r>
                  <w:r>
                    <w:rPr>
                      <w:color w:val="auto"/>
                      <w:sz w:val="21"/>
                      <w:szCs w:val="21"/>
                      <w:highlight w:val="none"/>
                      <w:u w:val="single"/>
                    </w:rPr>
                    <w:t>0.5mg/L</w:t>
                  </w:r>
                  <w:r>
                    <w:rPr>
                      <w:rFonts w:hint="eastAsia"/>
                      <w:color w:val="auto"/>
                      <w:sz w:val="21"/>
                      <w:szCs w:val="21"/>
                      <w:highlight w:val="none"/>
                      <w:u w:val="single"/>
                    </w:rPr>
                    <w:t>、石油类≤</w:t>
                  </w:r>
                  <w:r>
                    <w:rPr>
                      <w:color w:val="auto"/>
                      <w:sz w:val="21"/>
                      <w:szCs w:val="21"/>
                      <w:highlight w:val="none"/>
                      <w:u w:val="single"/>
                    </w:rPr>
                    <w:t>5mg/L</w:t>
                  </w:r>
                  <w:r>
                    <w:rPr>
                      <w:rFonts w:hint="eastAsia"/>
                      <w:color w:val="auto"/>
                      <w:sz w:val="21"/>
                      <w:szCs w:val="21"/>
                      <w:highlight w:val="none"/>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噪声</w:t>
                  </w: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泵、污泥脱水等设备噪声源</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采取的降噪措施为基础减震、建筑隔声</w:t>
                  </w:r>
                </w:p>
              </w:tc>
              <w:tc>
                <w:tcPr>
                  <w:tcW w:w="2081" w:type="pc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厂界执行《工业企业厂界环境噪声排放标准》（</w:t>
                  </w:r>
                  <w:r>
                    <w:rPr>
                      <w:color w:val="auto"/>
                      <w:sz w:val="21"/>
                      <w:szCs w:val="21"/>
                      <w:highlight w:val="none"/>
                      <w:u w:val="single"/>
                    </w:rPr>
                    <w:t>GB 12348-2008</w:t>
                  </w:r>
                  <w:r>
                    <w:rPr>
                      <w:rFonts w:hint="eastAsia"/>
                      <w:color w:val="auto"/>
                      <w:sz w:val="21"/>
                      <w:szCs w:val="21"/>
                      <w:highlight w:val="none"/>
                      <w:u w:val="single"/>
                    </w:rPr>
                    <w:t>）</w:t>
                  </w:r>
                  <w:r>
                    <w:rPr>
                      <w:color w:val="auto"/>
                      <w:sz w:val="21"/>
                      <w:szCs w:val="21"/>
                      <w:highlight w:val="none"/>
                      <w:u w:val="single"/>
                    </w:rPr>
                    <w:t>3</w:t>
                  </w:r>
                  <w:r>
                    <w:rPr>
                      <w:rFonts w:hint="eastAsia"/>
                      <w:color w:val="auto"/>
                      <w:sz w:val="21"/>
                      <w:szCs w:val="21"/>
                      <w:highlight w:val="none"/>
                      <w:u w:val="single"/>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vMerge w:val="restart"/>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固体废物</w:t>
                  </w: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污泥</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rFonts w:hint="eastAsia" w:eastAsia="宋体"/>
                      <w:color w:val="auto"/>
                      <w:sz w:val="21"/>
                      <w:szCs w:val="21"/>
                      <w:highlight w:val="none"/>
                      <w:u w:val="single"/>
                      <w:lang w:eastAsia="zh"/>
                    </w:rPr>
                  </w:pPr>
                  <w:r>
                    <w:rPr>
                      <w:rFonts w:hint="eastAsia"/>
                      <w:color w:val="auto"/>
                      <w:sz w:val="21"/>
                      <w:szCs w:val="21"/>
                      <w:highlight w:val="none"/>
                      <w:u w:val="single"/>
                      <w:lang w:eastAsia="zh"/>
                    </w:rPr>
                    <w:t>配套1处污泥处理间及固废暂存间，产生污泥经脱水后定期清运，委托有污泥处置能力的单位外运处理</w:t>
                  </w:r>
                </w:p>
              </w:tc>
              <w:tc>
                <w:tcPr>
                  <w:tcW w:w="2081" w:type="pct"/>
                  <w:vMerge w:val="restar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一般工业固体废物的贮存参照执行《一般工业固体废物贮存和填埋污染控制标准》（</w:t>
                  </w:r>
                  <w:r>
                    <w:rPr>
                      <w:color w:val="auto"/>
                      <w:sz w:val="21"/>
                      <w:szCs w:val="21"/>
                      <w:highlight w:val="none"/>
                      <w:u w:val="single"/>
                    </w:rPr>
                    <w:t>GB 18599-2020</w:t>
                  </w:r>
                  <w:r>
                    <w:rPr>
                      <w:rFonts w:hint="eastAsia"/>
                      <w:color w:val="auto"/>
                      <w:sz w:val="21"/>
                      <w:szCs w:val="21"/>
                      <w:highlight w:val="none"/>
                      <w:u w:val="single"/>
                    </w:rPr>
                    <w:t>）相应类别的标准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vMerge w:val="continue"/>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Cs w:val="21"/>
                      <w:highlight w:val="none"/>
                      <w:u w:val="single"/>
                    </w:rPr>
                  </w:pP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废活性炭</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废活性炭由原料提供商更换后直接回收，活性炭过滤设备</w:t>
                  </w:r>
                  <w:r>
                    <w:rPr>
                      <w:rFonts w:hint="eastAsia"/>
                      <w:color w:val="auto"/>
                      <w:sz w:val="21"/>
                      <w:szCs w:val="21"/>
                      <w:highlight w:val="none"/>
                      <w:u w:val="single"/>
                      <w:lang w:val="en-US" w:eastAsia="zh-CN"/>
                    </w:rPr>
                    <w:t>有备用</w:t>
                  </w:r>
                  <w:r>
                    <w:rPr>
                      <w:rFonts w:hint="eastAsia"/>
                      <w:color w:val="auto"/>
                      <w:sz w:val="21"/>
                      <w:szCs w:val="21"/>
                      <w:highlight w:val="none"/>
                      <w:u w:val="single"/>
                    </w:rPr>
                    <w:t>，可及时更换回收不在场内暂存</w:t>
                  </w:r>
                </w:p>
              </w:tc>
              <w:tc>
                <w:tcPr>
                  <w:tcW w:w="2081" w:type="pct"/>
                  <w:vMerge w:val="continue"/>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51" w:type="pct"/>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地下水和土壤</w:t>
                  </w:r>
                </w:p>
              </w:tc>
              <w:tc>
                <w:tcPr>
                  <w:tcW w:w="67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废水处理站池体等</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一般防渗区：调节池、中间水池、污泥池、清水池、深度处理间、污泥脱水间、工艺预处理区、药品储罐区、在线监测间、水泵间。</w:t>
                  </w:r>
                  <w:r>
                    <w:rPr>
                      <w:rFonts w:hint="eastAsia" w:ascii="宋体" w:hAnsi="宋体" w:cs="宋体"/>
                      <w:color w:val="auto"/>
                      <w:sz w:val="21"/>
                      <w:szCs w:val="21"/>
                      <w:highlight w:val="none"/>
                      <w:u w:val="single"/>
                    </w:rPr>
                    <w:t>等效黏土层厚</w:t>
                  </w:r>
                  <w:r>
                    <w:rPr>
                      <w:rFonts w:ascii="Arial" w:hAnsi="Arial" w:cs="Arial"/>
                      <w:color w:val="auto"/>
                      <w:sz w:val="21"/>
                      <w:szCs w:val="21"/>
                      <w:highlight w:val="none"/>
                      <w:u w:val="single"/>
                    </w:rPr>
                    <w:t>≥</w:t>
                  </w:r>
                  <w:r>
                    <w:rPr>
                      <w:rFonts w:hint="eastAsia" w:ascii="宋体" w:hAnsi="宋体" w:cs="宋体"/>
                      <w:color w:val="auto"/>
                      <w:sz w:val="21"/>
                      <w:szCs w:val="21"/>
                      <w:highlight w:val="none"/>
                      <w:u w:val="single"/>
                    </w:rPr>
                    <w:t>1.5m，K</w:t>
                  </w:r>
                  <w:r>
                    <w:rPr>
                      <w:rFonts w:hint="eastAsia" w:ascii="微软雅黑" w:hAnsi="微软雅黑" w:eastAsia="微软雅黑" w:cs="微软雅黑"/>
                      <w:color w:val="auto"/>
                      <w:sz w:val="21"/>
                      <w:szCs w:val="21"/>
                      <w:highlight w:val="none"/>
                      <w:u w:val="single"/>
                    </w:rPr>
                    <w:t>≤</w:t>
                  </w:r>
                  <w:r>
                    <w:rPr>
                      <w:rFonts w:hint="eastAsia" w:ascii="宋体" w:hAnsi="宋体" w:cs="宋体"/>
                      <w:color w:val="auto"/>
                      <w:sz w:val="21"/>
                      <w:szCs w:val="21"/>
                      <w:highlight w:val="none"/>
                      <w:u w:val="single"/>
                    </w:rPr>
                    <w:t>1×10</w:t>
                  </w:r>
                  <w:r>
                    <w:rPr>
                      <w:rFonts w:hint="eastAsia" w:ascii="宋体" w:hAnsi="宋体" w:cs="宋体"/>
                      <w:color w:val="auto"/>
                      <w:sz w:val="21"/>
                      <w:szCs w:val="21"/>
                      <w:highlight w:val="none"/>
                      <w:u w:val="single"/>
                      <w:vertAlign w:val="superscript"/>
                    </w:rPr>
                    <w:t>—7</w:t>
                  </w:r>
                  <w:r>
                    <w:rPr>
                      <w:rFonts w:hint="eastAsia" w:ascii="宋体" w:hAnsi="宋体" w:cs="宋体"/>
                      <w:color w:val="auto"/>
                      <w:sz w:val="21"/>
                      <w:szCs w:val="21"/>
                      <w:highlight w:val="none"/>
                      <w:u w:val="single"/>
                    </w:rPr>
                    <w:t>cm/s；或参照GB16889执行</w:t>
                  </w:r>
                </w:p>
              </w:tc>
              <w:tc>
                <w:tcPr>
                  <w:tcW w:w="2081" w:type="pc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检查落实情况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125" w:type="pct"/>
                  <w:gridSpan w:val="2"/>
                  <w:tcBorders>
                    <w:top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环境风险</w:t>
                  </w:r>
                </w:p>
              </w:tc>
              <w:tc>
                <w:tcPr>
                  <w:tcW w:w="1794" w:type="pct"/>
                  <w:tcBorders>
                    <w:top w:val="single" w:color="auto" w:sz="4" w:space="0"/>
                    <w:left w:val="single" w:color="auto" w:sz="4" w:space="0"/>
                    <w:bottom w:val="single" w:color="auto" w:sz="4" w:space="0"/>
                    <w:right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①增强环保意识，加强企业的环境管理水平。</w:t>
                  </w:r>
                </w:p>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②加强对作业人员的教育培训，增强员工的安全意识和职业技能，提高员工处理事故的能力和事故发生时自救、互救能力。明确职责，并落实到各生产单元和有关人员。</w:t>
                  </w:r>
                </w:p>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③严格按照防火规范进行物品存放区等的平面布置，电气设备及仪表按防爆等级的不同选用不同的设备。</w:t>
                  </w:r>
                </w:p>
              </w:tc>
              <w:tc>
                <w:tcPr>
                  <w:tcW w:w="2081" w:type="pct"/>
                  <w:tcBorders>
                    <w:top w:val="single" w:color="auto" w:sz="4" w:space="0"/>
                    <w:left w:val="single" w:color="auto" w:sz="4" w:space="0"/>
                    <w:bottom w:val="single" w:color="auto" w:sz="4" w:space="0"/>
                    <w:tl2br w:val="nil"/>
                    <w:tr2bl w:val="nil"/>
                  </w:tcBorders>
                  <w:vAlign w:val="center"/>
                </w:tcPr>
                <w:p>
                  <w:pPr>
                    <w:pStyle w:val="8"/>
                    <w:spacing w:line="240" w:lineRule="auto"/>
                    <w:ind w:firstLine="0" w:firstLineChars="0"/>
                    <w:rPr>
                      <w:color w:val="auto"/>
                      <w:sz w:val="21"/>
                      <w:szCs w:val="21"/>
                      <w:highlight w:val="none"/>
                      <w:u w:val="single"/>
                    </w:rPr>
                  </w:pPr>
                  <w:r>
                    <w:rPr>
                      <w:rFonts w:hint="eastAsia"/>
                      <w:color w:val="auto"/>
                      <w:sz w:val="21"/>
                      <w:szCs w:val="21"/>
                      <w:highlight w:val="none"/>
                      <w:u w:val="single"/>
                    </w:rPr>
                    <w:t>检查落实情况</w:t>
                  </w:r>
                </w:p>
              </w:tc>
            </w:tr>
          </w:tbl>
          <w:p>
            <w:pPr>
              <w:pStyle w:val="3"/>
              <w:jc w:val="both"/>
              <w:rPr>
                <w:color w:val="auto"/>
                <w:highlight w:val="none"/>
                <w:u w:val="single"/>
              </w:rPr>
            </w:pPr>
            <w:bookmarkStart w:id="40" w:name="_Toc26851"/>
            <w:bookmarkStart w:id="41" w:name="_Toc26097"/>
            <w:r>
              <w:rPr>
                <w:color w:val="auto"/>
                <w:highlight w:val="none"/>
                <w:u w:val="single"/>
              </w:rPr>
              <w:t>4.5</w:t>
            </w:r>
            <w:r>
              <w:rPr>
                <w:rFonts w:hint="eastAsia"/>
                <w:color w:val="auto"/>
                <w:highlight w:val="none"/>
                <w:u w:val="single"/>
              </w:rPr>
              <w:t>环保投资</w:t>
            </w:r>
            <w:bookmarkEnd w:id="40"/>
            <w:bookmarkEnd w:id="41"/>
          </w:p>
          <w:p>
            <w:pPr>
              <w:pStyle w:val="8"/>
              <w:rPr>
                <w:color w:val="auto"/>
                <w:highlight w:val="none"/>
                <w:u w:val="single"/>
              </w:rPr>
            </w:pPr>
            <w:r>
              <w:rPr>
                <w:rFonts w:hint="eastAsia"/>
                <w:color w:val="auto"/>
                <w:highlight w:val="none"/>
                <w:u w:val="single"/>
              </w:rPr>
              <w:t>根据工程分析，本项目为福清核电厂区雨废分离项目，为加强福清核电非放射性废水处理管控能力，持续推进绿色福核建设，福清核电厂对厂区的雨水、非放射性生产废水实施管网分离改造，并建设非放射性生产废水处理站，对收集来的非放射性生产废水进行监测、处理、排放。</w:t>
            </w:r>
          </w:p>
          <w:p>
            <w:pPr>
              <w:pStyle w:val="8"/>
              <w:rPr>
                <w:color w:val="auto"/>
                <w:highlight w:val="none"/>
                <w:u w:val="single"/>
              </w:rPr>
            </w:pPr>
            <w:r>
              <w:rPr>
                <w:rFonts w:hint="eastAsia"/>
                <w:color w:val="auto"/>
                <w:highlight w:val="none"/>
                <w:u w:val="single"/>
              </w:rPr>
              <w:t>根据《建设项目环境影响报告书审批基础信息表填写说明》（环办环评函〔2020〕711号），“对于单独的环境治理项目，如污水处理厂、固体废物处置场等，其环保投资即为其总投资。”因此，本项目环保投资即为总投资，占比100%。</w:t>
            </w:r>
          </w:p>
          <w:p>
            <w:pPr>
              <w:pStyle w:val="8"/>
              <w:rPr>
                <w:color w:val="auto"/>
                <w:highlight w:val="none"/>
                <w:u w:val="single"/>
              </w:rPr>
            </w:pPr>
          </w:p>
          <w:p>
            <w:pPr>
              <w:pStyle w:val="8"/>
              <w:ind w:firstLine="0" w:firstLineChars="0"/>
              <w:rPr>
                <w:color w:val="auto"/>
                <w:highlight w:val="none"/>
              </w:rPr>
            </w:pPr>
          </w:p>
        </w:tc>
      </w:tr>
    </w:tbl>
    <w:p>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cols w:space="720" w:num="1"/>
          <w:docGrid w:linePitch="312" w:charSpace="0"/>
        </w:sectPr>
      </w:pPr>
    </w:p>
    <w:p>
      <w:pPr>
        <w:pStyle w:val="14"/>
        <w:ind w:firstLine="600" w:firstLineChars="200"/>
        <w:jc w:val="center"/>
        <w:outlineLvl w:val="0"/>
        <w:rPr>
          <w:rFonts w:ascii="黑体" w:hAnsi="黑体" w:eastAsia="黑体"/>
          <w:snapToGrid w:val="0"/>
          <w:color w:val="auto"/>
          <w:sz w:val="30"/>
          <w:szCs w:val="30"/>
          <w:highlight w:val="none"/>
        </w:rPr>
      </w:pPr>
      <w:bookmarkStart w:id="42" w:name="_Toc6334"/>
      <w:bookmarkStart w:id="43" w:name="_Toc25032"/>
      <w:r>
        <w:rPr>
          <w:rFonts w:hint="eastAsia" w:ascii="黑体" w:hAnsi="黑体" w:eastAsia="黑体"/>
          <w:snapToGrid w:val="0"/>
          <w:color w:val="auto"/>
          <w:sz w:val="30"/>
          <w:szCs w:val="30"/>
          <w:highlight w:val="none"/>
        </w:rPr>
        <w:t>五、</w:t>
      </w:r>
      <w:bookmarkStart w:id="44" w:name="_Hlk54167917"/>
      <w:r>
        <w:rPr>
          <w:rFonts w:hint="eastAsia" w:ascii="黑体" w:hAnsi="黑体" w:eastAsia="黑体"/>
          <w:snapToGrid w:val="0"/>
          <w:color w:val="auto"/>
          <w:sz w:val="30"/>
          <w:szCs w:val="30"/>
          <w:highlight w:val="none"/>
        </w:rPr>
        <w:t>环境保护措施监督检查清单</w:t>
      </w:r>
      <w:bookmarkEnd w:id="42"/>
      <w:bookmarkEnd w:id="43"/>
      <w:bookmarkEnd w:id="44"/>
    </w:p>
    <w:tbl>
      <w:tblPr>
        <w:tblStyle w:val="1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746"/>
        <w:gridCol w:w="1185"/>
        <w:gridCol w:w="2735"/>
        <w:gridCol w:w="22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36" w:type="pct"/>
            <w:tcBorders>
              <w:tl2br w:val="single" w:color="auto" w:sz="4" w:space="0"/>
            </w:tcBorders>
            <w:vAlign w:val="bottom"/>
          </w:tcPr>
          <w:p>
            <w:pPr>
              <w:pStyle w:val="36"/>
              <w:jc w:val="right"/>
              <w:rPr>
                <w:highlight w:val="none"/>
              </w:rPr>
            </w:pPr>
            <w:r>
              <w:rPr>
                <w:highlight w:val="none"/>
              </w:rPr>
              <w:t>内容</w:t>
            </w:r>
          </w:p>
          <w:p>
            <w:pPr>
              <w:pStyle w:val="36"/>
              <w:rPr>
                <w:highlight w:val="none"/>
              </w:rPr>
            </w:pPr>
          </w:p>
          <w:p>
            <w:pPr>
              <w:pStyle w:val="36"/>
              <w:jc w:val="left"/>
              <w:rPr>
                <w:highlight w:val="none"/>
              </w:rPr>
            </w:pPr>
            <w:r>
              <w:rPr>
                <w:highlight w:val="none"/>
              </w:rPr>
              <w:t>要素</w:t>
            </w:r>
          </w:p>
        </w:tc>
        <w:tc>
          <w:tcPr>
            <w:tcW w:w="964" w:type="pct"/>
            <w:vAlign w:val="center"/>
          </w:tcPr>
          <w:p>
            <w:pPr>
              <w:pStyle w:val="36"/>
              <w:rPr>
                <w:highlight w:val="none"/>
              </w:rPr>
            </w:pPr>
            <w:r>
              <w:rPr>
                <w:highlight w:val="none"/>
              </w:rPr>
              <w:t>排放口</w:t>
            </w:r>
            <w:r>
              <w:rPr>
                <w:rFonts w:hint="eastAsia"/>
                <w:highlight w:val="none"/>
              </w:rPr>
              <w:t>（</w:t>
            </w:r>
            <w:r>
              <w:rPr>
                <w:highlight w:val="none"/>
              </w:rPr>
              <w:t>编号、</w:t>
            </w:r>
          </w:p>
          <w:p>
            <w:pPr>
              <w:pStyle w:val="36"/>
              <w:rPr>
                <w:highlight w:val="none"/>
              </w:rPr>
            </w:pPr>
            <w:r>
              <w:rPr>
                <w:highlight w:val="none"/>
              </w:rPr>
              <w:t>名称</w:t>
            </w:r>
            <w:r>
              <w:rPr>
                <w:rFonts w:hint="eastAsia"/>
                <w:highlight w:val="none"/>
              </w:rPr>
              <w:t>）</w:t>
            </w:r>
            <w:r>
              <w:rPr>
                <w:highlight w:val="none"/>
              </w:rPr>
              <w:t>/污染源</w:t>
            </w:r>
          </w:p>
        </w:tc>
        <w:tc>
          <w:tcPr>
            <w:tcW w:w="654" w:type="pct"/>
            <w:vAlign w:val="center"/>
          </w:tcPr>
          <w:p>
            <w:pPr>
              <w:pStyle w:val="36"/>
              <w:rPr>
                <w:highlight w:val="none"/>
              </w:rPr>
            </w:pPr>
            <w:r>
              <w:rPr>
                <w:highlight w:val="none"/>
              </w:rPr>
              <w:t>污染物项目</w:t>
            </w:r>
          </w:p>
        </w:tc>
        <w:tc>
          <w:tcPr>
            <w:tcW w:w="1510" w:type="pct"/>
            <w:vAlign w:val="center"/>
          </w:tcPr>
          <w:p>
            <w:pPr>
              <w:pStyle w:val="36"/>
              <w:rPr>
                <w:highlight w:val="none"/>
              </w:rPr>
            </w:pPr>
            <w:r>
              <w:rPr>
                <w:highlight w:val="none"/>
              </w:rPr>
              <w:t>环境保护措施</w:t>
            </w:r>
          </w:p>
        </w:tc>
        <w:tc>
          <w:tcPr>
            <w:tcW w:w="1234" w:type="pct"/>
            <w:vAlign w:val="center"/>
          </w:tcPr>
          <w:p>
            <w:pPr>
              <w:pStyle w:val="36"/>
              <w:rPr>
                <w:highlight w:val="none"/>
              </w:rPr>
            </w:pPr>
            <w:r>
              <w:rPr>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36" w:type="pct"/>
            <w:vAlign w:val="center"/>
          </w:tcPr>
          <w:p>
            <w:pPr>
              <w:pStyle w:val="36"/>
              <w:rPr>
                <w:highlight w:val="none"/>
              </w:rPr>
            </w:pPr>
            <w:r>
              <w:rPr>
                <w:highlight w:val="none"/>
              </w:rPr>
              <w:t>大气环境</w:t>
            </w:r>
          </w:p>
        </w:tc>
        <w:tc>
          <w:tcPr>
            <w:tcW w:w="964" w:type="pct"/>
            <w:vAlign w:val="center"/>
          </w:tcPr>
          <w:p>
            <w:pPr>
              <w:pStyle w:val="36"/>
              <w:rPr>
                <w:highlight w:val="none"/>
              </w:rPr>
            </w:pPr>
            <w:r>
              <w:rPr>
                <w:rFonts w:hint="eastAsia"/>
                <w:highlight w:val="none"/>
              </w:rPr>
              <w:t>/</w:t>
            </w:r>
          </w:p>
        </w:tc>
        <w:tc>
          <w:tcPr>
            <w:tcW w:w="654" w:type="pct"/>
            <w:vAlign w:val="center"/>
          </w:tcPr>
          <w:p>
            <w:pPr>
              <w:pStyle w:val="36"/>
              <w:rPr>
                <w:highlight w:val="none"/>
              </w:rPr>
            </w:pPr>
            <w:r>
              <w:rPr>
                <w:rFonts w:hint="eastAsia"/>
                <w:highlight w:val="none"/>
              </w:rPr>
              <w:t>/</w:t>
            </w:r>
          </w:p>
        </w:tc>
        <w:tc>
          <w:tcPr>
            <w:tcW w:w="1510" w:type="pct"/>
            <w:vAlign w:val="center"/>
          </w:tcPr>
          <w:p>
            <w:pPr>
              <w:pStyle w:val="36"/>
              <w:rPr>
                <w:highlight w:val="none"/>
              </w:rPr>
            </w:pPr>
            <w:r>
              <w:rPr>
                <w:rFonts w:hint="eastAsia"/>
                <w:highlight w:val="none"/>
              </w:rPr>
              <w:t>/</w:t>
            </w:r>
          </w:p>
        </w:tc>
        <w:tc>
          <w:tcPr>
            <w:tcW w:w="1234" w:type="pct"/>
            <w:vAlign w:val="center"/>
          </w:tcPr>
          <w:p>
            <w:pPr>
              <w:pStyle w:val="36"/>
              <w:rPr>
                <w:highlight w:val="none"/>
              </w:rPr>
            </w:pPr>
            <w:r>
              <w:rPr>
                <w:rFonts w:hint="eastAsia"/>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636" w:type="pct"/>
            <w:vAlign w:val="center"/>
          </w:tcPr>
          <w:p>
            <w:pPr>
              <w:pStyle w:val="36"/>
              <w:rPr>
                <w:highlight w:val="none"/>
              </w:rPr>
            </w:pPr>
            <w:r>
              <w:rPr>
                <w:highlight w:val="none"/>
              </w:rPr>
              <w:t>地表水环境</w:t>
            </w:r>
          </w:p>
        </w:tc>
        <w:tc>
          <w:tcPr>
            <w:tcW w:w="964" w:type="pct"/>
            <w:tcBorders>
              <w:bottom w:val="single" w:color="auto" w:sz="4" w:space="0"/>
            </w:tcBorders>
            <w:vAlign w:val="center"/>
          </w:tcPr>
          <w:p>
            <w:pPr>
              <w:pStyle w:val="36"/>
              <w:rPr>
                <w:highlight w:val="none"/>
              </w:rPr>
            </w:pPr>
            <w:r>
              <w:rPr>
                <w:rFonts w:hint="eastAsia"/>
                <w:color w:val="0000FF"/>
                <w:highlight w:val="none"/>
              </w:rPr>
              <w:t>含油废水处理站油水分离后出水、除盐水厂房经酸碱中和处理后排水、其他非放射性排水</w:t>
            </w:r>
          </w:p>
        </w:tc>
        <w:tc>
          <w:tcPr>
            <w:tcW w:w="654" w:type="pct"/>
            <w:tcBorders>
              <w:bottom w:val="single" w:color="auto" w:sz="4" w:space="0"/>
            </w:tcBorders>
            <w:vAlign w:val="center"/>
          </w:tcPr>
          <w:p>
            <w:pPr>
              <w:pStyle w:val="36"/>
              <w:rPr>
                <w:highlight w:val="none"/>
              </w:rPr>
            </w:pPr>
            <w:r>
              <w:rPr>
                <w:rFonts w:hint="eastAsia"/>
                <w:highlight w:val="none"/>
              </w:rPr>
              <w:t>pH、COD、</w:t>
            </w:r>
            <w:r>
              <w:rPr>
                <w:highlight w:val="none"/>
              </w:rPr>
              <w:t>SS、总磷、氨氮、石油类</w:t>
            </w:r>
          </w:p>
        </w:tc>
        <w:tc>
          <w:tcPr>
            <w:tcW w:w="1510" w:type="pct"/>
            <w:tcBorders>
              <w:bottom w:val="single" w:color="auto" w:sz="4" w:space="0"/>
            </w:tcBorders>
            <w:vAlign w:val="center"/>
          </w:tcPr>
          <w:p>
            <w:pPr>
              <w:pStyle w:val="36"/>
              <w:rPr>
                <w:highlight w:val="none"/>
                <w:lang w:eastAsia="zh"/>
              </w:rPr>
            </w:pPr>
            <w:r>
              <w:rPr>
                <w:highlight w:val="none"/>
              </w:rPr>
              <w:t>工艺路线一</w:t>
            </w:r>
            <w:r>
              <w:rPr>
                <w:rFonts w:hint="eastAsia"/>
                <w:highlight w:val="none"/>
                <w:lang w:eastAsia="zh"/>
              </w:rPr>
              <w:t>：</w:t>
            </w:r>
            <w:r>
              <w:rPr>
                <w:highlight w:val="none"/>
              </w:rPr>
              <w:t>含油废水处理站出水及其他非放射性废水采用“调节池+pH调整池+混合池+反应池+浮沉池+中间水池+过滤器+清水池”</w:t>
            </w:r>
            <w:r>
              <w:rPr>
                <w:rFonts w:hint="eastAsia"/>
                <w:highlight w:val="none"/>
                <w:lang w:eastAsia="zh"/>
              </w:rPr>
              <w:t>；</w:t>
            </w:r>
          </w:p>
          <w:p>
            <w:pPr>
              <w:pStyle w:val="36"/>
              <w:rPr>
                <w:highlight w:val="none"/>
              </w:rPr>
            </w:pPr>
            <w:r>
              <w:rPr>
                <w:highlight w:val="none"/>
              </w:rPr>
              <w:t>工艺路线二</w:t>
            </w:r>
            <w:r>
              <w:rPr>
                <w:rFonts w:hint="eastAsia"/>
                <w:highlight w:val="none"/>
                <w:lang w:eastAsia="zh"/>
              </w:rPr>
              <w:t>：</w:t>
            </w:r>
            <w:r>
              <w:rPr>
                <w:highlight w:val="none"/>
              </w:rPr>
              <w:t>除盐水厂房排水采用“调节池+过滤器+清水池”</w:t>
            </w:r>
            <w:r>
              <w:rPr>
                <w:rFonts w:hint="eastAsia"/>
                <w:highlight w:val="none"/>
              </w:rPr>
              <w:t>，</w:t>
            </w:r>
            <w:r>
              <w:rPr>
                <w:rFonts w:hint="eastAsia" w:cs="Times New Roman"/>
                <w:highlight w:val="none"/>
              </w:rPr>
              <w:t>两条工艺</w:t>
            </w:r>
            <w:r>
              <w:rPr>
                <w:rFonts w:cs="Times New Roman"/>
                <w:highlight w:val="none"/>
              </w:rPr>
              <w:t>路线在实际运行时</w:t>
            </w:r>
            <w:r>
              <w:rPr>
                <w:rFonts w:hint="eastAsia"/>
                <w:highlight w:val="none"/>
              </w:rPr>
              <w:t>可</w:t>
            </w:r>
            <w:r>
              <w:rPr>
                <w:rFonts w:cs="Times New Roman"/>
                <w:highlight w:val="none"/>
              </w:rPr>
              <w:t>独立运行或联合运行。</w:t>
            </w:r>
            <w:r>
              <w:rPr>
                <w:rFonts w:hint="eastAsia"/>
                <w:highlight w:val="none"/>
                <w:lang w:val="en-US" w:eastAsia="zh-CN"/>
              </w:rPr>
              <w:t>处理达标后排入厂区现有虹吸井(又名跌落井，编号8CC)</w:t>
            </w:r>
          </w:p>
        </w:tc>
        <w:tc>
          <w:tcPr>
            <w:tcW w:w="1234" w:type="pct"/>
            <w:tcBorders>
              <w:bottom w:val="single" w:color="auto" w:sz="4" w:space="0"/>
            </w:tcBorders>
            <w:vAlign w:val="center"/>
          </w:tcPr>
          <w:p>
            <w:pPr>
              <w:pStyle w:val="36"/>
              <w:rPr>
                <w:rFonts w:hint="eastAsia" w:eastAsia="宋体"/>
                <w:highlight w:val="none"/>
                <w:lang w:val="en-US" w:eastAsia="zh-CN"/>
              </w:rPr>
            </w:pPr>
            <w:r>
              <w:rPr>
                <w:rFonts w:hint="eastAsia"/>
                <w:highlight w:val="none"/>
              </w:rPr>
              <w:t>《污水综合排放标准》（GB 8978-1996）表4中一级标准（pH：6~9、COD≤100</w:t>
            </w:r>
            <w:r>
              <w:rPr>
                <w:highlight w:val="none"/>
              </w:rPr>
              <w:t>mg/L</w:t>
            </w:r>
            <w:r>
              <w:rPr>
                <w:rFonts w:hint="eastAsia"/>
                <w:highlight w:val="none"/>
              </w:rPr>
              <w:t>、SS≤70</w:t>
            </w:r>
            <w:r>
              <w:rPr>
                <w:highlight w:val="none"/>
              </w:rPr>
              <w:t>mg/L</w:t>
            </w:r>
            <w:r>
              <w:rPr>
                <w:rFonts w:hint="eastAsia"/>
                <w:highlight w:val="none"/>
              </w:rPr>
              <w:t>、氨氮≤15</w:t>
            </w:r>
            <w:r>
              <w:rPr>
                <w:highlight w:val="none"/>
              </w:rPr>
              <w:t>mg/L</w:t>
            </w:r>
            <w:r>
              <w:rPr>
                <w:rFonts w:hint="eastAsia"/>
                <w:highlight w:val="none"/>
              </w:rPr>
              <w:t>、磷酸盐≤0.5</w:t>
            </w:r>
            <w:r>
              <w:rPr>
                <w:highlight w:val="none"/>
              </w:rPr>
              <w:t>mg/L</w:t>
            </w:r>
            <w:r>
              <w:rPr>
                <w:rFonts w:hint="eastAsia"/>
                <w:highlight w:val="none"/>
              </w:rPr>
              <w:t>、石油类≤5</w:t>
            </w:r>
            <w:r>
              <w:rPr>
                <w:highlight w:val="none"/>
              </w:rPr>
              <w:t>mg/L</w:t>
            </w:r>
            <w:r>
              <w:rPr>
                <w:rFonts w:hint="eastAsia"/>
                <w:highlight w:val="none"/>
              </w:rPr>
              <w:t>）</w:t>
            </w:r>
            <w:r>
              <w:rPr>
                <w:rFonts w:hint="eastAsia"/>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636" w:type="pct"/>
            <w:vAlign w:val="center"/>
          </w:tcPr>
          <w:p>
            <w:pPr>
              <w:pStyle w:val="36"/>
              <w:rPr>
                <w:highlight w:val="none"/>
              </w:rPr>
            </w:pPr>
            <w:r>
              <w:rPr>
                <w:highlight w:val="none"/>
              </w:rPr>
              <w:t>声环境</w:t>
            </w:r>
          </w:p>
        </w:tc>
        <w:tc>
          <w:tcPr>
            <w:tcW w:w="964" w:type="pct"/>
            <w:vAlign w:val="center"/>
          </w:tcPr>
          <w:p>
            <w:pPr>
              <w:pStyle w:val="36"/>
              <w:rPr>
                <w:highlight w:val="none"/>
              </w:rPr>
            </w:pPr>
            <w:r>
              <w:rPr>
                <w:highlight w:val="none"/>
              </w:rPr>
              <w:t>污染源</w:t>
            </w:r>
          </w:p>
        </w:tc>
        <w:tc>
          <w:tcPr>
            <w:tcW w:w="654" w:type="pct"/>
            <w:vAlign w:val="center"/>
          </w:tcPr>
          <w:p>
            <w:pPr>
              <w:pStyle w:val="36"/>
              <w:rPr>
                <w:highlight w:val="none"/>
              </w:rPr>
            </w:pPr>
            <w:r>
              <w:rPr>
                <w:highlight w:val="none"/>
              </w:rPr>
              <w:t>等效连续A声级</w:t>
            </w:r>
          </w:p>
          <w:p>
            <w:pPr>
              <w:pStyle w:val="36"/>
              <w:rPr>
                <w:highlight w:val="none"/>
              </w:rPr>
            </w:pPr>
            <w:r>
              <w:rPr>
                <w:highlight w:val="none"/>
              </w:rPr>
              <w:t>dB(A)</w:t>
            </w:r>
          </w:p>
        </w:tc>
        <w:tc>
          <w:tcPr>
            <w:tcW w:w="1510" w:type="pct"/>
            <w:vAlign w:val="center"/>
          </w:tcPr>
          <w:p>
            <w:pPr>
              <w:pStyle w:val="36"/>
              <w:rPr>
                <w:highlight w:val="none"/>
              </w:rPr>
            </w:pPr>
            <w:r>
              <w:rPr>
                <w:highlight w:val="none"/>
              </w:rPr>
              <w:t>采取的降噪措施为基础减震、建筑隔声。</w:t>
            </w:r>
          </w:p>
        </w:tc>
        <w:tc>
          <w:tcPr>
            <w:tcW w:w="1234" w:type="pct"/>
            <w:vAlign w:val="center"/>
          </w:tcPr>
          <w:p>
            <w:pPr>
              <w:pStyle w:val="36"/>
              <w:rPr>
                <w:highlight w:val="none"/>
              </w:rPr>
            </w:pPr>
            <w:r>
              <w:rPr>
                <w:highlight w:val="none"/>
              </w:rPr>
              <w:t>《工业企业厂界环境噪声排放标准》（GB</w:t>
            </w:r>
            <w:r>
              <w:rPr>
                <w:rFonts w:hint="eastAsia"/>
                <w:highlight w:val="none"/>
              </w:rPr>
              <w:t xml:space="preserve"> </w:t>
            </w:r>
            <w:r>
              <w:rPr>
                <w:highlight w:val="none"/>
              </w:rPr>
              <w:t>12348-2008）中的</w:t>
            </w:r>
            <w:r>
              <w:rPr>
                <w:rFonts w:hint="eastAsia"/>
                <w:highlight w:val="none"/>
              </w:rPr>
              <w:t>3</w:t>
            </w:r>
            <w:r>
              <w:rPr>
                <w:highlight w:val="none"/>
              </w:rPr>
              <w:t>类排放限值</w:t>
            </w:r>
            <w:r>
              <w:rPr>
                <w:rFonts w:hint="eastAsia"/>
                <w:highlight w:val="none"/>
              </w:rPr>
              <w:t>（昼间≤65dB（A）、夜间≤55dB（A））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36" w:type="pct"/>
            <w:vAlign w:val="center"/>
          </w:tcPr>
          <w:p>
            <w:pPr>
              <w:pStyle w:val="36"/>
              <w:rPr>
                <w:highlight w:val="none"/>
              </w:rPr>
            </w:pPr>
            <w:r>
              <w:rPr>
                <w:highlight w:val="none"/>
              </w:rPr>
              <w:t>电磁辐射</w:t>
            </w:r>
          </w:p>
        </w:tc>
        <w:tc>
          <w:tcPr>
            <w:tcW w:w="4363" w:type="pct"/>
            <w:gridSpan w:val="4"/>
            <w:vAlign w:val="center"/>
          </w:tcPr>
          <w:p>
            <w:pPr>
              <w:pStyle w:val="36"/>
              <w:rPr>
                <w:highlight w:val="none"/>
              </w:rPr>
            </w:pPr>
            <w:r>
              <w:rPr>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636" w:type="pct"/>
            <w:vAlign w:val="center"/>
          </w:tcPr>
          <w:p>
            <w:pPr>
              <w:pStyle w:val="36"/>
              <w:rPr>
                <w:highlight w:val="none"/>
              </w:rPr>
            </w:pPr>
            <w:r>
              <w:rPr>
                <w:highlight w:val="none"/>
              </w:rPr>
              <w:t>固体废物</w:t>
            </w:r>
          </w:p>
        </w:tc>
        <w:tc>
          <w:tcPr>
            <w:tcW w:w="4363" w:type="pct"/>
            <w:gridSpan w:val="4"/>
            <w:vAlign w:val="center"/>
          </w:tcPr>
          <w:p>
            <w:pPr>
              <w:pStyle w:val="36"/>
              <w:rPr>
                <w:highlight w:val="none"/>
              </w:rPr>
            </w:pPr>
            <w:r>
              <w:rPr>
                <w:rFonts w:hint="eastAsia"/>
                <w:color w:val="0000FF"/>
                <w:highlight w:val="none"/>
                <w:lang w:eastAsia="zh"/>
              </w:rPr>
              <w:t>配套1处污泥处理间及固废暂存间，产生污泥经脱水后定期清运，委托有污泥处置能力的单位外运处理</w:t>
            </w:r>
            <w:r>
              <w:rPr>
                <w:color w:val="0000FF"/>
                <w:highlight w:val="none"/>
              </w:rPr>
              <w:t>；废活性炭由原料提供商更换后直接回收，活性炭过滤设备</w:t>
            </w:r>
            <w:r>
              <w:rPr>
                <w:rFonts w:hint="eastAsia"/>
                <w:color w:val="0000FF"/>
                <w:highlight w:val="none"/>
                <w:lang w:val="en-US" w:eastAsia="zh-CN"/>
              </w:rPr>
              <w:t>有备用</w:t>
            </w:r>
            <w:r>
              <w:rPr>
                <w:color w:val="0000FF"/>
                <w:highlight w:val="none"/>
              </w:rPr>
              <w:t>，可及时更换回收不在场内暂存。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36" w:type="pct"/>
            <w:vAlign w:val="center"/>
          </w:tcPr>
          <w:p>
            <w:pPr>
              <w:pStyle w:val="36"/>
              <w:rPr>
                <w:highlight w:val="none"/>
              </w:rPr>
            </w:pPr>
            <w:r>
              <w:rPr>
                <w:highlight w:val="none"/>
              </w:rPr>
              <w:t>土壤及地下水污染防治措施</w:t>
            </w:r>
          </w:p>
        </w:tc>
        <w:tc>
          <w:tcPr>
            <w:tcW w:w="4363" w:type="pct"/>
            <w:gridSpan w:val="4"/>
            <w:vAlign w:val="center"/>
          </w:tcPr>
          <w:p>
            <w:pPr>
              <w:pStyle w:val="36"/>
              <w:rPr>
                <w:highlight w:val="none"/>
              </w:rPr>
            </w:pPr>
            <w:r>
              <w:rPr>
                <w:rFonts w:hint="eastAsia"/>
                <w:highlight w:val="none"/>
              </w:rPr>
              <w:t>废水处理站池体采用防水混凝土+防水卷材铺设，</w:t>
            </w:r>
            <w:r>
              <w:rPr>
                <w:rFonts w:hint="eastAsia"/>
                <w:highlight w:val="none"/>
                <w:lang w:eastAsia="zh"/>
              </w:rPr>
              <w:t>固废暂存间</w:t>
            </w:r>
            <w:r>
              <w:rPr>
                <w:rFonts w:hint="eastAsia" w:cs="Times New Roman"/>
                <w:highlight w:val="none"/>
              </w:rPr>
              <w:t>周边</w:t>
            </w:r>
            <w:r>
              <w:rPr>
                <w:rFonts w:hint="eastAsia"/>
                <w:highlight w:val="none"/>
              </w:rPr>
              <w:t>采取“防风、防雨、防渗、防流失”等措施。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36" w:type="pct"/>
            <w:vAlign w:val="center"/>
          </w:tcPr>
          <w:p>
            <w:pPr>
              <w:pStyle w:val="36"/>
              <w:rPr>
                <w:highlight w:val="none"/>
              </w:rPr>
            </w:pPr>
            <w:r>
              <w:rPr>
                <w:highlight w:val="none"/>
              </w:rPr>
              <w:t>生态保护措施</w:t>
            </w:r>
          </w:p>
        </w:tc>
        <w:tc>
          <w:tcPr>
            <w:tcW w:w="4363" w:type="pct"/>
            <w:gridSpan w:val="4"/>
            <w:vAlign w:val="center"/>
          </w:tcPr>
          <w:p>
            <w:pPr>
              <w:pStyle w:val="36"/>
              <w:rPr>
                <w:highlight w:val="none"/>
              </w:rPr>
            </w:pPr>
            <w:r>
              <w:rPr>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636" w:type="pct"/>
            <w:vAlign w:val="center"/>
          </w:tcPr>
          <w:p>
            <w:pPr>
              <w:pStyle w:val="36"/>
              <w:rPr>
                <w:highlight w:val="none"/>
              </w:rPr>
            </w:pPr>
            <w:r>
              <w:rPr>
                <w:highlight w:val="none"/>
              </w:rPr>
              <w:t>环境风险防范措施</w:t>
            </w:r>
          </w:p>
        </w:tc>
        <w:tc>
          <w:tcPr>
            <w:tcW w:w="4363" w:type="pct"/>
            <w:gridSpan w:val="4"/>
            <w:vAlign w:val="center"/>
          </w:tcPr>
          <w:p>
            <w:pPr>
              <w:pStyle w:val="36"/>
              <w:jc w:val="left"/>
              <w:rPr>
                <w:highlight w:val="none"/>
              </w:rPr>
            </w:pPr>
            <w:r>
              <w:rPr>
                <w:rFonts w:hint="eastAsia"/>
                <w:highlight w:val="none"/>
              </w:rPr>
              <w:t>①增强</w:t>
            </w:r>
            <w:r>
              <w:rPr>
                <w:highlight w:val="none"/>
              </w:rPr>
              <w:t>环保意识，加强企业的环境管理水平。</w:t>
            </w:r>
          </w:p>
          <w:p>
            <w:pPr>
              <w:pStyle w:val="36"/>
              <w:jc w:val="left"/>
              <w:rPr>
                <w:highlight w:val="none"/>
              </w:rPr>
            </w:pPr>
            <w:r>
              <w:rPr>
                <w:rFonts w:hint="eastAsia" w:ascii="Cambria Math" w:hAnsi="Cambria Math" w:cs="Cambria Math"/>
                <w:highlight w:val="none"/>
              </w:rPr>
              <w:t>②</w:t>
            </w:r>
            <w:r>
              <w:rPr>
                <w:highlight w:val="none"/>
              </w:rPr>
              <w:t>加强对作业人员的教育培训，</w:t>
            </w:r>
            <w:r>
              <w:rPr>
                <w:rFonts w:hint="eastAsia"/>
                <w:highlight w:val="none"/>
              </w:rPr>
              <w:t>增强</w:t>
            </w:r>
            <w:r>
              <w:rPr>
                <w:highlight w:val="none"/>
              </w:rPr>
              <w:t>员工的安全意识和职业技能，提高员工处理事故的能力和事故发生时自救、互救能力。</w:t>
            </w:r>
          </w:p>
          <w:p>
            <w:pPr>
              <w:pStyle w:val="36"/>
              <w:jc w:val="left"/>
              <w:rPr>
                <w:highlight w:val="none"/>
              </w:rPr>
            </w:pPr>
            <w:r>
              <w:rPr>
                <w:rFonts w:hint="eastAsia" w:ascii="Cambria Math" w:hAnsi="Cambria Math" w:cs="Cambria Math"/>
                <w:highlight w:val="none"/>
              </w:rPr>
              <w:t>③</w:t>
            </w:r>
            <w:r>
              <w:rPr>
                <w:highlight w:val="none"/>
              </w:rPr>
              <w:t>严格按照防火规范进行物品存放区等的平面布置，电气设备及仪表按防爆等级的不同选用不同的设备。</w:t>
            </w:r>
          </w:p>
          <w:p>
            <w:pPr>
              <w:pStyle w:val="36"/>
              <w:jc w:val="left"/>
              <w:rPr>
                <w:rFonts w:hint="eastAsia" w:eastAsia="宋体"/>
                <w:highlight w:val="none"/>
                <w:lang w:eastAsia="zh"/>
              </w:rPr>
            </w:pPr>
            <w:r>
              <w:rPr>
                <w:rFonts w:hint="eastAsia"/>
                <w:highlight w:val="none"/>
                <w:lang w:eastAsia="zh"/>
              </w:rPr>
              <w:t>④纳入现有全厂区突发环境事件应急预案更新，一旦发生环境污染事故立即启动应急预案、采取应急措施控制污染，并使污染得到治理。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36" w:type="pct"/>
            <w:vAlign w:val="center"/>
          </w:tcPr>
          <w:p>
            <w:pPr>
              <w:pStyle w:val="36"/>
              <w:rPr>
                <w:highlight w:val="none"/>
              </w:rPr>
            </w:pPr>
            <w:r>
              <w:rPr>
                <w:highlight w:val="none"/>
              </w:rPr>
              <w:t>其他环境管理要求</w:t>
            </w:r>
          </w:p>
        </w:tc>
        <w:tc>
          <w:tcPr>
            <w:tcW w:w="4363" w:type="pct"/>
            <w:gridSpan w:val="4"/>
            <w:vAlign w:val="center"/>
          </w:tcPr>
          <w:p>
            <w:pPr>
              <w:pStyle w:val="36"/>
              <w:rPr>
                <w:color w:val="0000FF"/>
                <w:highlight w:val="none"/>
              </w:rPr>
            </w:pPr>
            <w:r>
              <w:rPr>
                <w:rFonts w:hint="eastAsia"/>
                <w:color w:val="0000FF"/>
                <w:highlight w:val="none"/>
              </w:rPr>
              <w:t>见4.3相关要求</w:t>
            </w:r>
          </w:p>
        </w:tc>
      </w:tr>
    </w:tbl>
    <w:p>
      <w:pPr>
        <w:pStyle w:val="14"/>
        <w:ind w:firstLine="480" w:firstLineChars="200"/>
        <w:jc w:val="center"/>
        <w:outlineLvl w:val="0"/>
        <w:rPr>
          <w:rFonts w:ascii="黑体" w:hAnsi="黑体" w:eastAsia="黑体"/>
          <w:snapToGrid w:val="0"/>
          <w:color w:val="auto"/>
          <w:sz w:val="30"/>
          <w:szCs w:val="30"/>
          <w:highlight w:val="none"/>
        </w:rPr>
      </w:pPr>
      <w:r>
        <w:rPr>
          <w:snapToGrid w:val="0"/>
          <w:color w:val="auto"/>
          <w:highlight w:val="none"/>
        </w:rPr>
        <w:br w:type="page"/>
      </w:r>
      <w:bookmarkStart w:id="45" w:name="_Toc2498"/>
      <w:bookmarkStart w:id="46" w:name="_Toc7864"/>
      <w:r>
        <w:rPr>
          <w:rFonts w:hint="eastAsia" w:ascii="黑体" w:hAnsi="黑体" w:eastAsia="黑体"/>
          <w:snapToGrid w:val="0"/>
          <w:color w:val="auto"/>
          <w:sz w:val="30"/>
          <w:szCs w:val="30"/>
          <w:highlight w:val="none"/>
        </w:rPr>
        <w:t>六、结论</w:t>
      </w:r>
      <w:bookmarkEnd w:id="45"/>
      <w:bookmarkEnd w:id="46"/>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8"/>
              <w:rPr>
                <w:color w:val="auto"/>
                <w:highlight w:val="none"/>
              </w:rPr>
            </w:pPr>
            <w:r>
              <w:rPr>
                <w:color w:val="auto"/>
                <w:highlight w:val="none"/>
              </w:rPr>
              <w:t>项目建设符合国家产业政策要求，</w:t>
            </w:r>
            <w:r>
              <w:rPr>
                <w:rFonts w:hint="eastAsia"/>
                <w:color w:val="auto"/>
                <w:highlight w:val="none"/>
              </w:rPr>
              <w:t>符合生态环境分区管控要求，</w:t>
            </w:r>
            <w:r>
              <w:rPr>
                <w:color w:val="auto"/>
                <w:highlight w:val="none"/>
              </w:rPr>
              <w:t>建设项目的选址合理可行，平面布局合理。在认真落实报告表提出的各项环保措施的前提下，污水可实现达标排放，废水、固废及</w:t>
            </w:r>
            <w:r>
              <w:rPr>
                <w:rFonts w:hint="eastAsia"/>
                <w:color w:val="auto"/>
                <w:highlight w:val="none"/>
              </w:rPr>
              <w:t>危险废物</w:t>
            </w:r>
            <w:r>
              <w:rPr>
                <w:color w:val="auto"/>
                <w:highlight w:val="none"/>
              </w:rPr>
              <w:t>、噪声经过妥善处置，对周边环境的影响降至最低程度。项目建设及运营对周边环境的影响可满足各项目所在地环境功能规划的要求，从环境保护角度而言，本项目建设可行。</w:t>
            </w:r>
          </w:p>
        </w:tc>
      </w:tr>
    </w:tbl>
    <w:p>
      <w:pPr>
        <w:rPr>
          <w:rFonts w:ascii="宋体"/>
          <w:color w:val="auto"/>
          <w:highlight w:val="none"/>
        </w:rPr>
        <w:sectPr>
          <w:pgSz w:w="11906" w:h="16838"/>
          <w:pgMar w:top="1701" w:right="1531" w:bottom="1701" w:left="1531" w:header="851" w:footer="851" w:gutter="0"/>
          <w:cols w:space="720" w:num="1"/>
          <w:docGrid w:linePitch="312" w:charSpace="0"/>
        </w:sectPr>
      </w:pPr>
    </w:p>
    <w:p>
      <w:pPr>
        <w:pStyle w:val="2"/>
        <w:rPr>
          <w:color w:val="auto"/>
          <w:highlight w:val="none"/>
        </w:rPr>
      </w:pPr>
      <w:bookmarkStart w:id="47" w:name="_Toc32259"/>
      <w:bookmarkStart w:id="48" w:name="_Toc9688"/>
      <w:r>
        <w:rPr>
          <w:rFonts w:hint="eastAsia"/>
          <w:color w:val="auto"/>
          <w:highlight w:val="none"/>
        </w:rPr>
        <w:t>附表</w:t>
      </w:r>
      <w:bookmarkEnd w:id="47"/>
      <w:bookmarkEnd w:id="48"/>
    </w:p>
    <w:p>
      <w:pPr>
        <w:pStyle w:val="3"/>
        <w:rPr>
          <w:color w:val="auto"/>
          <w:highlight w:val="none"/>
        </w:rPr>
      </w:pPr>
      <w:bookmarkStart w:id="49" w:name="_Toc24736"/>
      <w:bookmarkStart w:id="50" w:name="_Toc30777"/>
      <w:r>
        <w:rPr>
          <w:rFonts w:hint="eastAsia"/>
          <w:color w:val="auto"/>
          <w:highlight w:val="none"/>
        </w:rPr>
        <w:t>建设项目污染物排放量汇总表</w:t>
      </w:r>
      <w:bookmarkEnd w:id="49"/>
      <w:bookmarkEnd w:id="50"/>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46"/>
        <w:gridCol w:w="10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6"/>
              <w:rPr>
                <w:color w:val="auto"/>
                <w:highlight w:val="none"/>
              </w:rPr>
            </w:pPr>
            <w:r>
              <w:rPr>
                <w:rFonts w:hint="eastAsia"/>
                <w:color w:val="auto"/>
                <w:highlight w:val="none"/>
              </w:rPr>
              <w:t>项目</w:t>
            </w:r>
          </w:p>
          <w:p>
            <w:pPr>
              <w:pStyle w:val="36"/>
              <w:rPr>
                <w:color w:val="auto"/>
                <w:highlight w:val="none"/>
              </w:rPr>
            </w:pPr>
            <w:r>
              <w:rPr>
                <w:rFonts w:hint="eastAsia"/>
                <w:color w:val="auto"/>
                <w:highlight w:val="none"/>
              </w:rPr>
              <w:t>分类</w:t>
            </w:r>
          </w:p>
        </w:tc>
        <w:tc>
          <w:tcPr>
            <w:tcW w:w="1417" w:type="dxa"/>
            <w:tcMar>
              <w:left w:w="28" w:type="dxa"/>
              <w:right w:w="28" w:type="dxa"/>
            </w:tcMar>
            <w:vAlign w:val="center"/>
          </w:tcPr>
          <w:p>
            <w:pPr>
              <w:pStyle w:val="36"/>
              <w:rPr>
                <w:color w:val="auto"/>
                <w:highlight w:val="none"/>
              </w:rPr>
            </w:pPr>
            <w:r>
              <w:rPr>
                <w:rFonts w:hint="eastAsia"/>
                <w:color w:val="auto"/>
                <w:highlight w:val="none"/>
              </w:rPr>
              <w:t>污染物名称</w:t>
            </w:r>
          </w:p>
        </w:tc>
        <w:tc>
          <w:tcPr>
            <w:tcW w:w="1701" w:type="dxa"/>
            <w:tcMar>
              <w:left w:w="28" w:type="dxa"/>
              <w:right w:w="28" w:type="dxa"/>
            </w:tcMar>
            <w:vAlign w:val="center"/>
          </w:tcPr>
          <w:p>
            <w:pPr>
              <w:pStyle w:val="36"/>
              <w:rPr>
                <w:color w:val="auto"/>
                <w:highlight w:val="none"/>
              </w:rPr>
            </w:pPr>
            <w:r>
              <w:rPr>
                <w:color w:val="auto"/>
                <w:highlight w:val="none"/>
              </w:rPr>
              <w:t>现有工程</w:t>
            </w:r>
          </w:p>
          <w:p>
            <w:pPr>
              <w:pStyle w:val="3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=1\*GB3\*MERGEFORMAT</w:instrText>
            </w:r>
            <w:r>
              <w:rPr>
                <w:color w:val="auto"/>
                <w:highlight w:val="none"/>
              </w:rPr>
              <w:fldChar w:fldCharType="separate"/>
            </w:r>
            <w:r>
              <w:rPr>
                <w:rFonts w:hint="eastAsia"/>
                <w:color w:val="auto"/>
                <w:highlight w:val="none"/>
              </w:rPr>
              <w:t>①</w:t>
            </w:r>
            <w:r>
              <w:rPr>
                <w:color w:val="auto"/>
                <w:highlight w:val="none"/>
              </w:rPr>
              <w:fldChar w:fldCharType="end"/>
            </w:r>
          </w:p>
        </w:tc>
        <w:tc>
          <w:tcPr>
            <w:tcW w:w="1276" w:type="dxa"/>
            <w:tcMar>
              <w:left w:w="28" w:type="dxa"/>
              <w:right w:w="28" w:type="dxa"/>
            </w:tcMar>
            <w:vAlign w:val="center"/>
          </w:tcPr>
          <w:p>
            <w:pPr>
              <w:pStyle w:val="36"/>
              <w:rPr>
                <w:color w:val="auto"/>
                <w:highlight w:val="none"/>
              </w:rPr>
            </w:pPr>
            <w:r>
              <w:rPr>
                <w:color w:val="auto"/>
                <w:highlight w:val="none"/>
              </w:rPr>
              <w:t>现有工程</w:t>
            </w:r>
          </w:p>
          <w:p>
            <w:pPr>
              <w:pStyle w:val="36"/>
              <w:rPr>
                <w:color w:val="auto"/>
                <w:highlight w:val="none"/>
              </w:rPr>
            </w:pPr>
            <w:r>
              <w:rPr>
                <w:color w:val="auto"/>
                <w:highlight w:val="none"/>
              </w:rPr>
              <w:t>许可排放量</w:t>
            </w:r>
          </w:p>
          <w:p>
            <w:pPr>
              <w:pStyle w:val="36"/>
              <w:rPr>
                <w:color w:val="auto"/>
                <w:highlight w:val="none"/>
              </w:rPr>
            </w:pPr>
            <w:r>
              <w:rPr>
                <w:color w:val="auto"/>
                <w:highlight w:val="none"/>
              </w:rPr>
              <w:fldChar w:fldCharType="begin"/>
            </w:r>
            <w:r>
              <w:rPr>
                <w:color w:val="auto"/>
                <w:highlight w:val="none"/>
              </w:rPr>
              <w:instrText xml:space="preserve">=2\*GB3\*MERGEFORMAT</w:instrText>
            </w:r>
            <w:r>
              <w:rPr>
                <w:color w:val="auto"/>
                <w:highlight w:val="none"/>
              </w:rPr>
              <w:fldChar w:fldCharType="separate"/>
            </w:r>
            <w:r>
              <w:rPr>
                <w:rFonts w:hint="eastAsia"/>
                <w:color w:val="auto"/>
                <w:highlight w:val="none"/>
              </w:rPr>
              <w:t>②</w:t>
            </w:r>
            <w:r>
              <w:rPr>
                <w:color w:val="auto"/>
                <w:highlight w:val="none"/>
              </w:rPr>
              <w:fldChar w:fldCharType="end"/>
            </w:r>
          </w:p>
        </w:tc>
        <w:tc>
          <w:tcPr>
            <w:tcW w:w="1701" w:type="dxa"/>
            <w:tcMar>
              <w:left w:w="28" w:type="dxa"/>
              <w:right w:w="28" w:type="dxa"/>
            </w:tcMar>
            <w:vAlign w:val="center"/>
          </w:tcPr>
          <w:p>
            <w:pPr>
              <w:pStyle w:val="36"/>
              <w:rPr>
                <w:color w:val="auto"/>
                <w:highlight w:val="none"/>
              </w:rPr>
            </w:pPr>
            <w:r>
              <w:rPr>
                <w:color w:val="auto"/>
                <w:highlight w:val="none"/>
              </w:rPr>
              <w:t>在建工程</w:t>
            </w:r>
          </w:p>
          <w:p>
            <w:pPr>
              <w:pStyle w:val="3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=3\*GB3\*MERGEFORMAT</w:instrText>
            </w:r>
            <w:r>
              <w:rPr>
                <w:color w:val="auto"/>
                <w:highlight w:val="none"/>
              </w:rPr>
              <w:fldChar w:fldCharType="separate"/>
            </w:r>
            <w:r>
              <w:rPr>
                <w:rFonts w:hint="eastAsia"/>
                <w:color w:val="auto"/>
                <w:highlight w:val="none"/>
              </w:rPr>
              <w:t>③</w:t>
            </w:r>
            <w:r>
              <w:rPr>
                <w:color w:val="auto"/>
                <w:highlight w:val="none"/>
              </w:rPr>
              <w:fldChar w:fldCharType="end"/>
            </w:r>
          </w:p>
        </w:tc>
        <w:tc>
          <w:tcPr>
            <w:tcW w:w="1559" w:type="dxa"/>
            <w:tcMar>
              <w:left w:w="28" w:type="dxa"/>
              <w:right w:w="28" w:type="dxa"/>
            </w:tcMar>
            <w:vAlign w:val="center"/>
          </w:tcPr>
          <w:p>
            <w:pPr>
              <w:pStyle w:val="36"/>
              <w:rPr>
                <w:color w:val="auto"/>
                <w:highlight w:val="none"/>
              </w:rPr>
            </w:pPr>
            <w:r>
              <w:rPr>
                <w:color w:val="auto"/>
                <w:highlight w:val="none"/>
              </w:rPr>
              <w:t>本项目</w:t>
            </w:r>
          </w:p>
          <w:p>
            <w:pPr>
              <w:pStyle w:val="3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=4\*GB3\*MERGEFORMAT</w:instrText>
            </w:r>
            <w:r>
              <w:rPr>
                <w:color w:val="auto"/>
                <w:highlight w:val="none"/>
              </w:rPr>
              <w:fldChar w:fldCharType="separate"/>
            </w:r>
            <w:r>
              <w:rPr>
                <w:rFonts w:hint="eastAsia"/>
                <w:color w:val="auto"/>
                <w:highlight w:val="none"/>
              </w:rPr>
              <w:t>④</w:t>
            </w:r>
            <w:r>
              <w:rPr>
                <w:color w:val="auto"/>
                <w:highlight w:val="none"/>
              </w:rPr>
              <w:fldChar w:fldCharType="end"/>
            </w:r>
          </w:p>
        </w:tc>
        <w:tc>
          <w:tcPr>
            <w:tcW w:w="1761" w:type="dxa"/>
            <w:tcMar>
              <w:left w:w="28" w:type="dxa"/>
              <w:right w:w="28" w:type="dxa"/>
            </w:tcMar>
            <w:vAlign w:val="center"/>
          </w:tcPr>
          <w:p>
            <w:pPr>
              <w:pStyle w:val="36"/>
              <w:rPr>
                <w:color w:val="auto"/>
                <w:highlight w:val="none"/>
              </w:rPr>
            </w:pPr>
            <w:r>
              <w:rPr>
                <w:color w:val="auto"/>
                <w:highlight w:val="none"/>
              </w:rPr>
              <w:t>以新带老削减量</w:t>
            </w:r>
          </w:p>
          <w:p>
            <w:pPr>
              <w:pStyle w:val="36"/>
              <w:rPr>
                <w:color w:val="auto"/>
                <w:highlight w:val="none"/>
              </w:rPr>
            </w:pPr>
            <w:r>
              <w:rPr>
                <w:color w:val="auto"/>
                <w:highlight w:val="none"/>
              </w:rPr>
              <w:t>（新建项目不填）</w:t>
            </w:r>
            <w:r>
              <w:rPr>
                <w:color w:val="auto"/>
                <w:highlight w:val="none"/>
              </w:rPr>
              <w:fldChar w:fldCharType="begin"/>
            </w:r>
            <w:r>
              <w:rPr>
                <w:color w:val="auto"/>
                <w:highlight w:val="none"/>
              </w:rPr>
              <w:instrText xml:space="preserve">=5\*GB3\*MERGEFORMAT</w:instrText>
            </w:r>
            <w:r>
              <w:rPr>
                <w:color w:val="auto"/>
                <w:highlight w:val="none"/>
              </w:rPr>
              <w:fldChar w:fldCharType="separate"/>
            </w:r>
            <w:r>
              <w:rPr>
                <w:rFonts w:hint="eastAsia"/>
                <w:color w:val="auto"/>
                <w:highlight w:val="none"/>
              </w:rPr>
              <w:t>⑤</w:t>
            </w:r>
            <w:r>
              <w:rPr>
                <w:color w:val="auto"/>
                <w:highlight w:val="none"/>
              </w:rPr>
              <w:fldChar w:fldCharType="end"/>
            </w:r>
          </w:p>
        </w:tc>
        <w:tc>
          <w:tcPr>
            <w:tcW w:w="1746" w:type="dxa"/>
            <w:tcMar>
              <w:left w:w="28" w:type="dxa"/>
              <w:right w:w="28" w:type="dxa"/>
            </w:tcMar>
            <w:vAlign w:val="center"/>
          </w:tcPr>
          <w:p>
            <w:pPr>
              <w:pStyle w:val="36"/>
              <w:rPr>
                <w:color w:val="auto"/>
                <w:highlight w:val="none"/>
              </w:rPr>
            </w:pPr>
            <w:r>
              <w:rPr>
                <w:color w:val="auto"/>
                <w:highlight w:val="none"/>
              </w:rPr>
              <w:t>本项目建成后</w:t>
            </w:r>
          </w:p>
          <w:p>
            <w:pPr>
              <w:pStyle w:val="36"/>
              <w:rPr>
                <w:color w:val="auto"/>
                <w:highlight w:val="none"/>
              </w:rPr>
            </w:pPr>
            <w:r>
              <w:rPr>
                <w:rFonts w:hint="eastAsia"/>
                <w:color w:val="auto"/>
                <w:highlight w:val="none"/>
              </w:rPr>
              <w:t>全厂</w:t>
            </w: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=6\*GB3\*MERGEFORMAT</w:instrText>
            </w:r>
            <w:r>
              <w:rPr>
                <w:color w:val="auto"/>
                <w:highlight w:val="none"/>
              </w:rPr>
              <w:fldChar w:fldCharType="separate"/>
            </w:r>
            <w:r>
              <w:rPr>
                <w:rFonts w:hint="eastAsia"/>
                <w:color w:val="auto"/>
                <w:highlight w:val="none"/>
              </w:rPr>
              <w:t>⑥</w:t>
            </w:r>
            <w:r>
              <w:rPr>
                <w:color w:val="auto"/>
                <w:highlight w:val="none"/>
              </w:rPr>
              <w:fldChar w:fldCharType="end"/>
            </w:r>
          </w:p>
        </w:tc>
        <w:tc>
          <w:tcPr>
            <w:tcW w:w="1039" w:type="dxa"/>
            <w:tcMar>
              <w:left w:w="28" w:type="dxa"/>
              <w:right w:w="28" w:type="dxa"/>
            </w:tcMar>
            <w:vAlign w:val="center"/>
          </w:tcPr>
          <w:p>
            <w:pPr>
              <w:pStyle w:val="36"/>
              <w:rPr>
                <w:color w:val="auto"/>
                <w:highlight w:val="none"/>
              </w:rPr>
            </w:pPr>
            <w:r>
              <w:rPr>
                <w:color w:val="auto"/>
                <w:highlight w:val="none"/>
              </w:rPr>
              <w:t>变化量</w:t>
            </w:r>
          </w:p>
          <w:p>
            <w:pPr>
              <w:pStyle w:val="36"/>
              <w:rPr>
                <w:color w:val="auto"/>
                <w:highlight w:val="none"/>
              </w:rPr>
            </w:pPr>
            <w:r>
              <w:rPr>
                <w:color w:val="auto"/>
                <w:highlight w:val="none"/>
              </w:rPr>
              <w:fldChar w:fldCharType="begin"/>
            </w:r>
            <w:r>
              <w:rPr>
                <w:color w:val="auto"/>
                <w:highlight w:val="none"/>
              </w:rPr>
              <w:instrText xml:space="preserve">=7\*GB3\*MERGEFORMAT</w:instrText>
            </w:r>
            <w:r>
              <w:rPr>
                <w:color w:val="auto"/>
                <w:highlight w:val="none"/>
              </w:rPr>
              <w:fldChar w:fldCharType="separate"/>
            </w:r>
            <w:r>
              <w:rPr>
                <w:rFonts w:hint="eastAsia"/>
                <w:color w:val="auto"/>
                <w:highlight w:val="none"/>
              </w:rPr>
              <w:t>⑦</w:t>
            </w:r>
            <w:r>
              <w:rPr>
                <w:color w:val="auto"/>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rPr>
                <w:color w:val="auto"/>
                <w:highlight w:val="none"/>
              </w:rPr>
            </w:pPr>
            <w:r>
              <w:rPr>
                <w:rFonts w:hint="eastAsia"/>
                <w:color w:val="auto"/>
                <w:highlight w:val="none"/>
              </w:rPr>
              <w:t>废气</w:t>
            </w:r>
          </w:p>
        </w:tc>
        <w:tc>
          <w:tcPr>
            <w:tcW w:w="1417" w:type="dxa"/>
            <w:vAlign w:val="center"/>
          </w:tcPr>
          <w:p>
            <w:pPr>
              <w:pStyle w:val="34"/>
              <w:rPr>
                <w:color w:val="auto"/>
                <w:highlight w:val="none"/>
              </w:rPr>
            </w:pPr>
            <w:r>
              <w:rPr>
                <w:rFonts w:ascii="Times New Roman" w:hAnsi="Times New Roman"/>
                <w:snapToGrid w:val="0"/>
                <w:color w:val="auto"/>
                <w:kern w:val="21"/>
                <w:szCs w:val="21"/>
                <w:highlight w:val="none"/>
              </w:rPr>
              <w:t>氨气</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27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559"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6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4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039"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pStyle w:val="34"/>
              <w:rPr>
                <w:color w:val="auto"/>
                <w:highlight w:val="none"/>
              </w:rPr>
            </w:pPr>
            <w:r>
              <w:rPr>
                <w:rFonts w:ascii="Times New Roman" w:hAnsi="Times New Roman"/>
                <w:snapToGrid w:val="0"/>
                <w:color w:val="auto"/>
                <w:kern w:val="21"/>
                <w:szCs w:val="21"/>
                <w:highlight w:val="none"/>
              </w:rPr>
              <w:t>硫化氢</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27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559"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6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4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039"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rPr>
                <w:color w:val="auto"/>
                <w:highlight w:val="none"/>
              </w:rPr>
            </w:pPr>
            <w:r>
              <w:rPr>
                <w:rFonts w:hint="eastAsia"/>
                <w:color w:val="auto"/>
                <w:highlight w:val="none"/>
              </w:rPr>
              <w:t>废水</w:t>
            </w:r>
          </w:p>
        </w:tc>
        <w:tc>
          <w:tcPr>
            <w:tcW w:w="1417" w:type="dxa"/>
            <w:vAlign w:val="center"/>
          </w:tcPr>
          <w:p>
            <w:pPr>
              <w:adjustRightInd w:val="0"/>
              <w:snapToGrid w:val="0"/>
              <w:jc w:val="center"/>
              <w:rPr>
                <w:color w:val="auto"/>
                <w:highlight w:val="none"/>
              </w:rPr>
            </w:pPr>
            <w:r>
              <w:rPr>
                <w:rFonts w:hint="eastAsia"/>
                <w:color w:val="auto"/>
                <w:szCs w:val="21"/>
                <w:highlight w:val="none"/>
              </w:rPr>
              <w:t>废水量</w:t>
            </w:r>
          </w:p>
        </w:tc>
        <w:tc>
          <w:tcPr>
            <w:tcW w:w="1701" w:type="dxa"/>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000000"/>
                <w:kern w:val="0"/>
                <w:sz w:val="21"/>
                <w:szCs w:val="21"/>
                <w:highlight w:val="none"/>
                <w:u w:val="none"/>
                <w:lang w:val="en-US" w:eastAsia="zh-CN" w:bidi="ar"/>
              </w:rPr>
              <w:t>245.9735</w:t>
            </w:r>
          </w:p>
        </w:tc>
        <w:tc>
          <w:tcPr>
            <w:tcW w:w="1276" w:type="dxa"/>
            <w:vAlign w:val="center"/>
          </w:tcPr>
          <w:p>
            <w:pPr>
              <w:jc w:val="center"/>
              <w:rPr>
                <w:color w:val="auto"/>
                <w:highlight w:val="none"/>
              </w:rPr>
            </w:pPr>
          </w:p>
        </w:tc>
        <w:tc>
          <w:tcPr>
            <w:tcW w:w="1701" w:type="dxa"/>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559" w:type="dxa"/>
            <w:vAlign w:val="center"/>
          </w:tcPr>
          <w:p>
            <w:pPr>
              <w:jc w:val="center"/>
              <w:rPr>
                <w:color w:val="auto"/>
                <w:highlight w:val="none"/>
              </w:rPr>
            </w:pPr>
          </w:p>
        </w:tc>
        <w:tc>
          <w:tcPr>
            <w:tcW w:w="1761" w:type="dxa"/>
            <w:vAlign w:val="center"/>
          </w:tcPr>
          <w:p>
            <w:pPr>
              <w:jc w:val="center"/>
              <w:rPr>
                <w:color w:val="auto"/>
                <w:highlight w:val="none"/>
              </w:rPr>
            </w:pPr>
          </w:p>
        </w:tc>
        <w:tc>
          <w:tcPr>
            <w:tcW w:w="1746"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245.9735</w:t>
            </w:r>
          </w:p>
        </w:tc>
        <w:tc>
          <w:tcPr>
            <w:tcW w:w="1039"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0.0000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adjustRightInd w:val="0"/>
              <w:snapToGrid w:val="0"/>
              <w:jc w:val="center"/>
              <w:rPr>
                <w:color w:val="auto"/>
                <w:highlight w:val="none"/>
              </w:rPr>
            </w:pPr>
            <w:r>
              <w:rPr>
                <w:color w:val="auto"/>
                <w:szCs w:val="21"/>
                <w:highlight w:val="none"/>
              </w:rPr>
              <w:t>化学需氧量</w:t>
            </w: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283.67</w:t>
            </w:r>
          </w:p>
        </w:tc>
        <w:tc>
          <w:tcPr>
            <w:tcW w:w="1276" w:type="dxa"/>
            <w:vAlign w:val="center"/>
          </w:tcPr>
          <w:p>
            <w:pPr>
              <w:jc w:val="center"/>
              <w:rPr>
                <w:color w:val="auto"/>
                <w:highlight w:val="none"/>
              </w:rPr>
            </w:pP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-37.7</w:t>
            </w:r>
          </w:p>
        </w:tc>
        <w:tc>
          <w:tcPr>
            <w:tcW w:w="1559" w:type="dxa"/>
            <w:vAlign w:val="center"/>
          </w:tcPr>
          <w:p>
            <w:pPr>
              <w:jc w:val="center"/>
              <w:rPr>
                <w:color w:val="auto"/>
                <w:highlight w:val="none"/>
              </w:rPr>
            </w:pPr>
          </w:p>
        </w:tc>
        <w:tc>
          <w:tcPr>
            <w:tcW w:w="1761" w:type="dxa"/>
            <w:vAlign w:val="center"/>
          </w:tcPr>
          <w:p>
            <w:pPr>
              <w:jc w:val="center"/>
              <w:rPr>
                <w:color w:val="auto"/>
                <w:highlight w:val="none"/>
              </w:rPr>
            </w:pPr>
          </w:p>
        </w:tc>
        <w:tc>
          <w:tcPr>
            <w:tcW w:w="1746"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245.97</w:t>
            </w:r>
          </w:p>
        </w:tc>
        <w:tc>
          <w:tcPr>
            <w:tcW w:w="1039"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-37.7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adjustRightInd w:val="0"/>
              <w:snapToGrid w:val="0"/>
              <w:jc w:val="center"/>
              <w:rPr>
                <w:color w:val="auto"/>
                <w:highlight w:val="none"/>
              </w:rPr>
            </w:pPr>
            <w:r>
              <w:rPr>
                <w:color w:val="auto"/>
                <w:szCs w:val="21"/>
                <w:highlight w:val="none"/>
              </w:rPr>
              <w:t>氨氮</w:t>
            </w: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39.23</w:t>
            </w:r>
          </w:p>
        </w:tc>
        <w:tc>
          <w:tcPr>
            <w:tcW w:w="1276" w:type="dxa"/>
            <w:vAlign w:val="center"/>
          </w:tcPr>
          <w:p>
            <w:pPr>
              <w:jc w:val="center"/>
              <w:rPr>
                <w:color w:val="auto"/>
                <w:highlight w:val="none"/>
              </w:rPr>
            </w:pP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-2.33</w:t>
            </w:r>
          </w:p>
        </w:tc>
        <w:tc>
          <w:tcPr>
            <w:tcW w:w="1559" w:type="dxa"/>
            <w:vAlign w:val="center"/>
          </w:tcPr>
          <w:p>
            <w:pPr>
              <w:jc w:val="center"/>
              <w:rPr>
                <w:color w:val="auto"/>
                <w:highlight w:val="none"/>
              </w:rPr>
            </w:pPr>
          </w:p>
        </w:tc>
        <w:tc>
          <w:tcPr>
            <w:tcW w:w="1761" w:type="dxa"/>
            <w:vAlign w:val="center"/>
          </w:tcPr>
          <w:p>
            <w:pPr>
              <w:jc w:val="center"/>
              <w:rPr>
                <w:color w:val="auto"/>
                <w:highlight w:val="none"/>
              </w:rPr>
            </w:pPr>
          </w:p>
        </w:tc>
        <w:tc>
          <w:tcPr>
            <w:tcW w:w="1746"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36.9</w:t>
            </w:r>
          </w:p>
        </w:tc>
        <w:tc>
          <w:tcPr>
            <w:tcW w:w="1039"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adjustRightInd w:val="0"/>
              <w:snapToGrid w:val="0"/>
              <w:jc w:val="center"/>
              <w:rPr>
                <w:color w:val="auto"/>
                <w:highlight w:val="none"/>
              </w:rPr>
            </w:pPr>
            <w:r>
              <w:rPr>
                <w:rFonts w:hint="eastAsia"/>
                <w:color w:val="auto"/>
                <w:szCs w:val="21"/>
                <w:highlight w:val="none"/>
              </w:rPr>
              <w:t>总磷</w:t>
            </w: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7.22</w:t>
            </w:r>
          </w:p>
        </w:tc>
        <w:tc>
          <w:tcPr>
            <w:tcW w:w="1276" w:type="dxa"/>
            <w:vAlign w:val="center"/>
          </w:tcPr>
          <w:p>
            <w:pPr>
              <w:jc w:val="center"/>
              <w:rPr>
                <w:color w:val="auto"/>
                <w:highlight w:val="none"/>
              </w:rPr>
            </w:pP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-5.99</w:t>
            </w:r>
          </w:p>
        </w:tc>
        <w:tc>
          <w:tcPr>
            <w:tcW w:w="1559" w:type="dxa"/>
            <w:vAlign w:val="center"/>
          </w:tcPr>
          <w:p>
            <w:pPr>
              <w:jc w:val="center"/>
              <w:rPr>
                <w:color w:val="auto"/>
                <w:highlight w:val="none"/>
              </w:rPr>
            </w:pPr>
          </w:p>
        </w:tc>
        <w:tc>
          <w:tcPr>
            <w:tcW w:w="1761" w:type="dxa"/>
            <w:vAlign w:val="center"/>
          </w:tcPr>
          <w:p>
            <w:pPr>
              <w:jc w:val="center"/>
              <w:rPr>
                <w:color w:val="auto"/>
                <w:highlight w:val="none"/>
              </w:rPr>
            </w:pPr>
          </w:p>
        </w:tc>
        <w:tc>
          <w:tcPr>
            <w:tcW w:w="1746"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1.23</w:t>
            </w:r>
          </w:p>
        </w:tc>
        <w:tc>
          <w:tcPr>
            <w:tcW w:w="1039"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-5.99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rPr>
                <w:color w:val="auto"/>
                <w:highlight w:val="none"/>
              </w:rPr>
            </w:pPr>
            <w:r>
              <w:rPr>
                <w:rFonts w:hint="eastAsia"/>
                <w:color w:val="auto"/>
                <w:highlight w:val="none"/>
              </w:rPr>
              <w:t>一般工业</w:t>
            </w:r>
          </w:p>
          <w:p>
            <w:pPr>
              <w:pStyle w:val="36"/>
              <w:rPr>
                <w:color w:val="auto"/>
                <w:highlight w:val="none"/>
              </w:rPr>
            </w:pPr>
            <w:r>
              <w:rPr>
                <w:rFonts w:hint="eastAsia"/>
                <w:color w:val="auto"/>
                <w:highlight w:val="none"/>
              </w:rPr>
              <w:t>固体废物</w:t>
            </w:r>
          </w:p>
        </w:tc>
        <w:tc>
          <w:tcPr>
            <w:tcW w:w="1417" w:type="dxa"/>
            <w:vAlign w:val="center"/>
          </w:tcPr>
          <w:p>
            <w:pPr>
              <w:adjustRightInd w:val="0"/>
              <w:snapToGrid w:val="0"/>
              <w:jc w:val="center"/>
              <w:rPr>
                <w:color w:val="auto"/>
                <w:highlight w:val="none"/>
              </w:rPr>
            </w:pPr>
            <w:r>
              <w:rPr>
                <w:color w:val="auto"/>
                <w:szCs w:val="21"/>
                <w:highlight w:val="none"/>
              </w:rPr>
              <w:t>泥饼</w:t>
            </w:r>
          </w:p>
        </w:tc>
        <w:tc>
          <w:tcPr>
            <w:tcW w:w="1701" w:type="dxa"/>
            <w:vAlign w:val="center"/>
          </w:tcPr>
          <w:p>
            <w:pPr>
              <w:pStyle w:val="34"/>
              <w:ind w:left="480" w:hanging="480"/>
              <w:rPr>
                <w:color w:val="auto"/>
                <w:highlight w:val="none"/>
              </w:rPr>
            </w:pPr>
            <w:r>
              <w:rPr>
                <w:rFonts w:hint="eastAsia" w:ascii="Times New Roman" w:hAnsi="Times New Roman"/>
                <w:snapToGrid w:val="0"/>
                <w:color w:val="auto"/>
                <w:kern w:val="21"/>
                <w:szCs w:val="21"/>
                <w:highlight w:val="none"/>
              </w:rPr>
              <w:t>0</w:t>
            </w:r>
          </w:p>
        </w:tc>
        <w:tc>
          <w:tcPr>
            <w:tcW w:w="127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559" w:type="dxa"/>
            <w:vAlign w:val="center"/>
          </w:tcPr>
          <w:p>
            <w:pPr>
              <w:pStyle w:val="34"/>
              <w:rPr>
                <w:color w:val="auto"/>
                <w:highlight w:val="none"/>
              </w:rPr>
            </w:pPr>
            <w:r>
              <w:rPr>
                <w:rFonts w:hint="eastAsia" w:ascii="Times New Roman" w:hAnsi="Times New Roman"/>
                <w:snapToGrid w:val="0"/>
                <w:color w:val="auto"/>
                <w:kern w:val="21"/>
                <w:szCs w:val="21"/>
                <w:highlight w:val="none"/>
              </w:rPr>
              <w:t>63</w:t>
            </w:r>
            <w:r>
              <w:rPr>
                <w:rFonts w:hint="eastAsia" w:ascii="Times New Roman" w:hAnsi="Times New Roman"/>
                <w:color w:val="auto"/>
                <w:szCs w:val="21"/>
                <w:highlight w:val="none"/>
              </w:rPr>
              <w:t>t/a</w:t>
            </w:r>
          </w:p>
        </w:tc>
        <w:tc>
          <w:tcPr>
            <w:tcW w:w="1761" w:type="dxa"/>
            <w:vAlign w:val="center"/>
          </w:tcPr>
          <w:p>
            <w:pPr>
              <w:adjustRightInd w:val="0"/>
              <w:snapToGrid w:val="0"/>
              <w:jc w:val="center"/>
              <w:rPr>
                <w:color w:val="auto"/>
                <w:highlight w:val="none"/>
              </w:rPr>
            </w:pPr>
            <w:r>
              <w:rPr>
                <w:snapToGrid w:val="0"/>
                <w:color w:val="auto"/>
                <w:kern w:val="21"/>
                <w:szCs w:val="21"/>
                <w:highlight w:val="none"/>
              </w:rPr>
              <w:t>0</w:t>
            </w:r>
          </w:p>
        </w:tc>
        <w:tc>
          <w:tcPr>
            <w:tcW w:w="1746" w:type="dxa"/>
            <w:vAlign w:val="center"/>
          </w:tcPr>
          <w:p>
            <w:pPr>
              <w:pStyle w:val="34"/>
              <w:rPr>
                <w:color w:val="auto"/>
                <w:highlight w:val="none"/>
              </w:rPr>
            </w:pPr>
            <w:r>
              <w:rPr>
                <w:rFonts w:hint="eastAsia" w:ascii="Times New Roman" w:hAnsi="Times New Roman"/>
                <w:snapToGrid w:val="0"/>
                <w:color w:val="auto"/>
                <w:kern w:val="21"/>
                <w:szCs w:val="21"/>
                <w:highlight w:val="none"/>
              </w:rPr>
              <w:t>63</w:t>
            </w:r>
            <w:r>
              <w:rPr>
                <w:rFonts w:hint="eastAsia" w:ascii="Times New Roman" w:hAnsi="Times New Roman"/>
                <w:color w:val="auto"/>
                <w:szCs w:val="21"/>
                <w:highlight w:val="none"/>
              </w:rPr>
              <w:t>t/a</w:t>
            </w:r>
          </w:p>
        </w:tc>
        <w:tc>
          <w:tcPr>
            <w:tcW w:w="1039" w:type="dxa"/>
            <w:vAlign w:val="center"/>
          </w:tcPr>
          <w:p>
            <w:pPr>
              <w:adjustRightInd w:val="0"/>
              <w:snapToGrid w:val="0"/>
              <w:jc w:val="center"/>
              <w:rPr>
                <w:color w:val="auto"/>
                <w:highlight w:val="none"/>
              </w:rPr>
            </w:pPr>
            <w:r>
              <w:rPr>
                <w:rFonts w:hint="eastAsia"/>
                <w:snapToGrid w:val="0"/>
                <w:color w:val="auto"/>
                <w:kern w:val="21"/>
                <w:szCs w:val="21"/>
                <w:highlight w:val="none"/>
              </w:rPr>
              <w:t>+63</w:t>
            </w:r>
            <w:r>
              <w:rPr>
                <w:rFonts w:hint="eastAsia"/>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jc w:val="center"/>
              <w:rPr>
                <w:color w:val="auto"/>
                <w:highlight w:val="none"/>
              </w:rPr>
            </w:pPr>
            <w:r>
              <w:rPr>
                <w:rFonts w:hint="eastAsia"/>
                <w:color w:val="auto"/>
                <w:szCs w:val="21"/>
                <w:highlight w:val="none"/>
              </w:rPr>
              <w:t>废活性炭</w:t>
            </w:r>
          </w:p>
        </w:tc>
        <w:tc>
          <w:tcPr>
            <w:tcW w:w="1701" w:type="dxa"/>
            <w:vAlign w:val="center"/>
          </w:tcPr>
          <w:p>
            <w:pPr>
              <w:pStyle w:val="34"/>
              <w:ind w:left="480" w:hanging="480"/>
              <w:rPr>
                <w:color w:val="auto"/>
                <w:highlight w:val="none"/>
              </w:rPr>
            </w:pPr>
            <w:r>
              <w:rPr>
                <w:rFonts w:hint="eastAsia" w:ascii="Times New Roman" w:hAnsi="Times New Roman"/>
                <w:snapToGrid w:val="0"/>
                <w:color w:val="auto"/>
                <w:kern w:val="21"/>
                <w:szCs w:val="21"/>
                <w:highlight w:val="none"/>
              </w:rPr>
              <w:t>0</w:t>
            </w:r>
          </w:p>
        </w:tc>
        <w:tc>
          <w:tcPr>
            <w:tcW w:w="1276"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559" w:type="dxa"/>
            <w:vAlign w:val="center"/>
          </w:tcPr>
          <w:p>
            <w:pPr>
              <w:pStyle w:val="34"/>
              <w:ind w:left="480" w:hanging="480"/>
              <w:rPr>
                <w:color w:val="auto"/>
                <w:highlight w:val="none"/>
              </w:rPr>
            </w:pPr>
            <w:r>
              <w:rPr>
                <w:rFonts w:hint="eastAsia" w:ascii="Times New Roman" w:hAnsi="Times New Roman"/>
                <w:color w:val="auto"/>
                <w:szCs w:val="21"/>
                <w:highlight w:val="none"/>
              </w:rPr>
              <w:t>276t/a</w:t>
            </w:r>
          </w:p>
        </w:tc>
        <w:tc>
          <w:tcPr>
            <w:tcW w:w="1761" w:type="dxa"/>
            <w:vAlign w:val="center"/>
          </w:tcPr>
          <w:p>
            <w:pPr>
              <w:adjustRightInd w:val="0"/>
              <w:snapToGrid w:val="0"/>
              <w:jc w:val="center"/>
              <w:rPr>
                <w:color w:val="auto"/>
                <w:highlight w:val="none"/>
              </w:rPr>
            </w:pPr>
            <w:r>
              <w:rPr>
                <w:rFonts w:hint="eastAsia"/>
                <w:snapToGrid w:val="0"/>
                <w:color w:val="auto"/>
                <w:kern w:val="21"/>
                <w:szCs w:val="21"/>
                <w:highlight w:val="none"/>
              </w:rPr>
              <w:t>0</w:t>
            </w:r>
          </w:p>
        </w:tc>
        <w:tc>
          <w:tcPr>
            <w:tcW w:w="1746" w:type="dxa"/>
            <w:vAlign w:val="center"/>
          </w:tcPr>
          <w:p>
            <w:pPr>
              <w:pStyle w:val="34"/>
              <w:ind w:left="480" w:hanging="480"/>
              <w:rPr>
                <w:color w:val="auto"/>
                <w:highlight w:val="none"/>
              </w:rPr>
            </w:pPr>
            <w:r>
              <w:rPr>
                <w:rFonts w:hint="eastAsia" w:ascii="Times New Roman" w:hAnsi="Times New Roman"/>
                <w:color w:val="auto"/>
                <w:szCs w:val="21"/>
                <w:highlight w:val="none"/>
              </w:rPr>
              <w:t>276t/a</w:t>
            </w:r>
          </w:p>
        </w:tc>
        <w:tc>
          <w:tcPr>
            <w:tcW w:w="1039" w:type="dxa"/>
            <w:vAlign w:val="center"/>
          </w:tcPr>
          <w:p>
            <w:pPr>
              <w:pStyle w:val="34"/>
              <w:ind w:left="480" w:hanging="480"/>
              <w:rPr>
                <w:color w:val="auto"/>
                <w:highlight w:val="none"/>
              </w:rPr>
            </w:pPr>
            <w:r>
              <w:rPr>
                <w:rFonts w:hint="eastAsia" w:ascii="Times New Roman" w:hAnsi="Times New Roman"/>
                <w:snapToGrid w:val="0"/>
                <w:color w:val="auto"/>
                <w:kern w:val="21"/>
                <w:szCs w:val="21"/>
                <w:highlight w:val="none"/>
              </w:rPr>
              <w:t>+276</w:t>
            </w:r>
            <w:r>
              <w:rPr>
                <w:rFonts w:hint="eastAsia" w:ascii="Times New Roman" w:hAnsi="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rPr>
                <w:color w:val="auto"/>
                <w:highlight w:val="none"/>
              </w:rPr>
            </w:pPr>
            <w:r>
              <w:rPr>
                <w:rFonts w:hint="eastAsia"/>
                <w:color w:val="auto"/>
                <w:highlight w:val="none"/>
              </w:rPr>
              <w:t>危险废物</w:t>
            </w:r>
          </w:p>
        </w:tc>
        <w:tc>
          <w:tcPr>
            <w:tcW w:w="1417"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01" w:type="dxa"/>
            <w:vAlign w:val="center"/>
          </w:tcPr>
          <w:p>
            <w:pPr>
              <w:adjustRightInd w:val="0"/>
              <w:snapToGrid w:val="0"/>
              <w:jc w:val="center"/>
              <w:rPr>
                <w:color w:val="auto"/>
                <w:highlight w:val="none"/>
              </w:rPr>
            </w:pPr>
            <w:r>
              <w:rPr>
                <w:snapToGrid w:val="0"/>
                <w:color w:val="auto"/>
                <w:kern w:val="21"/>
                <w:szCs w:val="21"/>
                <w:highlight w:val="none"/>
              </w:rPr>
              <w:t>/</w:t>
            </w:r>
          </w:p>
        </w:tc>
        <w:tc>
          <w:tcPr>
            <w:tcW w:w="1276" w:type="dxa"/>
            <w:vAlign w:val="center"/>
          </w:tcPr>
          <w:p>
            <w:pPr>
              <w:adjustRightInd w:val="0"/>
              <w:snapToGrid w:val="0"/>
              <w:jc w:val="center"/>
              <w:rPr>
                <w:color w:val="auto"/>
                <w:highlight w:val="none"/>
              </w:rPr>
            </w:pPr>
            <w:r>
              <w:rPr>
                <w:snapToGrid w:val="0"/>
                <w:color w:val="auto"/>
                <w:kern w:val="21"/>
                <w:szCs w:val="21"/>
                <w:highlight w:val="none"/>
              </w:rPr>
              <w:t>/</w:t>
            </w:r>
          </w:p>
        </w:tc>
        <w:tc>
          <w:tcPr>
            <w:tcW w:w="170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559" w:type="dxa"/>
            <w:vAlign w:val="center"/>
          </w:tcPr>
          <w:p>
            <w:pPr>
              <w:adjustRightInd w:val="0"/>
              <w:snapToGrid w:val="0"/>
              <w:jc w:val="center"/>
              <w:rPr>
                <w:color w:val="auto"/>
                <w:highlight w:val="none"/>
              </w:rPr>
            </w:pPr>
            <w:r>
              <w:rPr>
                <w:snapToGrid w:val="0"/>
                <w:color w:val="auto"/>
                <w:kern w:val="21"/>
                <w:szCs w:val="21"/>
                <w:highlight w:val="none"/>
              </w:rPr>
              <w:t>/</w:t>
            </w:r>
          </w:p>
        </w:tc>
        <w:tc>
          <w:tcPr>
            <w:tcW w:w="1761"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c>
          <w:tcPr>
            <w:tcW w:w="1746" w:type="dxa"/>
            <w:vAlign w:val="center"/>
          </w:tcPr>
          <w:p>
            <w:pPr>
              <w:adjustRightInd w:val="0"/>
              <w:snapToGrid w:val="0"/>
              <w:jc w:val="center"/>
              <w:rPr>
                <w:color w:val="auto"/>
                <w:highlight w:val="none"/>
              </w:rPr>
            </w:pPr>
            <w:r>
              <w:rPr>
                <w:snapToGrid w:val="0"/>
                <w:color w:val="auto"/>
                <w:kern w:val="21"/>
                <w:szCs w:val="21"/>
                <w:highlight w:val="none"/>
              </w:rPr>
              <w:t>/</w:t>
            </w:r>
          </w:p>
        </w:tc>
        <w:tc>
          <w:tcPr>
            <w:tcW w:w="1039" w:type="dxa"/>
            <w:vAlign w:val="center"/>
          </w:tcPr>
          <w:p>
            <w:pPr>
              <w:pStyle w:val="34"/>
              <w:ind w:left="480" w:hanging="480"/>
              <w:rPr>
                <w:color w:val="auto"/>
                <w:highlight w:val="none"/>
              </w:rPr>
            </w:pPr>
            <w:r>
              <w:rPr>
                <w:rFonts w:ascii="Times New Roman" w:hAnsi="Times New Roman"/>
                <w:snapToGrid w:val="0"/>
                <w:color w:val="auto"/>
                <w:kern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rPr>
                <w:color w:val="auto"/>
                <w:highlight w:val="none"/>
              </w:rPr>
            </w:pPr>
          </w:p>
        </w:tc>
        <w:tc>
          <w:tcPr>
            <w:tcW w:w="1417" w:type="dxa"/>
            <w:vAlign w:val="center"/>
          </w:tcPr>
          <w:p>
            <w:pPr>
              <w:pStyle w:val="36"/>
              <w:rPr>
                <w:color w:val="auto"/>
                <w:highlight w:val="none"/>
              </w:rPr>
            </w:pPr>
            <w:r>
              <w:rPr>
                <w:rFonts w:hint="eastAsia"/>
                <w:color w:val="auto"/>
                <w:highlight w:val="none"/>
              </w:rPr>
              <w:t>/</w:t>
            </w:r>
          </w:p>
        </w:tc>
        <w:tc>
          <w:tcPr>
            <w:tcW w:w="1701" w:type="dxa"/>
            <w:vAlign w:val="center"/>
          </w:tcPr>
          <w:p>
            <w:pPr>
              <w:pStyle w:val="36"/>
              <w:rPr>
                <w:color w:val="auto"/>
                <w:highlight w:val="none"/>
              </w:rPr>
            </w:pPr>
            <w:r>
              <w:rPr>
                <w:rFonts w:hint="eastAsia"/>
                <w:color w:val="auto"/>
                <w:highlight w:val="none"/>
              </w:rPr>
              <w:t>/</w:t>
            </w:r>
          </w:p>
        </w:tc>
        <w:tc>
          <w:tcPr>
            <w:tcW w:w="1276" w:type="dxa"/>
            <w:vAlign w:val="center"/>
          </w:tcPr>
          <w:p>
            <w:pPr>
              <w:pStyle w:val="36"/>
              <w:rPr>
                <w:color w:val="auto"/>
                <w:highlight w:val="none"/>
              </w:rPr>
            </w:pPr>
            <w:r>
              <w:rPr>
                <w:rFonts w:hint="eastAsia"/>
                <w:color w:val="auto"/>
                <w:highlight w:val="none"/>
              </w:rPr>
              <w:t>/</w:t>
            </w:r>
          </w:p>
        </w:tc>
        <w:tc>
          <w:tcPr>
            <w:tcW w:w="1701" w:type="dxa"/>
            <w:vAlign w:val="center"/>
          </w:tcPr>
          <w:p>
            <w:pPr>
              <w:pStyle w:val="36"/>
              <w:rPr>
                <w:color w:val="auto"/>
                <w:highlight w:val="none"/>
              </w:rPr>
            </w:pPr>
          </w:p>
        </w:tc>
        <w:tc>
          <w:tcPr>
            <w:tcW w:w="1559" w:type="dxa"/>
            <w:vAlign w:val="center"/>
          </w:tcPr>
          <w:p>
            <w:pPr>
              <w:pStyle w:val="36"/>
              <w:rPr>
                <w:color w:val="auto"/>
                <w:highlight w:val="none"/>
              </w:rPr>
            </w:pPr>
            <w:r>
              <w:rPr>
                <w:rFonts w:hint="eastAsia"/>
                <w:color w:val="auto"/>
                <w:highlight w:val="none"/>
              </w:rPr>
              <w:t>/</w:t>
            </w:r>
          </w:p>
        </w:tc>
        <w:tc>
          <w:tcPr>
            <w:tcW w:w="1761" w:type="dxa"/>
            <w:vAlign w:val="center"/>
          </w:tcPr>
          <w:p>
            <w:pPr>
              <w:pStyle w:val="36"/>
              <w:rPr>
                <w:color w:val="auto"/>
                <w:highlight w:val="none"/>
              </w:rPr>
            </w:pPr>
            <w:r>
              <w:rPr>
                <w:rFonts w:hint="eastAsia"/>
                <w:color w:val="auto"/>
                <w:highlight w:val="none"/>
              </w:rPr>
              <w:t>/</w:t>
            </w:r>
          </w:p>
        </w:tc>
        <w:tc>
          <w:tcPr>
            <w:tcW w:w="1746" w:type="dxa"/>
            <w:vAlign w:val="center"/>
          </w:tcPr>
          <w:p>
            <w:pPr>
              <w:pStyle w:val="36"/>
              <w:rPr>
                <w:color w:val="auto"/>
                <w:highlight w:val="none"/>
              </w:rPr>
            </w:pPr>
            <w:r>
              <w:rPr>
                <w:rFonts w:hint="eastAsia"/>
                <w:color w:val="auto"/>
                <w:highlight w:val="none"/>
              </w:rPr>
              <w:t>/</w:t>
            </w:r>
          </w:p>
        </w:tc>
        <w:tc>
          <w:tcPr>
            <w:tcW w:w="1039" w:type="dxa"/>
            <w:vAlign w:val="center"/>
          </w:tcPr>
          <w:p>
            <w:pPr>
              <w:pStyle w:val="36"/>
              <w:rPr>
                <w:color w:val="auto"/>
                <w:highlight w:val="none"/>
              </w:rPr>
            </w:pPr>
            <w:r>
              <w:rPr>
                <w:rFonts w:hint="eastAsia"/>
                <w:color w:val="auto"/>
                <w:highlight w:val="none"/>
              </w:rPr>
              <w:t>/</w:t>
            </w:r>
          </w:p>
        </w:tc>
      </w:tr>
    </w:tbl>
    <w:p>
      <w:pPr>
        <w:pStyle w:val="34"/>
        <w:spacing w:before="192" w:beforeLines="80" w:after="24"/>
        <w:ind w:firstLine="420" w:firstLineChars="200"/>
        <w:jc w:val="left"/>
        <w:rPr>
          <w:snapToGrid w:val="0"/>
          <w:color w:val="auto"/>
          <w:spacing w:val="-6"/>
          <w:kern w:val="21"/>
          <w:szCs w:val="21"/>
          <w:highlight w:val="none"/>
        </w:rPr>
      </w:pPr>
      <w:r>
        <w:rPr>
          <w:snapToGrid w:val="0"/>
          <w:color w:val="auto"/>
          <w:kern w:val="21"/>
          <w:szCs w:val="21"/>
          <w:highlight w:val="none"/>
        </w:rPr>
        <w:t>注：</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=6\*GB3\*MERGEFORMAT</w:instrText>
      </w:r>
      <w:r>
        <w:rPr>
          <w:snapToGrid w:val="0"/>
          <w:color w:val="auto"/>
          <w:spacing w:val="-16"/>
          <w:kern w:val="21"/>
          <w:szCs w:val="21"/>
          <w:highlight w:val="none"/>
        </w:rPr>
        <w:fldChar w:fldCharType="separate"/>
      </w:r>
      <w:r>
        <w:rPr>
          <w:rFonts w:hint="eastAsia"/>
          <w:color w:val="auto"/>
          <w:szCs w:val="21"/>
          <w:highlight w:val="none"/>
        </w:rPr>
        <w:t>⑥</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=1\*GB3\*MERGEFORMAT</w:instrText>
      </w:r>
      <w:r>
        <w:rPr>
          <w:snapToGrid w:val="0"/>
          <w:color w:val="auto"/>
          <w:spacing w:val="-6"/>
          <w:kern w:val="21"/>
          <w:szCs w:val="21"/>
          <w:highlight w:val="none"/>
        </w:rPr>
        <w:fldChar w:fldCharType="separate"/>
      </w:r>
      <w:r>
        <w:rPr>
          <w:rFonts w:hint="eastAsia"/>
          <w:color w:val="auto"/>
          <w:szCs w:val="21"/>
          <w:highlight w:val="none"/>
        </w:rPr>
        <w:t>①</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=3\*GB3\*MERGEFORMAT</w:instrText>
      </w:r>
      <w:r>
        <w:rPr>
          <w:snapToGrid w:val="0"/>
          <w:color w:val="auto"/>
          <w:spacing w:val="-6"/>
          <w:kern w:val="21"/>
          <w:szCs w:val="21"/>
          <w:highlight w:val="none"/>
        </w:rPr>
        <w:fldChar w:fldCharType="separate"/>
      </w:r>
      <w:r>
        <w:rPr>
          <w:rFonts w:hint="eastAsia"/>
          <w:color w:val="auto"/>
          <w:szCs w:val="21"/>
          <w:highlight w:val="none"/>
        </w:rPr>
        <w:t>③</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=4\*GB3\*MERGEFORMAT</w:instrText>
      </w:r>
      <w:r>
        <w:rPr>
          <w:snapToGrid w:val="0"/>
          <w:color w:val="auto"/>
          <w:spacing w:val="-6"/>
          <w:kern w:val="21"/>
          <w:szCs w:val="21"/>
          <w:highlight w:val="none"/>
        </w:rPr>
        <w:fldChar w:fldCharType="separate"/>
      </w:r>
      <w:r>
        <w:rPr>
          <w:rFonts w:hint="eastAsia"/>
          <w:color w:val="auto"/>
          <w:szCs w:val="21"/>
          <w:highlight w:val="none"/>
        </w:rPr>
        <w:t>④</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=5\*GB3\*MERGEFORMAT</w:instrText>
      </w:r>
      <w:r>
        <w:rPr>
          <w:snapToGrid w:val="0"/>
          <w:color w:val="auto"/>
          <w:spacing w:val="-16"/>
          <w:kern w:val="21"/>
          <w:szCs w:val="21"/>
          <w:highlight w:val="none"/>
        </w:rPr>
        <w:fldChar w:fldCharType="separate"/>
      </w:r>
      <w:r>
        <w:rPr>
          <w:rFonts w:hint="eastAsia"/>
          <w:color w:val="auto"/>
          <w:szCs w:val="21"/>
          <w:highlight w:val="none"/>
        </w:rPr>
        <w:t>⑤</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=7\*GB3\*MERGEFORMAT</w:instrText>
      </w:r>
      <w:r>
        <w:rPr>
          <w:snapToGrid w:val="0"/>
          <w:color w:val="auto"/>
          <w:spacing w:val="-6"/>
          <w:kern w:val="21"/>
          <w:szCs w:val="21"/>
          <w:highlight w:val="none"/>
        </w:rPr>
        <w:fldChar w:fldCharType="separate"/>
      </w:r>
      <w:r>
        <w:rPr>
          <w:rFonts w:hint="eastAsia"/>
          <w:color w:val="auto"/>
          <w:szCs w:val="21"/>
          <w:highlight w:val="none"/>
        </w:rPr>
        <w:t>⑦</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=6\*GB3\*MERGEFORMAT</w:instrText>
      </w:r>
      <w:r>
        <w:rPr>
          <w:snapToGrid w:val="0"/>
          <w:color w:val="auto"/>
          <w:spacing w:val="-16"/>
          <w:kern w:val="21"/>
          <w:szCs w:val="21"/>
          <w:highlight w:val="none"/>
        </w:rPr>
        <w:fldChar w:fldCharType="separate"/>
      </w:r>
      <w:r>
        <w:rPr>
          <w:rFonts w:hint="eastAsia"/>
          <w:color w:val="auto"/>
          <w:szCs w:val="21"/>
          <w:highlight w:val="none"/>
        </w:rPr>
        <w:t>⑥</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=1\*GB3\*MERGEFORMAT</w:instrText>
      </w:r>
      <w:r>
        <w:rPr>
          <w:snapToGrid w:val="0"/>
          <w:color w:val="auto"/>
          <w:spacing w:val="-6"/>
          <w:kern w:val="21"/>
          <w:szCs w:val="21"/>
          <w:highlight w:val="none"/>
        </w:rPr>
        <w:fldChar w:fldCharType="separate"/>
      </w:r>
      <w:r>
        <w:rPr>
          <w:rFonts w:hint="eastAsia"/>
          <w:color w:val="auto"/>
          <w:szCs w:val="21"/>
          <w:highlight w:val="none"/>
        </w:rPr>
        <w:t>①</w:t>
      </w:r>
      <w:r>
        <w:rPr>
          <w:snapToGrid w:val="0"/>
          <w:color w:val="auto"/>
          <w:spacing w:val="-6"/>
          <w:kern w:val="21"/>
          <w:szCs w:val="21"/>
          <w:highlight w:val="none"/>
        </w:rPr>
        <w:fldChar w:fldCharType="end"/>
      </w:r>
    </w:p>
    <w:p>
      <w:pPr>
        <w:rPr>
          <w:color w:val="auto"/>
          <w:highlight w:val="none"/>
        </w:rPr>
      </w:pPr>
    </w:p>
    <w:p>
      <w:pPr>
        <w:rPr>
          <w:color w:val="auto"/>
          <w:highlight w:val="none"/>
        </w:rPr>
        <w:sectPr>
          <w:footerReference r:id="rId7" w:type="default"/>
          <w:pgSz w:w="23811" w:h="16838" w:orient="landscape"/>
          <w:pgMar w:top="911" w:right="1701" w:bottom="1531" w:left="1701" w:header="851" w:footer="851" w:gutter="0"/>
          <w:cols w:space="720" w:num="1"/>
          <w:docGrid w:linePitch="312" w:charSpace="0"/>
        </w:sectPr>
      </w:pPr>
      <w:r>
        <w:rPr>
          <w:rFonts w:hint="eastAsia" w:ascii="黑体" w:hAnsi="黑体"/>
          <w:snapToGrid w:val="0"/>
          <w:color w:val="auto"/>
          <w:sz w:val="30"/>
          <w:highlight w:val="none"/>
        </w:rPr>
        <w:br w:type="page"/>
      </w:r>
    </w:p>
    <w:p>
      <w:pPr>
        <w:pStyle w:val="2"/>
        <w:ind w:left="0" w:firstLine="0"/>
        <w:rPr>
          <w:color w:val="auto"/>
          <w:highlight w:val="none"/>
          <w:lang w:eastAsia="zh"/>
        </w:rPr>
      </w:pPr>
      <w:bookmarkStart w:id="51" w:name="_Toc30512"/>
      <w:bookmarkStart w:id="52" w:name="_Toc11996"/>
      <w:r>
        <w:rPr>
          <w:rFonts w:hint="eastAsia"/>
          <w:color w:val="auto"/>
          <w:highlight w:val="none"/>
        </w:rPr>
        <w:t>附件</w:t>
      </w:r>
      <w:bookmarkEnd w:id="51"/>
      <w:bookmarkEnd w:id="52"/>
      <w:r>
        <w:rPr>
          <w:rFonts w:hint="eastAsia"/>
          <w:color w:val="auto"/>
          <w:highlight w:val="none"/>
          <w:lang w:eastAsia="zh"/>
        </w:rPr>
        <w:t xml:space="preserve">        </w:t>
      </w:r>
    </w:p>
    <w:p>
      <w:pPr>
        <w:pStyle w:val="3"/>
        <w:rPr>
          <w:color w:val="auto"/>
          <w:highlight w:val="none"/>
        </w:rPr>
      </w:pPr>
      <w:bookmarkStart w:id="53" w:name="_Toc1378"/>
      <w:bookmarkStart w:id="54" w:name="_Toc28807"/>
      <w:r>
        <w:rPr>
          <w:rFonts w:hint="eastAsia"/>
          <w:color w:val="auto"/>
          <w:highlight w:val="none"/>
        </w:rPr>
        <w:t>附件6信息不宜公开说明</w:t>
      </w:r>
      <w:bookmarkEnd w:id="53"/>
      <w:bookmarkEnd w:id="54"/>
    </w:p>
    <w:p>
      <w:pPr>
        <w:widowControl/>
        <w:spacing w:line="360" w:lineRule="auto"/>
        <w:jc w:val="center"/>
        <w:rPr>
          <w:b/>
          <w:color w:val="auto"/>
          <w:kern w:val="0"/>
          <w:sz w:val="32"/>
          <w:szCs w:val="32"/>
          <w:highlight w:val="none"/>
        </w:rPr>
      </w:pPr>
      <w:r>
        <w:rPr>
          <w:rFonts w:hint="eastAsia"/>
          <w:b/>
          <w:color w:val="auto"/>
          <w:kern w:val="0"/>
          <w:sz w:val="32"/>
          <w:szCs w:val="32"/>
          <w:highlight w:val="none"/>
        </w:rPr>
        <w:drawing>
          <wp:inline distT="0" distB="0" distL="114300" distR="114300">
            <wp:extent cx="5730240" cy="7205345"/>
            <wp:effectExtent l="0" t="0" r="0" b="3175"/>
            <wp:docPr id="79" name="图片 118" descr="委托书等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8" descr="委托书等附件_06"/>
                    <pic:cNvPicPr>
                      <a:picLocks noChangeAspect="1"/>
                    </pic:cNvPicPr>
                  </pic:nvPicPr>
                  <pic:blipFill>
                    <a:blip r:embed="rId22"/>
                    <a:srcRect t="11073"/>
                    <a:stretch>
                      <a:fillRect/>
                    </a:stretch>
                  </pic:blipFill>
                  <pic:spPr>
                    <a:xfrm>
                      <a:off x="0" y="0"/>
                      <a:ext cx="5730240" cy="7205345"/>
                    </a:xfrm>
                    <a:prstGeom prst="rect">
                      <a:avLst/>
                    </a:prstGeom>
                    <a:noFill/>
                    <a:ln>
                      <a:noFill/>
                    </a:ln>
                  </pic:spPr>
                </pic:pic>
              </a:graphicData>
            </a:graphic>
          </wp:inline>
        </w:drawing>
      </w:r>
    </w:p>
    <w:p>
      <w:pPr>
        <w:widowControl/>
        <w:spacing w:line="360" w:lineRule="auto"/>
        <w:jc w:val="left"/>
        <w:rPr>
          <w:color w:val="auto"/>
          <w:kern w:val="0"/>
          <w:szCs w:val="20"/>
          <w:highlight w:val="none"/>
        </w:rPr>
      </w:pPr>
    </w:p>
    <w:p>
      <w:pPr>
        <w:rPr>
          <w:color w:val="auto"/>
          <w:highlight w:val="none"/>
        </w:rPr>
      </w:pPr>
    </w:p>
    <w:p>
      <w:pPr>
        <w:pStyle w:val="3"/>
        <w:rPr>
          <w:color w:val="auto"/>
          <w:highlight w:val="none"/>
        </w:rPr>
      </w:pPr>
      <w:r>
        <w:rPr>
          <w:rFonts w:hint="eastAsia"/>
          <w:color w:val="auto"/>
          <w:highlight w:val="none"/>
        </w:rPr>
        <w:br w:type="page"/>
      </w:r>
      <w:bookmarkStart w:id="55" w:name="_Toc5074"/>
      <w:bookmarkStart w:id="56" w:name="_Toc20821"/>
      <w:r>
        <w:rPr>
          <w:rFonts w:hint="eastAsia"/>
          <w:color w:val="auto"/>
          <w:highlight w:val="none"/>
        </w:rPr>
        <w:t>附件7环评申请报告</w:t>
      </w:r>
      <w:bookmarkEnd w:id="55"/>
      <w:bookmarkEnd w:id="56"/>
    </w:p>
    <w:p>
      <w:pPr>
        <w:jc w:val="center"/>
        <w:rPr>
          <w:rFonts w:ascii="宋体" w:hAnsi="宋体" w:cs="宋体"/>
          <w:color w:val="auto"/>
          <w:sz w:val="44"/>
          <w:szCs w:val="44"/>
          <w:highlight w:val="none"/>
        </w:rPr>
      </w:pPr>
    </w:p>
    <w:p>
      <w:pPr>
        <w:rPr>
          <w:color w:val="auto"/>
          <w:highlight w:val="none"/>
        </w:rPr>
      </w:pPr>
      <w:r>
        <w:rPr>
          <w:rFonts w:hint="eastAsia"/>
          <w:color w:val="auto"/>
          <w:highlight w:val="none"/>
        </w:rPr>
        <w:drawing>
          <wp:inline distT="0" distB="0" distL="114300" distR="114300">
            <wp:extent cx="6012180" cy="6405245"/>
            <wp:effectExtent l="0" t="0" r="7620" b="10795"/>
            <wp:docPr id="80" name="图片 119" descr="委托书等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9" descr="委托书等附件_07"/>
                    <pic:cNvPicPr>
                      <a:picLocks noChangeAspect="1"/>
                    </pic:cNvPicPr>
                  </pic:nvPicPr>
                  <pic:blipFill>
                    <a:blip r:embed="rId23"/>
                    <a:srcRect l="9053" t="6920" b="24561"/>
                    <a:stretch>
                      <a:fillRect/>
                    </a:stretch>
                  </pic:blipFill>
                  <pic:spPr>
                    <a:xfrm>
                      <a:off x="0" y="0"/>
                      <a:ext cx="6012180" cy="6405245"/>
                    </a:xfrm>
                    <a:prstGeom prst="rect">
                      <a:avLst/>
                    </a:prstGeom>
                    <a:noFill/>
                    <a:ln>
                      <a:noFill/>
                    </a:ln>
                  </pic:spPr>
                </pic:pic>
              </a:graphicData>
            </a:graphic>
          </wp:inline>
        </w:drawing>
      </w:r>
      <w:r>
        <w:rPr>
          <w:rFonts w:hint="eastAsia"/>
          <w:color w:val="auto"/>
          <w:highlight w:val="none"/>
        </w:rPr>
        <w:br w:type="page"/>
      </w:r>
    </w:p>
    <w:p>
      <w:pPr>
        <w:pStyle w:val="3"/>
        <w:rPr>
          <w:color w:val="auto"/>
          <w:highlight w:val="none"/>
        </w:rPr>
      </w:pPr>
      <w:bookmarkStart w:id="57" w:name="_Toc7064"/>
      <w:bookmarkStart w:id="58" w:name="_Toc29033"/>
      <w:r>
        <w:rPr>
          <w:rFonts w:hint="eastAsia"/>
          <w:color w:val="auto"/>
          <w:highlight w:val="none"/>
        </w:rPr>
        <w:t>附件8公开建设项目说明报告</w:t>
      </w:r>
      <w:bookmarkEnd w:id="57"/>
      <w:bookmarkEnd w:id="58"/>
    </w:p>
    <w:p>
      <w:pPr>
        <w:jc w:val="right"/>
        <w:rPr>
          <w:color w:val="auto"/>
          <w:highlight w:val="none"/>
        </w:rPr>
      </w:pPr>
    </w:p>
    <w:p>
      <w:pPr>
        <w:rPr>
          <w:color w:val="auto"/>
          <w:highlight w:val="none"/>
        </w:rPr>
      </w:pPr>
      <w:r>
        <w:rPr>
          <w:rFonts w:hint="eastAsia"/>
          <w:color w:val="auto"/>
          <w:highlight w:val="none"/>
        </w:rPr>
        <w:drawing>
          <wp:inline distT="0" distB="0" distL="114300" distR="114300">
            <wp:extent cx="5730240" cy="7492365"/>
            <wp:effectExtent l="0" t="0" r="0" b="5715"/>
            <wp:docPr id="81" name="图片 120" descr="委托书等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0" descr="委托书等附件_08"/>
                    <pic:cNvPicPr>
                      <a:picLocks noChangeAspect="1"/>
                    </pic:cNvPicPr>
                  </pic:nvPicPr>
                  <pic:blipFill>
                    <a:blip r:embed="rId24"/>
                    <a:srcRect t="7532"/>
                    <a:stretch>
                      <a:fillRect/>
                    </a:stretch>
                  </pic:blipFill>
                  <pic:spPr>
                    <a:xfrm>
                      <a:off x="0" y="0"/>
                      <a:ext cx="5730240" cy="7492365"/>
                    </a:xfrm>
                    <a:prstGeom prst="rect">
                      <a:avLst/>
                    </a:prstGeom>
                    <a:noFill/>
                    <a:ln>
                      <a:noFill/>
                    </a:ln>
                  </pic:spPr>
                </pic:pic>
              </a:graphicData>
            </a:graphic>
          </wp:inline>
        </w:drawing>
      </w:r>
    </w:p>
    <w:p>
      <w:pPr>
        <w:rPr>
          <w:color w:val="auto"/>
          <w:highlight w:val="none"/>
        </w:rPr>
        <w:sectPr>
          <w:pgSz w:w="11906" w:h="16838"/>
          <w:pgMar w:top="1587" w:right="1440" w:bottom="1474" w:left="1440" w:header="851" w:footer="851" w:gutter="0"/>
          <w:cols w:space="720" w:num="1"/>
          <w:docGrid w:linePitch="312" w:charSpace="0"/>
        </w:sectPr>
      </w:pPr>
      <w:r>
        <w:rPr>
          <w:rFonts w:hint="eastAsia"/>
          <w:color w:val="auto"/>
          <w:highlight w:val="none"/>
        </w:rPr>
        <w:drawing>
          <wp:inline distT="0" distB="0" distL="114300" distR="114300">
            <wp:extent cx="5728335" cy="5909310"/>
            <wp:effectExtent l="0" t="0" r="1905" b="3810"/>
            <wp:docPr id="82" name="图片 122" descr="网站公示截图-福清核电雨废分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2" descr="网站公示截图-福清核电雨废分离"/>
                    <pic:cNvPicPr>
                      <a:picLocks noChangeAspect="1"/>
                    </pic:cNvPicPr>
                  </pic:nvPicPr>
                  <pic:blipFill>
                    <a:blip r:embed="rId25"/>
                    <a:stretch>
                      <a:fillRect/>
                    </a:stretch>
                  </pic:blipFill>
                  <pic:spPr>
                    <a:xfrm>
                      <a:off x="0" y="0"/>
                      <a:ext cx="5728335" cy="5909310"/>
                    </a:xfrm>
                    <a:prstGeom prst="rect">
                      <a:avLst/>
                    </a:prstGeom>
                    <a:noFill/>
                    <a:ln>
                      <a:noFill/>
                    </a:ln>
                  </pic:spPr>
                </pic:pic>
              </a:graphicData>
            </a:graphic>
          </wp:inline>
        </w:drawing>
      </w:r>
    </w:p>
    <w:p>
      <w:pPr>
        <w:pStyle w:val="3"/>
        <w:rPr>
          <w:color w:val="auto"/>
          <w:highlight w:val="none"/>
        </w:rPr>
      </w:pPr>
      <w:bookmarkStart w:id="59" w:name="_Toc15290"/>
      <w:bookmarkStart w:id="60" w:name="_Toc16671"/>
      <w:r>
        <w:rPr>
          <w:rFonts w:hint="eastAsia"/>
          <w:color w:val="auto"/>
          <w:highlight w:val="none"/>
        </w:rPr>
        <w:t>附件9备案表</w:t>
      </w:r>
      <w:bookmarkEnd w:id="59"/>
      <w:bookmarkEnd w:id="60"/>
    </w:p>
    <w:p>
      <w:pPr>
        <w:rPr>
          <w:color w:val="auto"/>
          <w:highlight w:val="none"/>
        </w:rPr>
      </w:pPr>
      <w:r>
        <w:rPr>
          <w:rFonts w:hint="eastAsia"/>
          <w:color w:val="auto"/>
          <w:highlight w:val="none"/>
        </w:rPr>
        <w:drawing>
          <wp:inline distT="0" distB="0" distL="114300" distR="114300">
            <wp:extent cx="5854700" cy="8063865"/>
            <wp:effectExtent l="0" t="0" r="3175" b="3810"/>
            <wp:docPr id="2" name="图片 2" descr="cbc31f9b7f2721556ceda3645dc38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c31f9b7f2721556ceda3645dc38f73"/>
                    <pic:cNvPicPr>
                      <a:picLocks noChangeAspect="1"/>
                    </pic:cNvPicPr>
                  </pic:nvPicPr>
                  <pic:blipFill>
                    <a:blip r:embed="rId26"/>
                    <a:stretch>
                      <a:fillRect/>
                    </a:stretch>
                  </pic:blipFill>
                  <pic:spPr>
                    <a:xfrm>
                      <a:off x="0" y="0"/>
                      <a:ext cx="5854700" cy="8063865"/>
                    </a:xfrm>
                    <a:prstGeom prst="rect">
                      <a:avLst/>
                    </a:prstGeom>
                  </pic:spPr>
                </pic:pic>
              </a:graphicData>
            </a:graphic>
          </wp:inline>
        </w:drawing>
      </w:r>
    </w:p>
    <w:p>
      <w:pPr>
        <w:rPr>
          <w:color w:val="auto"/>
          <w:highlight w:val="none"/>
        </w:rPr>
        <w:sectPr>
          <w:pgSz w:w="11906" w:h="16838"/>
          <w:pgMar w:top="1701" w:right="1531" w:bottom="1701" w:left="911" w:header="851" w:footer="851" w:gutter="0"/>
          <w:cols w:space="720" w:num="1"/>
          <w:docGrid w:linePitch="312" w:charSpace="0"/>
        </w:sectPr>
      </w:pPr>
    </w:p>
    <w:p>
      <w:pPr>
        <w:rPr>
          <w:color w:val="auto"/>
          <w:highlight w:val="none"/>
        </w:rPr>
      </w:pPr>
    </w:p>
    <w:sectPr>
      <w:pgSz w:w="11906" w:h="16838"/>
      <w:pgMar w:top="1587" w:right="1440" w:bottom="1474"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Microsoft JhengHei">
    <w:panose1 w:val="020B0604030504040204"/>
    <w:charset w:val="88"/>
    <w:family w:val="swiss"/>
    <w:pitch w:val="default"/>
    <w:sig w:usb0="00000087" w:usb1="28AF4000" w:usb2="00000016" w:usb3="00000000" w:csb0="00100009"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1B/c8UBAACRAwAADgAAAGRycy9lMm9Eb2MueG1srVPNjtMwEL4j8Q6W&#10;79TZSiw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029PUrShy3OPHz92/nH7/OP7+S&#10;ZfXyOkvUB6gx8y5gbhre+gEXZ/YDOjPzQUWbv8iJYBwFPl0ElkMiIj9aLVerCkMCY/MF8dnD8xAh&#10;vZPekmw0NOIEi7D8+AHSmDqn5GrO32pjyhSN+8uBmNnDcu9jj9lKw26YCO18e0I+PQ6/oQ53nRLz&#10;3qG2eU9mI87GbjJyDQhvDgkLl34y6gg1FcNJFUbTVuVV+PNesh7+pM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NQf3PFAQAAkQMAAA4AAAAAAAAAAQAgAAAAHgEAAGRycy9lMm9Eb2MueG1s&#10;UEsFBgAAAAAGAAYAWQEAAFU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5750" cy="197485"/>
              <wp:effectExtent l="0" t="0" r="0" b="0"/>
              <wp:wrapNone/>
              <wp:docPr id="98" name="文本框 2057"/>
              <wp:cNvGraphicFramePr/>
              <a:graphic xmlns:a="http://schemas.openxmlformats.org/drawingml/2006/main">
                <a:graphicData uri="http://schemas.microsoft.com/office/word/2010/wordprocessingShape">
                  <wps:wsp>
                    <wps:cNvSpPr txBox="1"/>
                    <wps:spPr>
                      <a:xfrm>
                        <a:off x="0" y="0"/>
                        <a:ext cx="285750" cy="197485"/>
                      </a:xfrm>
                      <a:prstGeom prst="rect">
                        <a:avLst/>
                      </a:prstGeom>
                      <a:noFill/>
                      <a:ln>
                        <a:noFill/>
                      </a:ln>
                    </wps:spPr>
                    <wps:txbx>
                      <w:txbxContent>
                        <w:p>
                          <w:pPr>
                            <w:pStyle w:val="11"/>
                          </w:pPr>
                          <w:r>
                            <w:fldChar w:fldCharType="begin"/>
                          </w:r>
                          <w:r>
                            <w:instrText xml:space="preserve"> PAGE  \* MERGEFORMAT </w:instrText>
                          </w:r>
                          <w:r>
                            <w:fldChar w:fldCharType="separate"/>
                          </w:r>
                          <w:r>
                            <w:t>2</w:t>
                          </w:r>
                          <w:r>
                            <w:fldChar w:fldCharType="end"/>
                          </w:r>
                        </w:p>
                      </w:txbxContent>
                    </wps:txbx>
                    <wps:bodyPr wrap="square" lIns="0" tIns="0" rIns="0" bIns="0">
                      <a:noAutofit/>
                    </wps:bodyPr>
                  </wps:wsp>
                </a:graphicData>
              </a:graphic>
            </wp:anchor>
          </w:drawing>
        </mc:Choice>
        <mc:Fallback>
          <w:pict>
            <v:shape id="文本框 2057" o:spid="_x0000_s1026" o:spt="202" type="#_x0000_t202" style="position:absolute;left:0pt;margin-top:0pt;height:15.55pt;width:22.5pt;mso-position-horizontal:center;mso-position-horizontal-relative:margin;z-index:251660288;mso-width-relative:page;mso-height-relative:page;" filled="f" stroked="f" coordsize="21600,21600" o:gfxdata="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32Fr9MAAAADAQAADwAAAAAAAAABACAAAAAiAAAAZHJzL2Rvd25y&#10;ZXYueG1sUEsBAhQAFAAAAAgAh07iQKwyMerKAQAAkQMAAA4AAAAAAAAAAQAgAAAAIgEAAGRycy9l&#10;Mm9Eb2MueG1sUEsFBgAAAAAGAAYAWQEAAF4FAAAAAA==&#10;">
              <v:fill on="f" focussize="0,0"/>
              <v:stroke on="f"/>
              <v:imagedata o:title=""/>
              <o:lock v:ext="edit" aspectratio="f"/>
              <v:textbox inset="0mm,0mm,0mm,0mm">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863792271"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1"/>
                          </w:pPr>
                          <w:r>
                            <w:fldChar w:fldCharType="begin"/>
                          </w:r>
                          <w:r>
                            <w:instrText xml:space="preserve"> PAGE  \* MERGEFORMAT </w:instrText>
                          </w:r>
                          <w:r>
                            <w:fldChar w:fldCharType="separate"/>
                          </w:r>
                          <w:r>
                            <w:t>8</w:t>
                          </w:r>
                          <w:r>
                            <w:fldChar w:fldCharType="end"/>
                          </w:r>
                        </w:p>
                      </w:txbxContent>
                    </wps:txbx>
                    <wps:bodyPr rot="0" vert="horz" wrap="none" lIns="0" tIns="0" rIns="0" bIns="0" anchor="t" anchorCtr="0" upright="1">
                      <a:spAutoFit/>
                    </wps:bodyPr>
                  </wps:wsp>
                </a:graphicData>
              </a:graphic>
            </wp:anchor>
          </w:drawing>
        </mc:Choice>
        <mc:Fallback>
          <w:pict>
            <v:shape id="文本框 1035"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SdAAAAADAQAADwAAAAAAAAAB&#10;ACAAAAAiAAAAZHJzL2Rvd25yZXYueG1sUEsBAhQAFAAAAAgAh07iQDf7gP4YAgAAGwQAAA4AAAAA&#10;AAAAAQAgAAAAHwEAAGRycy9lMm9Eb2MueG1sUEsFBgAAAAAGAAYAWQEAAKk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9FBF4"/>
    <w:multiLevelType w:val="singleLevel"/>
    <w:tmpl w:val="8149FBF4"/>
    <w:lvl w:ilvl="0" w:tentative="0">
      <w:start w:val="1"/>
      <w:numFmt w:val="decimal"/>
      <w:suff w:val="nothing"/>
      <w:lvlText w:val="（%1）"/>
      <w:lvlJc w:val="left"/>
    </w:lvl>
  </w:abstractNum>
  <w:abstractNum w:abstractNumId="1">
    <w:nsid w:val="CE066F2A"/>
    <w:multiLevelType w:val="singleLevel"/>
    <w:tmpl w:val="CE066F2A"/>
    <w:lvl w:ilvl="0" w:tentative="0">
      <w:start w:val="1"/>
      <w:numFmt w:val="decimal"/>
      <w:suff w:val="nothing"/>
      <w:lvlText w:val="（%1）"/>
      <w:lvlJc w:val="left"/>
    </w:lvl>
  </w:abstractNum>
  <w:abstractNum w:abstractNumId="2">
    <w:nsid w:val="081CCC4A"/>
    <w:multiLevelType w:val="singleLevel"/>
    <w:tmpl w:val="081CCC4A"/>
    <w:lvl w:ilvl="0" w:tentative="0">
      <w:start w:val="1"/>
      <w:numFmt w:val="decimal"/>
      <w:suff w:val="nothing"/>
      <w:lvlText w:val="（%1）"/>
      <w:lvlJc w:val="left"/>
    </w:lvl>
  </w:abstractNum>
  <w:abstractNum w:abstractNumId="3">
    <w:nsid w:val="0A01CB89"/>
    <w:multiLevelType w:val="singleLevel"/>
    <w:tmpl w:val="0A01CB89"/>
    <w:lvl w:ilvl="0" w:tentative="0">
      <w:start w:val="2"/>
      <w:numFmt w:val="chineseCounting"/>
      <w:suff w:val="nothing"/>
      <w:lvlText w:val="（%1）"/>
      <w:lvlJc w:val="left"/>
      <w:rPr>
        <w:rFonts w:hint="eastAsia"/>
      </w:rPr>
    </w:lvl>
  </w:abstractNum>
  <w:abstractNum w:abstractNumId="4">
    <w:nsid w:val="269C136D"/>
    <w:multiLevelType w:val="singleLevel"/>
    <w:tmpl w:val="269C136D"/>
    <w:lvl w:ilvl="0" w:tentative="0">
      <w:start w:val="1"/>
      <w:numFmt w:val="decimalEnclosedCircleChinese"/>
      <w:suff w:val="nothing"/>
      <w:lvlText w:val="%1　"/>
      <w:lvlJc w:val="left"/>
      <w:pPr>
        <w:ind w:left="0" w:firstLine="400"/>
      </w:pPr>
      <w:rPr>
        <w:rFonts w:hint="eastAsia"/>
      </w:rPr>
    </w:lvl>
  </w:abstractNum>
  <w:abstractNum w:abstractNumId="5">
    <w:nsid w:val="324C47EE"/>
    <w:multiLevelType w:val="singleLevel"/>
    <w:tmpl w:val="324C47EE"/>
    <w:lvl w:ilvl="0" w:tentative="0">
      <w:start w:val="11"/>
      <w:numFmt w:val="decimal"/>
      <w:suff w:val="nothing"/>
      <w:lvlText w:val="（%1）"/>
      <w:lvlJc w:val="left"/>
    </w:lvl>
  </w:abstractNum>
  <w:abstractNum w:abstractNumId="6">
    <w:nsid w:val="39194CCC"/>
    <w:multiLevelType w:val="singleLevel"/>
    <w:tmpl w:val="39194CCC"/>
    <w:lvl w:ilvl="0" w:tentative="0">
      <w:start w:val="15"/>
      <w:numFmt w:val="decimal"/>
      <w:suff w:val="nothing"/>
      <w:lvlText w:val="（%1）"/>
      <w:lvlJc w:val="left"/>
    </w:lvl>
  </w:abstractNum>
  <w:abstractNum w:abstractNumId="7">
    <w:nsid w:val="483EBEE2"/>
    <w:multiLevelType w:val="singleLevel"/>
    <w:tmpl w:val="483EBEE2"/>
    <w:lvl w:ilvl="0" w:tentative="0">
      <w:start w:val="1"/>
      <w:numFmt w:val="decimalEnclosedCircleChinese"/>
      <w:suff w:val="nothing"/>
      <w:lvlText w:val="%1　"/>
      <w:lvlJc w:val="left"/>
      <w:pPr>
        <w:ind w:left="0" w:firstLine="400"/>
      </w:pPr>
      <w:rPr>
        <w:rFonts w:hint="eastAsia"/>
      </w:rPr>
    </w:lvl>
  </w:abstractNum>
  <w:abstractNum w:abstractNumId="8">
    <w:nsid w:val="60AC613A"/>
    <w:multiLevelType w:val="singleLevel"/>
    <w:tmpl w:val="60AC613A"/>
    <w:lvl w:ilvl="0" w:tentative="0">
      <w:start w:val="2"/>
      <w:numFmt w:val="decimal"/>
      <w:suff w:val="nothing"/>
      <w:lvlText w:val="（%1）"/>
      <w:lvlJc w:val="left"/>
    </w:lvl>
  </w:abstractNum>
  <w:num w:numId="1">
    <w:abstractNumId w:val="8"/>
  </w:num>
  <w:num w:numId="2">
    <w:abstractNumId w:val="7"/>
  </w:num>
  <w:num w:numId="3">
    <w:abstractNumId w:val="1"/>
  </w:num>
  <w:num w:numId="4">
    <w:abstractNumId w:val="4"/>
  </w:num>
  <w:num w:numId="5">
    <w:abstractNumId w:val="5"/>
  </w:num>
  <w:num w:numId="6">
    <w:abstractNumId w:val="6"/>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zMGExMzkzYmE3YmY4YTViMjRhZjdkOGEyMDk5ZWEifQ=="/>
  </w:docVars>
  <w:rsids>
    <w:rsidRoot w:val="00172A27"/>
    <w:rsid w:val="000060B3"/>
    <w:rsid w:val="00033B73"/>
    <w:rsid w:val="0004364B"/>
    <w:rsid w:val="00061B1F"/>
    <w:rsid w:val="000733C4"/>
    <w:rsid w:val="00074783"/>
    <w:rsid w:val="0008070B"/>
    <w:rsid w:val="000810AC"/>
    <w:rsid w:val="00081A02"/>
    <w:rsid w:val="00082231"/>
    <w:rsid w:val="00092D38"/>
    <w:rsid w:val="0009377B"/>
    <w:rsid w:val="000961D2"/>
    <w:rsid w:val="000A20C9"/>
    <w:rsid w:val="000B058F"/>
    <w:rsid w:val="000B4467"/>
    <w:rsid w:val="000B4DB9"/>
    <w:rsid w:val="000C09AC"/>
    <w:rsid w:val="000C6560"/>
    <w:rsid w:val="000C767F"/>
    <w:rsid w:val="000D5A44"/>
    <w:rsid w:val="000E3ED2"/>
    <w:rsid w:val="00130F01"/>
    <w:rsid w:val="00131F42"/>
    <w:rsid w:val="001357F1"/>
    <w:rsid w:val="00140FA8"/>
    <w:rsid w:val="00142FEB"/>
    <w:rsid w:val="00143A2D"/>
    <w:rsid w:val="00145A41"/>
    <w:rsid w:val="00151675"/>
    <w:rsid w:val="00157435"/>
    <w:rsid w:val="0016580D"/>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3FAF"/>
    <w:rsid w:val="002506BC"/>
    <w:rsid w:val="00254345"/>
    <w:rsid w:val="00264557"/>
    <w:rsid w:val="00277DF2"/>
    <w:rsid w:val="002805AB"/>
    <w:rsid w:val="00284204"/>
    <w:rsid w:val="00291773"/>
    <w:rsid w:val="002A168C"/>
    <w:rsid w:val="002A3DC7"/>
    <w:rsid w:val="002B49E2"/>
    <w:rsid w:val="002B7B00"/>
    <w:rsid w:val="002B7C44"/>
    <w:rsid w:val="002C2B17"/>
    <w:rsid w:val="002D3DD0"/>
    <w:rsid w:val="002E1928"/>
    <w:rsid w:val="002E1F3A"/>
    <w:rsid w:val="002E298A"/>
    <w:rsid w:val="002F3BF1"/>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76E6C"/>
    <w:rsid w:val="00381A72"/>
    <w:rsid w:val="00384676"/>
    <w:rsid w:val="00390857"/>
    <w:rsid w:val="003A4BF3"/>
    <w:rsid w:val="003B3283"/>
    <w:rsid w:val="003B420D"/>
    <w:rsid w:val="003B71FA"/>
    <w:rsid w:val="003B7BAE"/>
    <w:rsid w:val="003C5AAC"/>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796E"/>
    <w:rsid w:val="00466321"/>
    <w:rsid w:val="004747F0"/>
    <w:rsid w:val="00484B9B"/>
    <w:rsid w:val="004855F6"/>
    <w:rsid w:val="004865AB"/>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1196"/>
    <w:rsid w:val="00524303"/>
    <w:rsid w:val="005258A2"/>
    <w:rsid w:val="005401AE"/>
    <w:rsid w:val="00542E07"/>
    <w:rsid w:val="00545424"/>
    <w:rsid w:val="00550247"/>
    <w:rsid w:val="00554A7B"/>
    <w:rsid w:val="0055572C"/>
    <w:rsid w:val="0056106A"/>
    <w:rsid w:val="005720AE"/>
    <w:rsid w:val="00594D77"/>
    <w:rsid w:val="005969E4"/>
    <w:rsid w:val="005A06B7"/>
    <w:rsid w:val="005A1759"/>
    <w:rsid w:val="005A68A7"/>
    <w:rsid w:val="005D36AB"/>
    <w:rsid w:val="005E0588"/>
    <w:rsid w:val="005F1343"/>
    <w:rsid w:val="0061219A"/>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0587"/>
    <w:rsid w:val="00732922"/>
    <w:rsid w:val="00743C3D"/>
    <w:rsid w:val="0075162E"/>
    <w:rsid w:val="00754034"/>
    <w:rsid w:val="00756556"/>
    <w:rsid w:val="007618C4"/>
    <w:rsid w:val="00767980"/>
    <w:rsid w:val="00770B19"/>
    <w:rsid w:val="0077463F"/>
    <w:rsid w:val="007836EA"/>
    <w:rsid w:val="00784CDA"/>
    <w:rsid w:val="007906C4"/>
    <w:rsid w:val="007940EA"/>
    <w:rsid w:val="007967E8"/>
    <w:rsid w:val="007A209E"/>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41139"/>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5E2F"/>
    <w:rsid w:val="008E76F0"/>
    <w:rsid w:val="008F15FE"/>
    <w:rsid w:val="008F2D29"/>
    <w:rsid w:val="008F5187"/>
    <w:rsid w:val="008F60D8"/>
    <w:rsid w:val="00902727"/>
    <w:rsid w:val="0090312B"/>
    <w:rsid w:val="0091736D"/>
    <w:rsid w:val="0093037A"/>
    <w:rsid w:val="0094154D"/>
    <w:rsid w:val="00950DA8"/>
    <w:rsid w:val="0095155F"/>
    <w:rsid w:val="00954429"/>
    <w:rsid w:val="00954C7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0001"/>
    <w:rsid w:val="009E227D"/>
    <w:rsid w:val="009E5019"/>
    <w:rsid w:val="00A04F1B"/>
    <w:rsid w:val="00A0501B"/>
    <w:rsid w:val="00A06C79"/>
    <w:rsid w:val="00A070D9"/>
    <w:rsid w:val="00A14760"/>
    <w:rsid w:val="00A14947"/>
    <w:rsid w:val="00A32A83"/>
    <w:rsid w:val="00A368DB"/>
    <w:rsid w:val="00A423AA"/>
    <w:rsid w:val="00A53EC6"/>
    <w:rsid w:val="00A55C0F"/>
    <w:rsid w:val="00A8713F"/>
    <w:rsid w:val="00A90BA1"/>
    <w:rsid w:val="00A97A9A"/>
    <w:rsid w:val="00AA0671"/>
    <w:rsid w:val="00AA2531"/>
    <w:rsid w:val="00AB1E09"/>
    <w:rsid w:val="00AB5330"/>
    <w:rsid w:val="00AB5714"/>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09F2"/>
    <w:rsid w:val="00B31ABF"/>
    <w:rsid w:val="00B33BE3"/>
    <w:rsid w:val="00B53B5D"/>
    <w:rsid w:val="00B6055E"/>
    <w:rsid w:val="00B6317D"/>
    <w:rsid w:val="00B64173"/>
    <w:rsid w:val="00B7723F"/>
    <w:rsid w:val="00B80534"/>
    <w:rsid w:val="00B8433C"/>
    <w:rsid w:val="00B85871"/>
    <w:rsid w:val="00B87491"/>
    <w:rsid w:val="00BA29E9"/>
    <w:rsid w:val="00BA7142"/>
    <w:rsid w:val="00BB237C"/>
    <w:rsid w:val="00BB41A3"/>
    <w:rsid w:val="00BB56CF"/>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040B"/>
    <w:rsid w:val="00D0364F"/>
    <w:rsid w:val="00D06834"/>
    <w:rsid w:val="00D23570"/>
    <w:rsid w:val="00D308ED"/>
    <w:rsid w:val="00D36D86"/>
    <w:rsid w:val="00D428AA"/>
    <w:rsid w:val="00D50A34"/>
    <w:rsid w:val="00D53EFA"/>
    <w:rsid w:val="00D554C5"/>
    <w:rsid w:val="00D600AC"/>
    <w:rsid w:val="00D94A7C"/>
    <w:rsid w:val="00D95896"/>
    <w:rsid w:val="00DA38A6"/>
    <w:rsid w:val="00DB2983"/>
    <w:rsid w:val="00DC0662"/>
    <w:rsid w:val="00DC1257"/>
    <w:rsid w:val="00DC3DC0"/>
    <w:rsid w:val="00DC5B2B"/>
    <w:rsid w:val="00DD318D"/>
    <w:rsid w:val="00DE6250"/>
    <w:rsid w:val="00DF2E12"/>
    <w:rsid w:val="00DF514A"/>
    <w:rsid w:val="00DF6690"/>
    <w:rsid w:val="00DF6804"/>
    <w:rsid w:val="00DF694A"/>
    <w:rsid w:val="00E0358D"/>
    <w:rsid w:val="00E04323"/>
    <w:rsid w:val="00E070A2"/>
    <w:rsid w:val="00E2656A"/>
    <w:rsid w:val="00E36D76"/>
    <w:rsid w:val="00E412D0"/>
    <w:rsid w:val="00E56322"/>
    <w:rsid w:val="00E60982"/>
    <w:rsid w:val="00E62C62"/>
    <w:rsid w:val="00E654C1"/>
    <w:rsid w:val="00E65D97"/>
    <w:rsid w:val="00E72A5A"/>
    <w:rsid w:val="00E73354"/>
    <w:rsid w:val="00E9242D"/>
    <w:rsid w:val="00EB5255"/>
    <w:rsid w:val="00EB5C47"/>
    <w:rsid w:val="00EC3167"/>
    <w:rsid w:val="00ED0639"/>
    <w:rsid w:val="00EF4755"/>
    <w:rsid w:val="00EF7135"/>
    <w:rsid w:val="00F02617"/>
    <w:rsid w:val="00F027DB"/>
    <w:rsid w:val="00F14A7A"/>
    <w:rsid w:val="00F1716F"/>
    <w:rsid w:val="00F22985"/>
    <w:rsid w:val="00F3383E"/>
    <w:rsid w:val="00F455F6"/>
    <w:rsid w:val="00F465A7"/>
    <w:rsid w:val="00F50B7C"/>
    <w:rsid w:val="00F550E6"/>
    <w:rsid w:val="00F74345"/>
    <w:rsid w:val="00F80A0A"/>
    <w:rsid w:val="00F82B19"/>
    <w:rsid w:val="00F9212D"/>
    <w:rsid w:val="00F94695"/>
    <w:rsid w:val="00F965DA"/>
    <w:rsid w:val="00FA406A"/>
    <w:rsid w:val="00FB503A"/>
    <w:rsid w:val="00FB516C"/>
    <w:rsid w:val="00FD0236"/>
    <w:rsid w:val="00FD18F4"/>
    <w:rsid w:val="00FD54DB"/>
    <w:rsid w:val="00FD619F"/>
    <w:rsid w:val="01290F7E"/>
    <w:rsid w:val="015D1E09"/>
    <w:rsid w:val="01E52542"/>
    <w:rsid w:val="02021D56"/>
    <w:rsid w:val="02697903"/>
    <w:rsid w:val="02BE290A"/>
    <w:rsid w:val="02F96569"/>
    <w:rsid w:val="03A8028B"/>
    <w:rsid w:val="03BC2959"/>
    <w:rsid w:val="03D251BA"/>
    <w:rsid w:val="03EA7B21"/>
    <w:rsid w:val="041378FD"/>
    <w:rsid w:val="04606F99"/>
    <w:rsid w:val="04BB8E1A"/>
    <w:rsid w:val="052E6BE8"/>
    <w:rsid w:val="05326701"/>
    <w:rsid w:val="05A21959"/>
    <w:rsid w:val="05E310FF"/>
    <w:rsid w:val="05F46139"/>
    <w:rsid w:val="05F83EAE"/>
    <w:rsid w:val="063E7D85"/>
    <w:rsid w:val="06A66D03"/>
    <w:rsid w:val="07293586"/>
    <w:rsid w:val="07295285"/>
    <w:rsid w:val="07636392"/>
    <w:rsid w:val="076E3F95"/>
    <w:rsid w:val="07770C56"/>
    <w:rsid w:val="07AA637F"/>
    <w:rsid w:val="085B345E"/>
    <w:rsid w:val="08C3786B"/>
    <w:rsid w:val="091A12E3"/>
    <w:rsid w:val="092217DD"/>
    <w:rsid w:val="093A7294"/>
    <w:rsid w:val="09414AC1"/>
    <w:rsid w:val="09A640D2"/>
    <w:rsid w:val="0A263993"/>
    <w:rsid w:val="0A2D3AC2"/>
    <w:rsid w:val="0A3C5E6F"/>
    <w:rsid w:val="0AA1492F"/>
    <w:rsid w:val="0AA755DF"/>
    <w:rsid w:val="0B120D44"/>
    <w:rsid w:val="0B4E5BBB"/>
    <w:rsid w:val="0B9113D5"/>
    <w:rsid w:val="0BD27BF6"/>
    <w:rsid w:val="0C3B3C7D"/>
    <w:rsid w:val="0C5A2708"/>
    <w:rsid w:val="0CAB2EAE"/>
    <w:rsid w:val="0D247A66"/>
    <w:rsid w:val="0D621C7D"/>
    <w:rsid w:val="0E73034D"/>
    <w:rsid w:val="0F13775A"/>
    <w:rsid w:val="0F5F45FE"/>
    <w:rsid w:val="0F9A112B"/>
    <w:rsid w:val="0FAB3042"/>
    <w:rsid w:val="106D2F64"/>
    <w:rsid w:val="10B63710"/>
    <w:rsid w:val="10F10820"/>
    <w:rsid w:val="1103488E"/>
    <w:rsid w:val="111C2F7A"/>
    <w:rsid w:val="113344BE"/>
    <w:rsid w:val="11665CA1"/>
    <w:rsid w:val="129465AA"/>
    <w:rsid w:val="12BF22C3"/>
    <w:rsid w:val="13951726"/>
    <w:rsid w:val="13AB3BAB"/>
    <w:rsid w:val="141C038E"/>
    <w:rsid w:val="14396509"/>
    <w:rsid w:val="14515383"/>
    <w:rsid w:val="14DD2C3C"/>
    <w:rsid w:val="16087E1D"/>
    <w:rsid w:val="17680BEA"/>
    <w:rsid w:val="17701D14"/>
    <w:rsid w:val="17735226"/>
    <w:rsid w:val="178C5D5F"/>
    <w:rsid w:val="17927949"/>
    <w:rsid w:val="17E843B4"/>
    <w:rsid w:val="17FE8A6B"/>
    <w:rsid w:val="189F624C"/>
    <w:rsid w:val="18E76429"/>
    <w:rsid w:val="18F6229D"/>
    <w:rsid w:val="19B14BB6"/>
    <w:rsid w:val="19BB5078"/>
    <w:rsid w:val="1A1C66C0"/>
    <w:rsid w:val="1A2413A3"/>
    <w:rsid w:val="1A42393B"/>
    <w:rsid w:val="1AAD45DE"/>
    <w:rsid w:val="1B046F80"/>
    <w:rsid w:val="1B3267B5"/>
    <w:rsid w:val="1B40161D"/>
    <w:rsid w:val="1B441859"/>
    <w:rsid w:val="1B58277C"/>
    <w:rsid w:val="1B6606B1"/>
    <w:rsid w:val="1B7C422F"/>
    <w:rsid w:val="1B9273FE"/>
    <w:rsid w:val="1BBC447B"/>
    <w:rsid w:val="1C5E7925"/>
    <w:rsid w:val="1CB412FD"/>
    <w:rsid w:val="1CFD070F"/>
    <w:rsid w:val="1D5202A2"/>
    <w:rsid w:val="1D5F6196"/>
    <w:rsid w:val="1D6132A5"/>
    <w:rsid w:val="1D8E56D5"/>
    <w:rsid w:val="1DF10D4B"/>
    <w:rsid w:val="1E7A43DA"/>
    <w:rsid w:val="1F093E7B"/>
    <w:rsid w:val="1FE02A59"/>
    <w:rsid w:val="1FE7539E"/>
    <w:rsid w:val="20140D2A"/>
    <w:rsid w:val="202445C8"/>
    <w:rsid w:val="20442811"/>
    <w:rsid w:val="204C2272"/>
    <w:rsid w:val="20671BE0"/>
    <w:rsid w:val="208E5483"/>
    <w:rsid w:val="20963CB8"/>
    <w:rsid w:val="20A81A1B"/>
    <w:rsid w:val="20B07FB6"/>
    <w:rsid w:val="20B646FB"/>
    <w:rsid w:val="213B74B1"/>
    <w:rsid w:val="215A2310"/>
    <w:rsid w:val="215F6713"/>
    <w:rsid w:val="21B028C2"/>
    <w:rsid w:val="21DE318A"/>
    <w:rsid w:val="21EF5B80"/>
    <w:rsid w:val="22576990"/>
    <w:rsid w:val="22F47480"/>
    <w:rsid w:val="237B137C"/>
    <w:rsid w:val="23C117DF"/>
    <w:rsid w:val="23DE1C48"/>
    <w:rsid w:val="240210CD"/>
    <w:rsid w:val="24BF09F7"/>
    <w:rsid w:val="252D53FE"/>
    <w:rsid w:val="253D5C33"/>
    <w:rsid w:val="25424BB5"/>
    <w:rsid w:val="25461985"/>
    <w:rsid w:val="25EC2D81"/>
    <w:rsid w:val="264B2FCC"/>
    <w:rsid w:val="277057A2"/>
    <w:rsid w:val="27A209C9"/>
    <w:rsid w:val="27E50E30"/>
    <w:rsid w:val="27FE0C3D"/>
    <w:rsid w:val="28083C24"/>
    <w:rsid w:val="28617591"/>
    <w:rsid w:val="28724840"/>
    <w:rsid w:val="28851F12"/>
    <w:rsid w:val="28B20CEA"/>
    <w:rsid w:val="28E026ED"/>
    <w:rsid w:val="28EE2036"/>
    <w:rsid w:val="28F5A3F7"/>
    <w:rsid w:val="291B4F94"/>
    <w:rsid w:val="29206EB8"/>
    <w:rsid w:val="29297346"/>
    <w:rsid w:val="29595666"/>
    <w:rsid w:val="29874881"/>
    <w:rsid w:val="29BC0226"/>
    <w:rsid w:val="29C92C9E"/>
    <w:rsid w:val="29E325E0"/>
    <w:rsid w:val="2A452503"/>
    <w:rsid w:val="2B091684"/>
    <w:rsid w:val="2B6A0784"/>
    <w:rsid w:val="2B940F71"/>
    <w:rsid w:val="2BA936A8"/>
    <w:rsid w:val="2BDFD048"/>
    <w:rsid w:val="2C315A5A"/>
    <w:rsid w:val="2C4B1C25"/>
    <w:rsid w:val="2C521FB0"/>
    <w:rsid w:val="2D9E56F5"/>
    <w:rsid w:val="2E667F96"/>
    <w:rsid w:val="2E683CA6"/>
    <w:rsid w:val="2E8226AB"/>
    <w:rsid w:val="2F5F698C"/>
    <w:rsid w:val="2FB2481A"/>
    <w:rsid w:val="2FD065E6"/>
    <w:rsid w:val="2FD43E18"/>
    <w:rsid w:val="2FD96870"/>
    <w:rsid w:val="2FE134FC"/>
    <w:rsid w:val="30580BC9"/>
    <w:rsid w:val="30AC0A32"/>
    <w:rsid w:val="311E2ED7"/>
    <w:rsid w:val="315619EE"/>
    <w:rsid w:val="315C449C"/>
    <w:rsid w:val="31B82709"/>
    <w:rsid w:val="31D05482"/>
    <w:rsid w:val="32400B34"/>
    <w:rsid w:val="329E6876"/>
    <w:rsid w:val="333015F2"/>
    <w:rsid w:val="334B6320"/>
    <w:rsid w:val="33D934D4"/>
    <w:rsid w:val="33FE2F6A"/>
    <w:rsid w:val="340E07E5"/>
    <w:rsid w:val="34235BF7"/>
    <w:rsid w:val="34546A3D"/>
    <w:rsid w:val="34565015"/>
    <w:rsid w:val="34615102"/>
    <w:rsid w:val="35411821"/>
    <w:rsid w:val="357065AB"/>
    <w:rsid w:val="358C5FA8"/>
    <w:rsid w:val="35935DF5"/>
    <w:rsid w:val="35982191"/>
    <w:rsid w:val="35A107EA"/>
    <w:rsid w:val="35B322C2"/>
    <w:rsid w:val="35B56A31"/>
    <w:rsid w:val="35B81E72"/>
    <w:rsid w:val="35C15DF1"/>
    <w:rsid w:val="36074A7F"/>
    <w:rsid w:val="36923549"/>
    <w:rsid w:val="36B75FBF"/>
    <w:rsid w:val="36BB5604"/>
    <w:rsid w:val="36BD0C45"/>
    <w:rsid w:val="36D947ED"/>
    <w:rsid w:val="37D01583"/>
    <w:rsid w:val="37E00298"/>
    <w:rsid w:val="38060B00"/>
    <w:rsid w:val="380933D3"/>
    <w:rsid w:val="38877E93"/>
    <w:rsid w:val="38B302F9"/>
    <w:rsid w:val="38F12CD3"/>
    <w:rsid w:val="38F94775"/>
    <w:rsid w:val="392971ED"/>
    <w:rsid w:val="39325651"/>
    <w:rsid w:val="395C00CD"/>
    <w:rsid w:val="39AC2B80"/>
    <w:rsid w:val="3A487FB1"/>
    <w:rsid w:val="3A872856"/>
    <w:rsid w:val="3ACB7D0F"/>
    <w:rsid w:val="3B3763D1"/>
    <w:rsid w:val="3C2F6E1E"/>
    <w:rsid w:val="3C4F64BA"/>
    <w:rsid w:val="3CDA245A"/>
    <w:rsid w:val="3D1E06B7"/>
    <w:rsid w:val="3E2A6486"/>
    <w:rsid w:val="3E9FEBAE"/>
    <w:rsid w:val="3EB519A5"/>
    <w:rsid w:val="3EC90D58"/>
    <w:rsid w:val="3EDA0523"/>
    <w:rsid w:val="3EEF6FAA"/>
    <w:rsid w:val="3F0833B0"/>
    <w:rsid w:val="3F6C7D17"/>
    <w:rsid w:val="3F7E9519"/>
    <w:rsid w:val="3FA682F5"/>
    <w:rsid w:val="3FF7B056"/>
    <w:rsid w:val="402B1BAF"/>
    <w:rsid w:val="407A6407"/>
    <w:rsid w:val="40B25CC9"/>
    <w:rsid w:val="4200449D"/>
    <w:rsid w:val="423A3BCC"/>
    <w:rsid w:val="424E57D2"/>
    <w:rsid w:val="427E3F1E"/>
    <w:rsid w:val="428B4BBB"/>
    <w:rsid w:val="42B26C49"/>
    <w:rsid w:val="42D12D91"/>
    <w:rsid w:val="433A6FE6"/>
    <w:rsid w:val="43480868"/>
    <w:rsid w:val="4350713C"/>
    <w:rsid w:val="436653E0"/>
    <w:rsid w:val="43C4431A"/>
    <w:rsid w:val="43F14D5A"/>
    <w:rsid w:val="4416656F"/>
    <w:rsid w:val="447B63D2"/>
    <w:rsid w:val="4482527B"/>
    <w:rsid w:val="44B951CC"/>
    <w:rsid w:val="44CD14E0"/>
    <w:rsid w:val="44F20B0B"/>
    <w:rsid w:val="452E5F4C"/>
    <w:rsid w:val="45612018"/>
    <w:rsid w:val="458946E9"/>
    <w:rsid w:val="4589726A"/>
    <w:rsid w:val="45A47C0E"/>
    <w:rsid w:val="45B65CCA"/>
    <w:rsid w:val="45DD47B0"/>
    <w:rsid w:val="46577FD6"/>
    <w:rsid w:val="46A57AF0"/>
    <w:rsid w:val="46D955A7"/>
    <w:rsid w:val="47133957"/>
    <w:rsid w:val="47A07E0C"/>
    <w:rsid w:val="4870272E"/>
    <w:rsid w:val="49610276"/>
    <w:rsid w:val="49676FF5"/>
    <w:rsid w:val="49DC7715"/>
    <w:rsid w:val="4A023139"/>
    <w:rsid w:val="4A225C6E"/>
    <w:rsid w:val="4A7B576F"/>
    <w:rsid w:val="4ABA5EA6"/>
    <w:rsid w:val="4AD10FF5"/>
    <w:rsid w:val="4AF561A9"/>
    <w:rsid w:val="4B4878EE"/>
    <w:rsid w:val="4B4B11F4"/>
    <w:rsid w:val="4B5E5226"/>
    <w:rsid w:val="4BAC1726"/>
    <w:rsid w:val="4C4A0649"/>
    <w:rsid w:val="4C7E5ECA"/>
    <w:rsid w:val="4C876AA5"/>
    <w:rsid w:val="4D0E00FB"/>
    <w:rsid w:val="4D176606"/>
    <w:rsid w:val="4D1C5590"/>
    <w:rsid w:val="4D4E28D6"/>
    <w:rsid w:val="4D9B3B01"/>
    <w:rsid w:val="4DEB5B98"/>
    <w:rsid w:val="4DEC4FB0"/>
    <w:rsid w:val="4E075D8A"/>
    <w:rsid w:val="4EC00FAD"/>
    <w:rsid w:val="4EF703D7"/>
    <w:rsid w:val="4F2741F0"/>
    <w:rsid w:val="4F9843DC"/>
    <w:rsid w:val="4FC62A8C"/>
    <w:rsid w:val="4FE20F0D"/>
    <w:rsid w:val="4FE51552"/>
    <w:rsid w:val="4FFE543F"/>
    <w:rsid w:val="50504C4B"/>
    <w:rsid w:val="509C6E7C"/>
    <w:rsid w:val="5162104E"/>
    <w:rsid w:val="51A509BA"/>
    <w:rsid w:val="53A039CC"/>
    <w:rsid w:val="53A1505A"/>
    <w:rsid w:val="53CF160B"/>
    <w:rsid w:val="54063E08"/>
    <w:rsid w:val="543437E8"/>
    <w:rsid w:val="54390279"/>
    <w:rsid w:val="54392B43"/>
    <w:rsid w:val="544B5F34"/>
    <w:rsid w:val="54EB4E91"/>
    <w:rsid w:val="54F73313"/>
    <w:rsid w:val="54F80955"/>
    <w:rsid w:val="555170A7"/>
    <w:rsid w:val="5587536D"/>
    <w:rsid w:val="559B174B"/>
    <w:rsid w:val="55CE0CF4"/>
    <w:rsid w:val="56B22A9C"/>
    <w:rsid w:val="56C10D0A"/>
    <w:rsid w:val="56C56C58"/>
    <w:rsid w:val="56D06A51"/>
    <w:rsid w:val="57B72A76"/>
    <w:rsid w:val="57C3426C"/>
    <w:rsid w:val="57CE1F93"/>
    <w:rsid w:val="587A428A"/>
    <w:rsid w:val="588743D1"/>
    <w:rsid w:val="5887701A"/>
    <w:rsid w:val="59820E85"/>
    <w:rsid w:val="59C0439F"/>
    <w:rsid w:val="5AB66D43"/>
    <w:rsid w:val="5ABA7D50"/>
    <w:rsid w:val="5ABE2233"/>
    <w:rsid w:val="5B160B7D"/>
    <w:rsid w:val="5BDF5D95"/>
    <w:rsid w:val="5BF7AE47"/>
    <w:rsid w:val="5BFE7528"/>
    <w:rsid w:val="5C297E14"/>
    <w:rsid w:val="5C79C599"/>
    <w:rsid w:val="5CFA61C4"/>
    <w:rsid w:val="5D3A69DC"/>
    <w:rsid w:val="5DB2790C"/>
    <w:rsid w:val="5DC14866"/>
    <w:rsid w:val="5DDCB245"/>
    <w:rsid w:val="5E225E5E"/>
    <w:rsid w:val="5E2467F1"/>
    <w:rsid w:val="5E84040C"/>
    <w:rsid w:val="5ECA59EF"/>
    <w:rsid w:val="5EDE2FC4"/>
    <w:rsid w:val="5EF7F25E"/>
    <w:rsid w:val="5F1A2B43"/>
    <w:rsid w:val="5F4F4E6E"/>
    <w:rsid w:val="5F5C5FB8"/>
    <w:rsid w:val="5FB837BB"/>
    <w:rsid w:val="5FF716F9"/>
    <w:rsid w:val="5FF9037E"/>
    <w:rsid w:val="5FFB5131"/>
    <w:rsid w:val="5FFB53B7"/>
    <w:rsid w:val="60CC405A"/>
    <w:rsid w:val="61705355"/>
    <w:rsid w:val="61D2367E"/>
    <w:rsid w:val="61E215D8"/>
    <w:rsid w:val="61F52DF4"/>
    <w:rsid w:val="621B3775"/>
    <w:rsid w:val="622E530B"/>
    <w:rsid w:val="62364782"/>
    <w:rsid w:val="62996751"/>
    <w:rsid w:val="6394356A"/>
    <w:rsid w:val="63C61B2C"/>
    <w:rsid w:val="63D40BE9"/>
    <w:rsid w:val="63D57455"/>
    <w:rsid w:val="64102431"/>
    <w:rsid w:val="64A5243A"/>
    <w:rsid w:val="64F531DE"/>
    <w:rsid w:val="65373578"/>
    <w:rsid w:val="65A735F9"/>
    <w:rsid w:val="65F364D3"/>
    <w:rsid w:val="666E335D"/>
    <w:rsid w:val="66836460"/>
    <w:rsid w:val="670C5884"/>
    <w:rsid w:val="671F124A"/>
    <w:rsid w:val="677A33C6"/>
    <w:rsid w:val="681F6961"/>
    <w:rsid w:val="68610A2F"/>
    <w:rsid w:val="68805514"/>
    <w:rsid w:val="69197DE4"/>
    <w:rsid w:val="69256789"/>
    <w:rsid w:val="692F6866"/>
    <w:rsid w:val="69316E2F"/>
    <w:rsid w:val="694E2071"/>
    <w:rsid w:val="69766163"/>
    <w:rsid w:val="697A3B33"/>
    <w:rsid w:val="69BF45BF"/>
    <w:rsid w:val="69D44760"/>
    <w:rsid w:val="6A484E25"/>
    <w:rsid w:val="6A520EC7"/>
    <w:rsid w:val="6AA809FD"/>
    <w:rsid w:val="6AF87E20"/>
    <w:rsid w:val="6B322639"/>
    <w:rsid w:val="6BFF85DB"/>
    <w:rsid w:val="6C133210"/>
    <w:rsid w:val="6C636C38"/>
    <w:rsid w:val="6CD059CA"/>
    <w:rsid w:val="6D090660"/>
    <w:rsid w:val="6D5D3EE8"/>
    <w:rsid w:val="6DB34098"/>
    <w:rsid w:val="6DB52990"/>
    <w:rsid w:val="6DB545B6"/>
    <w:rsid w:val="6DE02FB4"/>
    <w:rsid w:val="6DF901E4"/>
    <w:rsid w:val="6E4E0530"/>
    <w:rsid w:val="6E514CED"/>
    <w:rsid w:val="6EB563D5"/>
    <w:rsid w:val="6ED8012F"/>
    <w:rsid w:val="6ED92677"/>
    <w:rsid w:val="6EE30039"/>
    <w:rsid w:val="6F225983"/>
    <w:rsid w:val="6FFC5590"/>
    <w:rsid w:val="7006162B"/>
    <w:rsid w:val="704C02A7"/>
    <w:rsid w:val="706D1DD0"/>
    <w:rsid w:val="70856B87"/>
    <w:rsid w:val="70D527EE"/>
    <w:rsid w:val="715B2E69"/>
    <w:rsid w:val="715B5300"/>
    <w:rsid w:val="71B236BB"/>
    <w:rsid w:val="71CC00E9"/>
    <w:rsid w:val="71D27F8A"/>
    <w:rsid w:val="722642E6"/>
    <w:rsid w:val="72553024"/>
    <w:rsid w:val="72842DD5"/>
    <w:rsid w:val="72F65D2C"/>
    <w:rsid w:val="72FE7761"/>
    <w:rsid w:val="73122968"/>
    <w:rsid w:val="73137F9A"/>
    <w:rsid w:val="731F5D5E"/>
    <w:rsid w:val="73C51AD5"/>
    <w:rsid w:val="73C61706"/>
    <w:rsid w:val="741E793C"/>
    <w:rsid w:val="745E0DD7"/>
    <w:rsid w:val="745E3944"/>
    <w:rsid w:val="74CE7B18"/>
    <w:rsid w:val="74F8786E"/>
    <w:rsid w:val="756E091A"/>
    <w:rsid w:val="757FF455"/>
    <w:rsid w:val="7635099D"/>
    <w:rsid w:val="76AA8CC8"/>
    <w:rsid w:val="76FE8084"/>
    <w:rsid w:val="77762421"/>
    <w:rsid w:val="77AF6DF1"/>
    <w:rsid w:val="77B56B1F"/>
    <w:rsid w:val="77BFF0A9"/>
    <w:rsid w:val="77FAEC86"/>
    <w:rsid w:val="780F09F4"/>
    <w:rsid w:val="78A90480"/>
    <w:rsid w:val="799E1E4F"/>
    <w:rsid w:val="7A364017"/>
    <w:rsid w:val="7A4E3666"/>
    <w:rsid w:val="7A6C3926"/>
    <w:rsid w:val="7A8265E1"/>
    <w:rsid w:val="7AFFA737"/>
    <w:rsid w:val="7B3874AA"/>
    <w:rsid w:val="7B574788"/>
    <w:rsid w:val="7B686D42"/>
    <w:rsid w:val="7B7A04FC"/>
    <w:rsid w:val="7B841746"/>
    <w:rsid w:val="7BD6FCFC"/>
    <w:rsid w:val="7BE0058C"/>
    <w:rsid w:val="7BF95E22"/>
    <w:rsid w:val="7C54472D"/>
    <w:rsid w:val="7C6C5AC7"/>
    <w:rsid w:val="7CC6544B"/>
    <w:rsid w:val="7CDF8E13"/>
    <w:rsid w:val="7CF921DC"/>
    <w:rsid w:val="7D0239FF"/>
    <w:rsid w:val="7D0F1249"/>
    <w:rsid w:val="7D5D5FBC"/>
    <w:rsid w:val="7D5E40CD"/>
    <w:rsid w:val="7D65005C"/>
    <w:rsid w:val="7DCD56F2"/>
    <w:rsid w:val="7DFDE82C"/>
    <w:rsid w:val="7E3F463D"/>
    <w:rsid w:val="7E9F0934"/>
    <w:rsid w:val="7EDB0141"/>
    <w:rsid w:val="7EFCD5B4"/>
    <w:rsid w:val="7EFF03BA"/>
    <w:rsid w:val="7F001CE7"/>
    <w:rsid w:val="7F1B445E"/>
    <w:rsid w:val="7F9F0A6F"/>
    <w:rsid w:val="7FAD079D"/>
    <w:rsid w:val="7FB3362D"/>
    <w:rsid w:val="7FD753B6"/>
    <w:rsid w:val="7FE47E50"/>
    <w:rsid w:val="7FED7B45"/>
    <w:rsid w:val="7FF97716"/>
    <w:rsid w:val="7FFA22C6"/>
    <w:rsid w:val="928FF234"/>
    <w:rsid w:val="A6FFC770"/>
    <w:rsid w:val="AD58499E"/>
    <w:rsid w:val="AEE321C3"/>
    <w:rsid w:val="BC1F8AD4"/>
    <w:rsid w:val="BE7E6F31"/>
    <w:rsid w:val="BEFFBCB1"/>
    <w:rsid w:val="BFBDF4D9"/>
    <w:rsid w:val="C7592551"/>
    <w:rsid w:val="CB7FC8D1"/>
    <w:rsid w:val="D7F20A68"/>
    <w:rsid w:val="DD7F0F65"/>
    <w:rsid w:val="DDDB6508"/>
    <w:rsid w:val="DE59433D"/>
    <w:rsid w:val="DF7A6483"/>
    <w:rsid w:val="DF9A2549"/>
    <w:rsid w:val="DFBADBF8"/>
    <w:rsid w:val="DFF7ACAD"/>
    <w:rsid w:val="E786A6D0"/>
    <w:rsid w:val="E7B95555"/>
    <w:rsid w:val="E7EFD4EF"/>
    <w:rsid w:val="E8FDD729"/>
    <w:rsid w:val="EB8F3531"/>
    <w:rsid w:val="EBF39EBF"/>
    <w:rsid w:val="EDFB97D1"/>
    <w:rsid w:val="EDFFEE5B"/>
    <w:rsid w:val="EFFF695B"/>
    <w:rsid w:val="F3E78F26"/>
    <w:rsid w:val="F6FF1F1A"/>
    <w:rsid w:val="F71D7E48"/>
    <w:rsid w:val="F7BF3FE2"/>
    <w:rsid w:val="F87F82D6"/>
    <w:rsid w:val="F8DBE387"/>
    <w:rsid w:val="FAED3D1E"/>
    <w:rsid w:val="FCFEB87E"/>
    <w:rsid w:val="FDB89D8A"/>
    <w:rsid w:val="FDFD8E78"/>
    <w:rsid w:val="FDFF27F6"/>
    <w:rsid w:val="FECCDA00"/>
    <w:rsid w:val="FEDE2F25"/>
    <w:rsid w:val="FF3D04F1"/>
    <w:rsid w:val="FF77273A"/>
    <w:rsid w:val="FFD79397"/>
    <w:rsid w:val="FFEF709C"/>
    <w:rsid w:val="FFF6FC4D"/>
    <w:rsid w:val="FFFEE841"/>
    <w:rsid w:val="FFFF726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line="360" w:lineRule="auto"/>
      <w:ind w:left="431" w:hanging="431"/>
      <w:outlineLvl w:val="0"/>
    </w:pPr>
    <w:rPr>
      <w:rFonts w:eastAsia="黑体"/>
      <w:b/>
      <w:bCs/>
      <w:color w:val="000000"/>
      <w:kern w:val="44"/>
      <w:sz w:val="24"/>
      <w:szCs w:val="30"/>
    </w:rPr>
  </w:style>
  <w:style w:type="paragraph" w:styleId="3">
    <w:name w:val="heading 2"/>
    <w:basedOn w:val="1"/>
    <w:next w:val="1"/>
    <w:link w:val="55"/>
    <w:qFormat/>
    <w:locked/>
    <w:uiPriority w:val="9"/>
    <w:pPr>
      <w:keepNext/>
      <w:keepLines/>
      <w:spacing w:line="360" w:lineRule="auto"/>
      <w:jc w:val="left"/>
      <w:outlineLvl w:val="1"/>
    </w:pPr>
    <w:rPr>
      <w:rFonts w:eastAsia="黑体"/>
      <w:b/>
      <w:bCs/>
      <w:sz w:val="24"/>
      <w:szCs w:val="32"/>
    </w:rPr>
  </w:style>
  <w:style w:type="paragraph" w:styleId="4">
    <w:name w:val="heading 3"/>
    <w:basedOn w:val="1"/>
    <w:next w:val="1"/>
    <w:link w:val="56"/>
    <w:qFormat/>
    <w:locked/>
    <w:uiPriority w:val="0"/>
    <w:pPr>
      <w:keepNext/>
      <w:keepLines/>
      <w:spacing w:line="360" w:lineRule="auto"/>
      <w:outlineLvl w:val="2"/>
    </w:pPr>
    <w:rPr>
      <w:b/>
      <w:bCs/>
      <w:kern w:val="0"/>
      <w:sz w:val="24"/>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6"/>
    <w:next w:val="1"/>
    <w:qFormat/>
    <w:locked/>
    <w:uiPriority w:val="0"/>
    <w:pPr>
      <w:jc w:val="center"/>
    </w:pPr>
    <w:rPr>
      <w:rFonts w:eastAsia="黑体" w:cs="Arial"/>
      <w:caps w:val="0"/>
    </w:rPr>
  </w:style>
  <w:style w:type="paragraph" w:styleId="6">
    <w:name w:val="toc 1"/>
    <w:basedOn w:val="1"/>
    <w:next w:val="1"/>
    <w:qFormat/>
    <w:locked/>
    <w:uiPriority w:val="39"/>
    <w:pPr>
      <w:spacing w:before="120" w:after="120"/>
    </w:pPr>
    <w:rPr>
      <w:b/>
      <w:bCs/>
      <w:caps/>
      <w:sz w:val="20"/>
      <w:szCs w:val="20"/>
    </w:rPr>
  </w:style>
  <w:style w:type="paragraph" w:styleId="7">
    <w:name w:val="annotation text"/>
    <w:basedOn w:val="1"/>
    <w:link w:val="24"/>
    <w:semiHidden/>
    <w:qFormat/>
    <w:uiPriority w:val="0"/>
    <w:pPr>
      <w:jc w:val="left"/>
    </w:pPr>
    <w:rPr>
      <w:kern w:val="0"/>
      <w:sz w:val="24"/>
      <w:szCs w:val="20"/>
    </w:rPr>
  </w:style>
  <w:style w:type="paragraph" w:styleId="8">
    <w:name w:val="Body Text"/>
    <w:basedOn w:val="1"/>
    <w:link w:val="25"/>
    <w:qFormat/>
    <w:uiPriority w:val="0"/>
    <w:pPr>
      <w:widowControl/>
      <w:snapToGrid w:val="0"/>
      <w:spacing w:line="360" w:lineRule="auto"/>
      <w:ind w:firstLine="480" w:firstLineChars="200"/>
    </w:pPr>
    <w:rPr>
      <w:kern w:val="0"/>
      <w:sz w:val="24"/>
    </w:rPr>
  </w:style>
  <w:style w:type="paragraph" w:styleId="9">
    <w:name w:val="Date"/>
    <w:basedOn w:val="1"/>
    <w:next w:val="1"/>
    <w:link w:val="26"/>
    <w:qFormat/>
    <w:uiPriority w:val="0"/>
    <w:pPr>
      <w:ind w:left="100" w:leftChars="2500"/>
    </w:pPr>
    <w:rPr>
      <w:kern w:val="0"/>
      <w:sz w:val="24"/>
      <w:szCs w:val="20"/>
    </w:rPr>
  </w:style>
  <w:style w:type="paragraph" w:styleId="10">
    <w:name w:val="Balloon Text"/>
    <w:basedOn w:val="1"/>
    <w:link w:val="27"/>
    <w:semiHidden/>
    <w:qFormat/>
    <w:uiPriority w:val="0"/>
    <w:rPr>
      <w:kern w:val="0"/>
      <w:sz w:val="18"/>
      <w:szCs w:val="20"/>
    </w:rPr>
  </w:style>
  <w:style w:type="paragraph" w:styleId="11">
    <w:name w:val="footer"/>
    <w:basedOn w:val="1"/>
    <w:link w:val="28"/>
    <w:qFormat/>
    <w:uiPriority w:val="99"/>
    <w:pPr>
      <w:tabs>
        <w:tab w:val="center" w:pos="4153"/>
        <w:tab w:val="right" w:pos="8306"/>
      </w:tabs>
      <w:snapToGrid w:val="0"/>
      <w:jc w:val="left"/>
    </w:pPr>
    <w:rPr>
      <w:kern w:val="0"/>
      <w:sz w:val="18"/>
      <w:szCs w:val="20"/>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toc 2"/>
    <w:basedOn w:val="1"/>
    <w:next w:val="1"/>
    <w:qFormat/>
    <w:locked/>
    <w:uiPriority w:val="0"/>
    <w:pPr>
      <w:ind w:left="420" w:leftChars="200"/>
    </w:pPr>
  </w:style>
  <w:style w:type="paragraph" w:styleId="14">
    <w:name w:val="Normal (Web)"/>
    <w:basedOn w:val="1"/>
    <w:link w:val="30"/>
    <w:qFormat/>
    <w:uiPriority w:val="0"/>
    <w:pPr>
      <w:widowControl/>
      <w:spacing w:before="100" w:beforeAutospacing="1" w:after="100" w:afterAutospacing="1"/>
      <w:jc w:val="left"/>
    </w:pPr>
    <w:rPr>
      <w:rFonts w:ascii="宋体" w:hAnsi="宋体"/>
      <w:kern w:val="0"/>
      <w:sz w:val="24"/>
      <w:szCs w:val="20"/>
    </w:rPr>
  </w:style>
  <w:style w:type="paragraph" w:styleId="15">
    <w:name w:val="annotation subject"/>
    <w:basedOn w:val="7"/>
    <w:next w:val="7"/>
    <w:link w:val="31"/>
    <w:semiHidden/>
    <w:qFormat/>
    <w:uiPriority w:val="0"/>
    <w:rPr>
      <w:b/>
    </w:rPr>
  </w:style>
  <w:style w:type="paragraph" w:styleId="16">
    <w:name w:val="Body Text First Indent"/>
    <w:basedOn w:val="8"/>
    <w:next w:val="1"/>
    <w:unhideWhenUsed/>
    <w:qFormat/>
    <w:uiPriority w:val="0"/>
    <w:pPr>
      <w:ind w:firstLine="420" w:firstLineChars="1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locked/>
    <w:uiPriority w:val="0"/>
    <w:rPr>
      <w:b/>
    </w:rPr>
  </w:style>
  <w:style w:type="character" w:styleId="21">
    <w:name w:val="page number"/>
    <w:qFormat/>
    <w:locked/>
    <w:uiPriority w:val="0"/>
  </w:style>
  <w:style w:type="character" w:styleId="22">
    <w:name w:val="annotation reference"/>
    <w:semiHidden/>
    <w:qFormat/>
    <w:uiPriority w:val="0"/>
    <w:rPr>
      <w:sz w:val="21"/>
    </w:rPr>
  </w:style>
  <w:style w:type="character" w:customStyle="1" w:styleId="23">
    <w:name w:val="标题 3 Char"/>
    <w:qFormat/>
    <w:uiPriority w:val="0"/>
    <w:rPr>
      <w:rFonts w:ascii="Times New Roman" w:hAnsi="Times New Roman" w:eastAsia="宋体" w:cs="Times New Roman"/>
      <w:b/>
      <w:bCs/>
      <w:kern w:val="0"/>
      <w:sz w:val="24"/>
      <w:szCs w:val="28"/>
      <w:lang w:val="en-US" w:eastAsia="zh-CN" w:bidi="ar-SA"/>
    </w:rPr>
  </w:style>
  <w:style w:type="character" w:customStyle="1" w:styleId="24">
    <w:name w:val="批注文字 字符"/>
    <w:link w:val="7"/>
    <w:qFormat/>
    <w:locked/>
    <w:uiPriority w:val="0"/>
    <w:rPr>
      <w:rFonts w:ascii="Times New Roman" w:hAnsi="Times New Roman" w:eastAsia="宋体"/>
      <w:sz w:val="24"/>
    </w:rPr>
  </w:style>
  <w:style w:type="character" w:customStyle="1" w:styleId="25">
    <w:name w:val="正文文本 字符"/>
    <w:basedOn w:val="19"/>
    <w:link w:val="8"/>
    <w:qFormat/>
    <w:locked/>
    <w:uiPriority w:val="0"/>
    <w:rPr>
      <w:rFonts w:ascii="Times New Roman" w:hAnsi="Times New Roman" w:eastAsia="宋体"/>
      <w:kern w:val="0"/>
      <w:sz w:val="24"/>
      <w:szCs w:val="24"/>
      <w:lang w:val="en-US" w:eastAsia="zh-CN" w:bidi="ar-SA"/>
    </w:rPr>
  </w:style>
  <w:style w:type="character" w:customStyle="1" w:styleId="26">
    <w:name w:val="日期 字符"/>
    <w:link w:val="9"/>
    <w:qFormat/>
    <w:locked/>
    <w:uiPriority w:val="0"/>
    <w:rPr>
      <w:rFonts w:ascii="Times New Roman" w:hAnsi="Times New Roman" w:eastAsia="宋体"/>
      <w:sz w:val="24"/>
    </w:rPr>
  </w:style>
  <w:style w:type="character" w:customStyle="1" w:styleId="27">
    <w:name w:val="批注框文本 字符"/>
    <w:link w:val="10"/>
    <w:semiHidden/>
    <w:qFormat/>
    <w:locked/>
    <w:uiPriority w:val="0"/>
    <w:rPr>
      <w:rFonts w:ascii="Times New Roman" w:hAnsi="Times New Roman" w:eastAsia="宋体"/>
      <w:sz w:val="18"/>
    </w:rPr>
  </w:style>
  <w:style w:type="character" w:customStyle="1" w:styleId="28">
    <w:name w:val="页脚 字符1"/>
    <w:link w:val="11"/>
    <w:qFormat/>
    <w:locked/>
    <w:uiPriority w:val="99"/>
    <w:rPr>
      <w:sz w:val="18"/>
    </w:rPr>
  </w:style>
  <w:style w:type="character" w:customStyle="1" w:styleId="29">
    <w:name w:val="页眉 字符"/>
    <w:link w:val="12"/>
    <w:qFormat/>
    <w:locked/>
    <w:uiPriority w:val="0"/>
    <w:rPr>
      <w:sz w:val="18"/>
    </w:rPr>
  </w:style>
  <w:style w:type="character" w:customStyle="1" w:styleId="30">
    <w:name w:val="普通(网站) 字符"/>
    <w:link w:val="14"/>
    <w:qFormat/>
    <w:locked/>
    <w:uiPriority w:val="0"/>
    <w:rPr>
      <w:rFonts w:ascii="宋体" w:hAnsi="宋体" w:eastAsia="宋体"/>
      <w:sz w:val="24"/>
    </w:rPr>
  </w:style>
  <w:style w:type="character" w:customStyle="1" w:styleId="31">
    <w:name w:val="批注主题 字符"/>
    <w:link w:val="15"/>
    <w:semiHidden/>
    <w:qFormat/>
    <w:locked/>
    <w:uiPriority w:val="0"/>
    <w:rPr>
      <w:rFonts w:ascii="Times New Roman" w:hAnsi="Times New Roman" w:eastAsia="宋体"/>
      <w:b/>
      <w:kern w:val="2"/>
      <w:sz w:val="24"/>
    </w:rPr>
  </w:style>
  <w:style w:type="character" w:customStyle="1" w:styleId="32">
    <w:name w:val="页脚 字符"/>
    <w:qFormat/>
    <w:uiPriority w:val="99"/>
  </w:style>
  <w:style w:type="character" w:customStyle="1" w:styleId="33">
    <w:name w:val="表格 Char"/>
    <w:link w:val="34"/>
    <w:qFormat/>
    <w:locked/>
    <w:uiPriority w:val="0"/>
    <w:rPr>
      <w:rFonts w:ascii="宋体" w:hAnsi="宋体" w:eastAsia="宋体"/>
      <w:sz w:val="21"/>
    </w:rPr>
  </w:style>
  <w:style w:type="paragraph" w:customStyle="1" w:styleId="34">
    <w:name w:val="表格"/>
    <w:basedOn w:val="1"/>
    <w:next w:val="1"/>
    <w:link w:val="33"/>
    <w:qFormat/>
    <w:uiPriority w:val="0"/>
    <w:pPr>
      <w:adjustRightInd w:val="0"/>
      <w:snapToGrid w:val="0"/>
      <w:jc w:val="center"/>
    </w:pPr>
    <w:rPr>
      <w:rFonts w:ascii="宋体" w:hAnsi="宋体"/>
      <w:kern w:val="0"/>
      <w:szCs w:val="20"/>
    </w:rPr>
  </w:style>
  <w:style w:type="paragraph" w:customStyle="1" w:styleId="3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6">
    <w:name w:val="表格的字"/>
    <w:basedOn w:val="1"/>
    <w:qFormat/>
    <w:uiPriority w:val="0"/>
    <w:pPr>
      <w:jc w:val="center"/>
    </w:pPr>
    <w:rPr>
      <w:rFonts w:cs="Calibri"/>
      <w:szCs w:val="21"/>
    </w:rPr>
  </w:style>
  <w:style w:type="paragraph" w:customStyle="1" w:styleId="37">
    <w:name w:val="表标题"/>
    <w:qFormat/>
    <w:uiPriority w:val="0"/>
    <w:pPr>
      <w:widowControl w:val="0"/>
      <w:jc w:val="center"/>
    </w:pPr>
    <w:rPr>
      <w:rFonts w:ascii="Times New Roman" w:hAnsi="Times New Roman" w:eastAsia="宋体" w:cs="Times New Roman"/>
      <w:b/>
      <w:szCs w:val="24"/>
      <w:lang w:val="en-US" w:eastAsia="zh-CN" w:bidi="ar-SA"/>
    </w:rPr>
  </w:style>
  <w:style w:type="paragraph" w:customStyle="1" w:styleId="38">
    <w:name w:val="表格文字（居中）"/>
    <w:qFormat/>
    <w:uiPriority w:val="0"/>
    <w:pPr>
      <w:widowControl w:val="0"/>
      <w:jc w:val="center"/>
    </w:pPr>
    <w:rPr>
      <w:rFonts w:ascii="Times New Roman" w:hAnsi="Times New Roman" w:eastAsia="宋体" w:cs="Times New Roman"/>
      <w:kern w:val="2"/>
      <w:sz w:val="21"/>
      <w:szCs w:val="24"/>
      <w:lang w:val="en-US" w:eastAsia="zh-CN" w:bidi="ar-SA"/>
    </w:rPr>
  </w:style>
  <w:style w:type="table" w:customStyle="1" w:styleId="39">
    <w:name w:val="Table Normal"/>
    <w:unhideWhenUsed/>
    <w:qFormat/>
    <w:uiPriority w:val="0"/>
    <w:tblPr>
      <w:tblCellMar>
        <w:top w:w="0" w:type="dxa"/>
        <w:left w:w="0" w:type="dxa"/>
        <w:bottom w:w="0" w:type="dxa"/>
        <w:right w:w="0" w:type="dxa"/>
      </w:tblCellMar>
    </w:tblPr>
  </w:style>
  <w:style w:type="paragraph" w:styleId="40">
    <w:name w:val="List Paragraph"/>
    <w:basedOn w:val="1"/>
    <w:link w:val="41"/>
    <w:qFormat/>
    <w:uiPriority w:val="34"/>
    <w:pPr>
      <w:ind w:left="720"/>
      <w:contextualSpacing/>
    </w:pPr>
  </w:style>
  <w:style w:type="character" w:customStyle="1" w:styleId="41">
    <w:name w:val="列表段落 字符"/>
    <w:basedOn w:val="19"/>
    <w:link w:val="40"/>
    <w:qFormat/>
    <w:uiPriority w:val="34"/>
  </w:style>
  <w:style w:type="paragraph" w:customStyle="1" w:styleId="42">
    <w:name w:val="_Style 40"/>
    <w:unhideWhenUsed/>
    <w:qFormat/>
    <w:uiPriority w:val="99"/>
    <w:rPr>
      <w:rFonts w:ascii="Times New Roman" w:hAnsi="Times New Roman" w:eastAsia="宋体" w:cs="Times New Roman"/>
      <w:kern w:val="2"/>
      <w:sz w:val="21"/>
      <w:szCs w:val="24"/>
      <w:lang w:val="en-US" w:eastAsia="zh-CN" w:bidi="ar-SA"/>
    </w:rPr>
  </w:style>
  <w:style w:type="paragraph" w:customStyle="1" w:styleId="43">
    <w:name w:val="表格正文"/>
    <w:basedOn w:val="1"/>
    <w:qFormat/>
    <w:uiPriority w:val="0"/>
    <w:pPr>
      <w:ind w:firstLine="420"/>
    </w:pPr>
  </w:style>
  <w:style w:type="paragraph" w:customStyle="1" w:styleId="44">
    <w:name w:val="Table Text"/>
    <w:basedOn w:val="1"/>
    <w:semiHidden/>
    <w:qFormat/>
    <w:uiPriority w:val="0"/>
    <w:rPr>
      <w:rFonts w:eastAsia="Times New Roman"/>
      <w:sz w:val="24"/>
      <w:lang w:eastAsia="en-US"/>
    </w:rPr>
  </w:style>
  <w:style w:type="paragraph" w:customStyle="1" w:styleId="45">
    <w:name w:val="Table Paragraph"/>
    <w:basedOn w:val="1"/>
    <w:qFormat/>
    <w:uiPriority w:val="1"/>
    <w:pPr>
      <w:spacing w:line="360" w:lineRule="auto"/>
      <w:ind w:firstLine="420" w:firstLineChars="200"/>
    </w:pPr>
    <w:rPr>
      <w:rFonts w:ascii="Calibri" w:hAnsi="Calibri"/>
      <w:sz w:val="22"/>
      <w:szCs w:val="22"/>
      <w:lang w:eastAsia="en-US"/>
    </w:rPr>
  </w:style>
  <w:style w:type="character" w:customStyle="1" w:styleId="46">
    <w:name w:val="font41"/>
    <w:basedOn w:val="19"/>
    <w:qFormat/>
    <w:uiPriority w:val="0"/>
    <w:rPr>
      <w:rFonts w:hint="eastAsia" w:ascii="宋体" w:hAnsi="宋体" w:eastAsia="宋体" w:cs="宋体"/>
      <w:color w:val="000000"/>
      <w:sz w:val="21"/>
      <w:szCs w:val="21"/>
      <w:u w:val="none"/>
    </w:rPr>
  </w:style>
  <w:style w:type="character" w:customStyle="1" w:styleId="47">
    <w:name w:val="font31"/>
    <w:basedOn w:val="19"/>
    <w:qFormat/>
    <w:uiPriority w:val="0"/>
    <w:rPr>
      <w:rFonts w:hint="default" w:ascii="Times New Roman" w:hAnsi="Times New Roman" w:cs="Times New Roman"/>
      <w:color w:val="000000"/>
      <w:sz w:val="21"/>
      <w:szCs w:val="21"/>
      <w:u w:val="none"/>
    </w:rPr>
  </w:style>
  <w:style w:type="character" w:customStyle="1" w:styleId="48">
    <w:name w:val="font61"/>
    <w:basedOn w:val="19"/>
    <w:qFormat/>
    <w:uiPriority w:val="0"/>
    <w:rPr>
      <w:rFonts w:hint="default" w:ascii="Times New Roman" w:hAnsi="Times New Roman" w:cs="Times New Roman"/>
      <w:color w:val="000000"/>
      <w:sz w:val="14"/>
      <w:szCs w:val="14"/>
      <w:u w:val="none"/>
    </w:rPr>
  </w:style>
  <w:style w:type="character" w:customStyle="1" w:styleId="49">
    <w:name w:val="font21"/>
    <w:basedOn w:val="19"/>
    <w:qFormat/>
    <w:uiPriority w:val="0"/>
    <w:rPr>
      <w:rFonts w:hint="eastAsia" w:ascii="宋体" w:hAnsi="宋体" w:eastAsia="宋体" w:cs="宋体"/>
      <w:color w:val="000000"/>
      <w:sz w:val="20"/>
      <w:szCs w:val="20"/>
      <w:u w:val="none"/>
    </w:rPr>
  </w:style>
  <w:style w:type="paragraph" w:customStyle="1" w:styleId="50">
    <w:name w:val="@表格"/>
    <w:basedOn w:val="1"/>
    <w:qFormat/>
    <w:uiPriority w:val="0"/>
    <w:pPr>
      <w:adjustRightInd w:val="0"/>
      <w:spacing w:line="276" w:lineRule="auto"/>
      <w:jc w:val="center"/>
      <w:textAlignment w:val="baseline"/>
    </w:pPr>
  </w:style>
  <w:style w:type="character" w:customStyle="1" w:styleId="51">
    <w:name w:val="font11"/>
    <w:basedOn w:val="19"/>
    <w:qFormat/>
    <w:uiPriority w:val="0"/>
    <w:rPr>
      <w:rFonts w:hint="eastAsia" w:ascii="宋体" w:hAnsi="宋体" w:eastAsia="宋体" w:cs="宋体"/>
      <w:color w:val="000000"/>
      <w:sz w:val="21"/>
      <w:szCs w:val="21"/>
      <w:u w:val="none"/>
    </w:rPr>
  </w:style>
  <w:style w:type="paragraph" w:customStyle="1" w:styleId="52">
    <w:name w:val="@正文"/>
    <w:basedOn w:val="40"/>
    <w:link w:val="53"/>
    <w:qFormat/>
    <w:uiPriority w:val="0"/>
    <w:pPr>
      <w:adjustRightInd w:val="0"/>
      <w:spacing w:line="360" w:lineRule="auto"/>
      <w:ind w:firstLine="200"/>
      <w:textAlignment w:val="baseline"/>
    </w:pPr>
  </w:style>
  <w:style w:type="character" w:customStyle="1" w:styleId="53">
    <w:name w:val="@正文 字符"/>
    <w:basedOn w:val="41"/>
    <w:link w:val="52"/>
    <w:qFormat/>
    <w:uiPriority w:val="0"/>
    <w:rPr>
      <w:rFonts w:cs="Times New Roman"/>
      <w:szCs w:val="24"/>
    </w:rPr>
  </w:style>
  <w:style w:type="table" w:customStyle="1" w:styleId="54">
    <w:name w:val="jx-bg"/>
    <w:basedOn w:val="17"/>
    <w:qFormat/>
    <w:uiPriority w:val="99"/>
    <w:pPr>
      <w:jc w:val="center"/>
    </w:pPr>
    <w:rPr>
      <w:sz w:val="21"/>
    </w:rPr>
    <w:tblPr>
      <w:tblBorders>
        <w:top w:val="single" w:color="auto" w:sz="4" w:space="0"/>
        <w:bottom w:val="single" w:color="auto" w:sz="4" w:space="0"/>
        <w:insideH w:val="single" w:color="auto" w:sz="4" w:space="0"/>
        <w:insideV w:val="single" w:color="auto" w:sz="4" w:space="0"/>
      </w:tblBorders>
    </w:tblPr>
    <w:tcPr>
      <w:vAlign w:val="center"/>
    </w:tcPr>
  </w:style>
  <w:style w:type="character" w:customStyle="1" w:styleId="55">
    <w:name w:val="标题 2 字符"/>
    <w:basedOn w:val="19"/>
    <w:link w:val="3"/>
    <w:unhideWhenUsed/>
    <w:qFormat/>
    <w:uiPriority w:val="9"/>
    <w:rPr>
      <w:rFonts w:hint="default" w:eastAsia="黑体" w:cs="Times New Roman"/>
      <w:b/>
      <w:kern w:val="2"/>
      <w:sz w:val="32"/>
      <w:szCs w:val="32"/>
    </w:rPr>
  </w:style>
  <w:style w:type="character" w:customStyle="1" w:styleId="56">
    <w:name w:val="标题 3 字符"/>
    <w:basedOn w:val="19"/>
    <w:link w:val="4"/>
    <w:unhideWhenUsed/>
    <w:qFormat/>
    <w:uiPriority w:val="0"/>
    <w:rPr>
      <w:rFonts w:hint="default" w:cs="Times New Roman"/>
      <w:b/>
      <w:sz w:val="28"/>
      <w:szCs w:val="28"/>
    </w:rPr>
  </w:style>
  <w:style w:type="character" w:customStyle="1" w:styleId="57">
    <w:name w:val="font51"/>
    <w:basedOn w:val="19"/>
    <w:qFormat/>
    <w:uiPriority w:val="0"/>
    <w:rPr>
      <w:rFonts w:hint="eastAsia" w:ascii="宋体" w:hAnsi="宋体" w:eastAsia="宋体" w:cs="宋体"/>
      <w:color w:val="0000FF"/>
      <w:sz w:val="24"/>
      <w:szCs w:val="24"/>
      <w:u w:val="none"/>
    </w:rPr>
  </w:style>
  <w:style w:type="paragraph" w:customStyle="1" w:styleId="58">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5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79</Pages>
  <Words>44989</Words>
  <Characters>51091</Characters>
  <Lines>1</Lines>
  <Paragraphs>1</Paragraphs>
  <TotalTime>5</TotalTime>
  <ScaleCrop>false</ScaleCrop>
  <LinksUpToDate>false</LinksUpToDate>
  <CharactersWithSpaces>51249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2021-01-01T09:29:00Z</dcterms:created>
  <dc:creator>lhj</dc:creator>
  <cp:lastModifiedBy>NTKO</cp:lastModifiedBy>
  <cp:lastPrinted>2025-11-30T18:02:00Z</cp:lastPrinted>
  <dcterms:modified xsi:type="dcterms:W3CDTF">2025-12-22T08:36:15Z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3F0E6DC5E18A72E36A9948694A7D2DE3_43</vt:lpwstr>
  </property>
  <property fmtid="{D5CDD505-2E9C-101B-9397-08002B2CF9AE}" pid="4" name="KSOTemplateDocerSaveRecord">
    <vt:lpwstr>eyJoZGlkIjoiYWMzMTVjNGJlNGY4OTZlOGQwYjZlMTcxMGI3ODhkNDkiLCJ1c2VySWQiOiIxNTMwNTE4MTMzIn0=</vt:lpwstr>
  </property>
  <property fmtid="{D5CDD505-2E9C-101B-9397-08002B2CF9AE}" pid="5" name="woTemplateTypoMode" linkTarget="0">
    <vt:lpwstr/>
  </property>
  <property fmtid="{D5CDD505-2E9C-101B-9397-08002B2CF9AE}" pid="6" name="woTemplate" linkTarget="0">
    <vt:r8>0</vt:r8>
  </property>
</Properties>
</file>