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B10B">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r>
        <w:drawing>
          <wp:anchor distT="0" distB="0" distL="114300" distR="114300" simplePos="0" relativeHeight="251676672" behindDoc="0" locked="0" layoutInCell="1" allowOverlap="1">
            <wp:simplePos x="0" y="0"/>
            <wp:positionH relativeFrom="column">
              <wp:posOffset>-892810</wp:posOffset>
            </wp:positionH>
            <wp:positionV relativeFrom="paragraph">
              <wp:posOffset>-1003300</wp:posOffset>
            </wp:positionV>
            <wp:extent cx="7559040" cy="10704195"/>
            <wp:effectExtent l="0" t="0" r="3810" b="1905"/>
            <wp:wrapNone/>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8"/>
                    <a:stretch>
                      <a:fillRect/>
                    </a:stretch>
                  </pic:blipFill>
                  <pic:spPr>
                    <a:xfrm>
                      <a:off x="0" y="0"/>
                      <a:ext cx="7559040" cy="10704195"/>
                    </a:xfrm>
                    <a:prstGeom prst="rect">
                      <a:avLst/>
                    </a:prstGeom>
                    <a:noFill/>
                    <a:ln>
                      <a:noFill/>
                    </a:ln>
                  </pic:spPr>
                </pic:pic>
              </a:graphicData>
            </a:graphic>
          </wp:anchor>
        </w:drawing>
      </w:r>
    </w:p>
    <w:p w14:paraId="2D0E0C5F">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p>
    <w:p w14:paraId="4FF2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23611"/>
      <w:bookmarkStart w:id="1" w:name="_Toc14623"/>
      <w:bookmarkStart w:id="2" w:name="_Toc17132"/>
      <w:bookmarkStart w:id="3" w:name="_Toc9163"/>
      <w:bookmarkStart w:id="4" w:name="_Toc15153"/>
      <w:bookmarkStart w:id="5" w:name="_Toc29571"/>
      <w:bookmarkStart w:id="6" w:name="_Toc19841"/>
      <w:bookmarkStart w:id="7" w:name="_Toc2526"/>
      <w:bookmarkStart w:id="8" w:name="_Toc13859"/>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940FCBB">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09F4B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004335C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81825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CCA024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1F5BD59">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FA0632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AE8C74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1189136">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2AB258A">
      <w:pPr>
        <w:keepNext w:val="0"/>
        <w:keepLines w:val="0"/>
        <w:pageBreakBefore w:val="0"/>
        <w:widowControl w:val="0"/>
        <w:kinsoku/>
        <w:wordWrap/>
        <w:overflowPunct/>
        <w:topLinePunct w:val="0"/>
        <w:autoSpaceDE/>
        <w:autoSpaceDN/>
        <w:bidi w:val="0"/>
        <w:adjustRightInd w:val="0"/>
        <w:snapToGrid w:val="0"/>
        <w:spacing w:line="288" w:lineRule="auto"/>
        <w:ind w:left="1409" w:leftChars="171" w:hanging="105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3310890</wp:posOffset>
                </wp:positionH>
                <wp:positionV relativeFrom="paragraph">
                  <wp:posOffset>188595</wp:posOffset>
                </wp:positionV>
                <wp:extent cx="677545" cy="314325"/>
                <wp:effectExtent l="6350" t="6350" r="20955" b="22225"/>
                <wp:wrapNone/>
                <wp:docPr id="53" name="矩形 53"/>
                <wp:cNvGraphicFramePr/>
                <a:graphic xmlns:a="http://schemas.openxmlformats.org/drawingml/2006/main">
                  <a:graphicData uri="http://schemas.microsoft.com/office/word/2010/wordprocessingShape">
                    <wps:wsp>
                      <wps:cNvSpPr/>
                      <wps:spPr>
                        <a:xfrm>
                          <a:off x="0" y="0"/>
                          <a:ext cx="67754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7pt;margin-top:14.85pt;height:24.75pt;width:53.35pt;z-index:251697152;v-text-anchor:middle;mso-width-relative:page;mso-height-relative:page;" fillcolor="#FFFFFF [3212]" filled="t" stroked="t" coordsize="21600,21600" o:gfxdata="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sisnvZAAAACQEAAA8AAAAAAAAAAQAgAAAAIgAAAGRycy9kb3ducmV2&#10;LnhtbFBLAQIUABQAAAAIAIdO4kDcO+zlbQIAAPUEAAAOAAAAAAAAAAEAIAAAACgBAABkcnMvZTJv&#10;RG9jLnhtbFBLBQYAAAAABgAGAFkBAAAHBg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val="en-US" w:eastAsia="zh-CN"/>
        </w:rPr>
        <w:t>福建瑞昌新能源科技开发有限公司年加工五金配件300万个项目</w:t>
      </w:r>
      <w:r>
        <w:rPr>
          <w:rFonts w:hint="eastAsia"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     </w:t>
      </w:r>
    </w:p>
    <w:p w14:paraId="29F2C6CF">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ascii="宋体" w:hAnsi="宋体" w:cs="宋体"/>
          <w:color w:val="auto"/>
          <w:sz w:val="36"/>
          <w:szCs w:val="36"/>
          <w:u w:val="single"/>
          <w:lang w:val="en-US" w:eastAsia="zh-CN"/>
        </w:rPr>
        <w:t>福建瑞昌新能源科技开发有限公司</w:t>
      </w:r>
    </w:p>
    <w:p w14:paraId="0813835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202</w:t>
      </w:r>
      <w:r>
        <w:rPr>
          <w:rFonts w:hint="eastAsia" w:ascii="Times New Roman" w:hAnsi="Times New Roman" w:eastAsia="宋体" w:cs="Times New Roman"/>
          <w:color w:val="auto"/>
          <w:sz w:val="36"/>
          <w:szCs w:val="36"/>
          <w:highlight w:val="none"/>
          <w:u w:val="single"/>
          <w:lang w:val="en-US" w:eastAsia="zh-CN"/>
        </w:rPr>
        <w:t>5</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11</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10F1FF9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22E5E2AB">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33A72B5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76BC4882">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ECF4C3D">
      <w:pPr>
        <w:pStyle w:val="15"/>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062A0CAC">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p>
    <w:p w14:paraId="739B3F88">
      <w:pPr>
        <w:rPr>
          <w:rFonts w:hint="eastAsia"/>
        </w:rPr>
      </w:pPr>
      <w:r>
        <w:rPr>
          <w:sz w:val="21"/>
        </w:rPr>
        <mc:AlternateContent>
          <mc:Choice Requires="wps">
            <w:drawing>
              <wp:anchor distT="0" distB="0" distL="114300" distR="114300" simplePos="0" relativeHeight="251696128" behindDoc="0" locked="0" layoutInCell="1" allowOverlap="1">
                <wp:simplePos x="0" y="0"/>
                <wp:positionH relativeFrom="column">
                  <wp:posOffset>3416300</wp:posOffset>
                </wp:positionH>
                <wp:positionV relativeFrom="paragraph">
                  <wp:posOffset>7175500</wp:posOffset>
                </wp:positionV>
                <wp:extent cx="2038985" cy="314325"/>
                <wp:effectExtent l="6350" t="6350" r="12065" b="22225"/>
                <wp:wrapNone/>
                <wp:docPr id="50" name="矩形 50"/>
                <wp:cNvGraphicFramePr/>
                <a:graphic xmlns:a="http://schemas.openxmlformats.org/drawingml/2006/main">
                  <a:graphicData uri="http://schemas.microsoft.com/office/word/2010/wordprocessingShape">
                    <wps:wsp>
                      <wps:cNvSpPr/>
                      <wps:spPr>
                        <a:xfrm>
                          <a:off x="0" y="0"/>
                          <a:ext cx="203898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pt;margin-top:565pt;height:24.75pt;width:160.55pt;z-index:251696128;v-text-anchor:middle;mso-width-relative:page;mso-height-relative:page;" fillcolor="#FFFFFF [3212]" filled="t" stroked="t" coordsize="21600,21600" o:gfxdata="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9O+Q+2gAAAA0BAAAPAAAAAAAAAAEAIAAAACIAAABkcnMvZG93bnJl&#10;di54bWxQSwECFAAUAAAACACHTuJAM+UL7m0CAAD2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1330325</wp:posOffset>
                </wp:positionH>
                <wp:positionV relativeFrom="paragraph">
                  <wp:posOffset>5060950</wp:posOffset>
                </wp:positionV>
                <wp:extent cx="2753360" cy="314325"/>
                <wp:effectExtent l="6350" t="6350" r="21590" b="22225"/>
                <wp:wrapNone/>
                <wp:docPr id="42" name="矩形 42"/>
                <wp:cNvGraphicFramePr/>
                <a:graphic xmlns:a="http://schemas.openxmlformats.org/drawingml/2006/main">
                  <a:graphicData uri="http://schemas.microsoft.com/office/word/2010/wordprocessingShape">
                    <wps:wsp>
                      <wps:cNvSpPr/>
                      <wps:spPr>
                        <a:xfrm>
                          <a:off x="0" y="0"/>
                          <a:ext cx="275336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75pt;margin-top:398.5pt;height:24.75pt;width:216.8pt;z-index:251695104;v-text-anchor:middle;mso-width-relative:page;mso-height-relative:page;" fillcolor="#FFFFFF [3212]" filled="t" stroked="t" coordsize="21600,21600" o:gfxdata="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OMn9TaAAAACwEAAA8AAAAAAAAAAQAgAAAAIgAAAGRycy9kb3ducmV2&#10;LnhtbFBLAQIUABQAAAAIAIdO4kCB4RhNbAIAAPY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15875</wp:posOffset>
                </wp:positionH>
                <wp:positionV relativeFrom="paragraph">
                  <wp:posOffset>4984750</wp:posOffset>
                </wp:positionV>
                <wp:extent cx="1172210" cy="314325"/>
                <wp:effectExtent l="6350" t="6350" r="21590" b="22225"/>
                <wp:wrapNone/>
                <wp:docPr id="41" name="矩形 41"/>
                <wp:cNvGraphicFramePr/>
                <a:graphic xmlns:a="http://schemas.openxmlformats.org/drawingml/2006/main">
                  <a:graphicData uri="http://schemas.microsoft.com/office/word/2010/wordprocessingShape">
                    <wps:wsp>
                      <wps:cNvSpPr/>
                      <wps:spPr>
                        <a:xfrm>
                          <a:off x="0" y="0"/>
                          <a:ext cx="117221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pt;margin-top:392.5pt;height:24.75pt;width:92.3pt;z-index:251694080;v-text-anchor:middle;mso-width-relative:page;mso-height-relative:page;" fillcolor="#FFFFFF [3212]" filled="t" stroked="t" coordsize="21600,21600" o:gfxdata="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VZnydcAAAAJAQAADwAAAAAAAAABACAAAAAiAAAAZHJzL2Rvd25yZXYueG1s&#10;UEsBAhQAFAAAAAgAh07iQPWuiHlrAgAA9gQAAA4AAAAAAAAAAQAgAAAAJgEAAGRycy9lMm9Eb2Mu&#10;eG1sUEsFBgAAAAAGAAYAWQEAAAM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25400</wp:posOffset>
                </wp:positionH>
                <wp:positionV relativeFrom="paragraph">
                  <wp:posOffset>4651375</wp:posOffset>
                </wp:positionV>
                <wp:extent cx="1172210" cy="314325"/>
                <wp:effectExtent l="6350" t="6350" r="21590" b="22225"/>
                <wp:wrapNone/>
                <wp:docPr id="40" name="矩形 40"/>
                <wp:cNvGraphicFramePr/>
                <a:graphic xmlns:a="http://schemas.openxmlformats.org/drawingml/2006/main">
                  <a:graphicData uri="http://schemas.microsoft.com/office/word/2010/wordprocessingShape">
                    <wps:wsp>
                      <wps:cNvSpPr/>
                      <wps:spPr>
                        <a:xfrm>
                          <a:off x="0" y="0"/>
                          <a:ext cx="117221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pt;margin-top:366.25pt;height:24.75pt;width:92.3pt;z-index:251693056;v-text-anchor:middle;mso-width-relative:page;mso-height-relative:page;" fillcolor="#FFFFFF [3212]" filled="t" stroked="t" coordsize="21600,21600" o:gfxdata="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u00ls1wAAAAkBAAAPAAAAAAAAAAEAIAAAACIAAABkcnMvZG93bnJldi54bWxQ&#10;SwECFAAUAAAACACHTuJABVjvQWoCAAD2BAAADgAAAAAAAAABACAAAAAmAQAAZHJzL2Uyb0RvYy54&#10;bWxQSwUGAAAAAAYABgBZAQAAAg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3654425</wp:posOffset>
                </wp:positionH>
                <wp:positionV relativeFrom="paragraph">
                  <wp:posOffset>4718050</wp:posOffset>
                </wp:positionV>
                <wp:extent cx="838200" cy="314325"/>
                <wp:effectExtent l="6350" t="6350" r="12700" b="22225"/>
                <wp:wrapNone/>
                <wp:docPr id="39" name="矩形 39"/>
                <wp:cNvGraphicFramePr/>
                <a:graphic xmlns:a="http://schemas.openxmlformats.org/drawingml/2006/main">
                  <a:graphicData uri="http://schemas.microsoft.com/office/word/2010/wordprocessingShape">
                    <wps:wsp>
                      <wps:cNvSpPr/>
                      <wps:spPr>
                        <a:xfrm>
                          <a:off x="0" y="0"/>
                          <a:ext cx="83820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75pt;margin-top:371.5pt;height:24.75pt;width:66pt;z-index:251692032;v-text-anchor:middle;mso-width-relative:page;mso-height-relative:page;" fillcolor="#FFFFFF [3212]" filled="t" stroked="t" coordsize="21600,21600" o:gfxdata="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Gxk4TZAAAACwEAAA8AAAAAAAAAAQAgAAAAIgAAAGRycy9kb3ducmV2Lnht&#10;bFBLAQIUABQAAAAIAIdO4kCCcdY0agIAAPUEAAAOAAAAAAAAAAEAIAAAACgBAABkcnMvZTJvRG9j&#10;LnhtbFBLBQYAAAAABgAGAFkBAAAE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1768475</wp:posOffset>
                </wp:positionH>
                <wp:positionV relativeFrom="paragraph">
                  <wp:posOffset>3946525</wp:posOffset>
                </wp:positionV>
                <wp:extent cx="762635" cy="314325"/>
                <wp:effectExtent l="6350" t="6350" r="12065" b="22225"/>
                <wp:wrapNone/>
                <wp:docPr id="37" name="矩形 37"/>
                <wp:cNvGraphicFramePr/>
                <a:graphic xmlns:a="http://schemas.openxmlformats.org/drawingml/2006/main">
                  <a:graphicData uri="http://schemas.microsoft.com/office/word/2010/wordprocessingShape">
                    <wps:wsp>
                      <wps:cNvSpPr/>
                      <wps:spPr>
                        <a:xfrm>
                          <a:off x="0" y="0"/>
                          <a:ext cx="76263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25pt;margin-top:310.75pt;height:24.75pt;width:60.05pt;z-index:251691008;v-text-anchor:middle;mso-width-relative:page;mso-height-relative:page;" fillcolor="#FFFFFF [3212]" filled="t" stroked="t" coordsize="21600,21600" o:gfxdata="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Ar1r3ZAAAACwEAAA8AAAAAAAAAAQAgAAAAIgAAAGRycy9kb3ducmV2&#10;LnhtbFBLAQIUABQAAAAIAIdO4kBbpcyBbQIAAPUEAAAOAAAAAAAAAAEAIAAAACg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1244600</wp:posOffset>
                </wp:positionH>
                <wp:positionV relativeFrom="paragraph">
                  <wp:posOffset>4289425</wp:posOffset>
                </wp:positionV>
                <wp:extent cx="3028950" cy="314325"/>
                <wp:effectExtent l="6350" t="6350" r="12700" b="22225"/>
                <wp:wrapNone/>
                <wp:docPr id="36" name="矩形 36"/>
                <wp:cNvGraphicFramePr/>
                <a:graphic xmlns:a="http://schemas.openxmlformats.org/drawingml/2006/main">
                  <a:graphicData uri="http://schemas.microsoft.com/office/word/2010/wordprocessingShape">
                    <wps:wsp>
                      <wps:cNvSpPr/>
                      <wps:spPr>
                        <a:xfrm>
                          <a:off x="0" y="0"/>
                          <a:ext cx="302895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pt;margin-top:337.75pt;height:24.75pt;width:238.5pt;z-index:251689984;v-text-anchor:middle;mso-width-relative:page;mso-height-relative:page;" fillcolor="#FFFFFF [3212]" filled="t" stroked="t" coordsize="21600,21600" o:gfxdata="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aZo7NkAAAALAQAADwAAAAAAAAABACAAAAAiAAAAZHJzL2Rvd25yZXYu&#10;eG1sUEsBAhQAFAAAAAgAh07iQN1rerhsAgAA9g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692150</wp:posOffset>
                </wp:positionH>
                <wp:positionV relativeFrom="paragraph">
                  <wp:posOffset>1231900</wp:posOffset>
                </wp:positionV>
                <wp:extent cx="2276475" cy="314325"/>
                <wp:effectExtent l="6350" t="6350" r="22225" b="22225"/>
                <wp:wrapNone/>
                <wp:docPr id="26" name="矩形 26"/>
                <wp:cNvGraphicFramePr/>
                <a:graphic xmlns:a="http://schemas.openxmlformats.org/drawingml/2006/main">
                  <a:graphicData uri="http://schemas.microsoft.com/office/word/2010/wordprocessingShape">
                    <wps:wsp>
                      <wps:cNvSpPr/>
                      <wps:spPr>
                        <a:xfrm>
                          <a:off x="0" y="0"/>
                          <a:ext cx="227647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97pt;height:24.75pt;width:179.25pt;z-index:251688960;v-text-anchor:middle;mso-width-relative:page;mso-height-relative:page;" fillcolor="#FFFFFF [3212]" filled="t" stroked="t" coordsize="21600,21600" o:gfxdata="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bXJ1XZAAAACwEAAA8AAAAAAAAAAQAgAAAAIgAAAGRycy9kb3ducmV2&#10;LnhtbFBLAQIUABQAAAAIAIdO4kClqd1sbQIAAPYEAAAOAAAAAAAAAAEAIAAAACgBAABkcnMvZTJv&#10;RG9jLnhtbFBLBQYAAAAABgAGAFkBAAAHBgAAAAA=&#10;">
                <v:fill on="t" focussize="0,0"/>
                <v:stroke weight="1pt" color="#FFFFFF [3212]" miterlimit="8" joinstyle="miter"/>
                <v:imagedata o:title=""/>
                <o:lock v:ext="edit" aspectratio="f"/>
              </v:rect>
            </w:pict>
          </mc:Fallback>
        </mc:AlternateContent>
      </w:r>
      <w:r>
        <w:drawing>
          <wp:anchor distT="0" distB="0" distL="114300" distR="114300" simplePos="0" relativeHeight="251677696" behindDoc="0" locked="0" layoutInCell="1" allowOverlap="1">
            <wp:simplePos x="0" y="0"/>
            <wp:positionH relativeFrom="column">
              <wp:posOffset>-880745</wp:posOffset>
            </wp:positionH>
            <wp:positionV relativeFrom="paragraph">
              <wp:posOffset>-1011555</wp:posOffset>
            </wp:positionV>
            <wp:extent cx="7522845" cy="10689590"/>
            <wp:effectExtent l="0" t="0" r="1905" b="16510"/>
            <wp:wrapNone/>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9"/>
                    <a:stretch>
                      <a:fillRect/>
                    </a:stretch>
                  </pic:blipFill>
                  <pic:spPr>
                    <a:xfrm>
                      <a:off x="0" y="0"/>
                      <a:ext cx="7522845" cy="10689590"/>
                    </a:xfrm>
                    <a:prstGeom prst="rect">
                      <a:avLst/>
                    </a:prstGeom>
                    <a:noFill/>
                    <a:ln>
                      <a:noFill/>
                    </a:ln>
                  </pic:spPr>
                </pic:pic>
              </a:graphicData>
            </a:graphic>
          </wp:anchor>
        </w:drawing>
      </w:r>
      <w:r>
        <w:rPr>
          <w:rFonts w:hint="eastAsia"/>
        </w:rPr>
        <w:br w:type="page"/>
      </w:r>
    </w:p>
    <w:p w14:paraId="33757586">
      <w:pPr>
        <w:rPr>
          <w:rFonts w:hint="eastAsia"/>
        </w:rPr>
      </w:pPr>
      <w:r>
        <w:rPr>
          <w:sz w:val="21"/>
        </w:rPr>
        <mc:AlternateContent>
          <mc:Choice Requires="wps">
            <w:drawing>
              <wp:anchor distT="0" distB="0" distL="114300" distR="114300" simplePos="0" relativeHeight="251701248" behindDoc="0" locked="0" layoutInCell="1" allowOverlap="1">
                <wp:simplePos x="0" y="0"/>
                <wp:positionH relativeFrom="column">
                  <wp:posOffset>3302000</wp:posOffset>
                </wp:positionH>
                <wp:positionV relativeFrom="paragraph">
                  <wp:posOffset>7734300</wp:posOffset>
                </wp:positionV>
                <wp:extent cx="2705100" cy="828040"/>
                <wp:effectExtent l="6350" t="6350" r="12700" b="22860"/>
                <wp:wrapNone/>
                <wp:docPr id="75" name="矩形 75"/>
                <wp:cNvGraphicFramePr/>
                <a:graphic xmlns:a="http://schemas.openxmlformats.org/drawingml/2006/main">
                  <a:graphicData uri="http://schemas.microsoft.com/office/word/2010/wordprocessingShape">
                    <wps:wsp>
                      <wps:cNvSpPr/>
                      <wps:spPr>
                        <a:xfrm>
                          <a:off x="0" y="0"/>
                          <a:ext cx="2705100" cy="82804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pt;margin-top:609pt;height:65.2pt;width:213pt;z-index:251701248;v-text-anchor:middle;mso-width-relative:page;mso-height-relative:page;" fillcolor="#FFFFFF [3212]" filled="t" stroked="t" coordsize="21600,21600" o:gfxdata="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v/v2S2QAAAA0BAAAPAAAAAAAAAAEAIAAAACIAAABkcnMvZG93bnJldi54&#10;bWxQSwECFAAUAAAACACHTuJAP5LdB2sCAAD2BAAADgAAAAAAAAABACAAAAAo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34925</wp:posOffset>
                </wp:positionH>
                <wp:positionV relativeFrom="paragraph">
                  <wp:posOffset>7661275</wp:posOffset>
                </wp:positionV>
                <wp:extent cx="800735" cy="771525"/>
                <wp:effectExtent l="6350" t="6350" r="12065" b="22225"/>
                <wp:wrapNone/>
                <wp:docPr id="74" name="矩形 74"/>
                <wp:cNvGraphicFramePr/>
                <a:graphic xmlns:a="http://schemas.openxmlformats.org/drawingml/2006/main">
                  <a:graphicData uri="http://schemas.microsoft.com/office/word/2010/wordprocessingShape">
                    <wps:wsp>
                      <wps:cNvSpPr/>
                      <wps:spPr>
                        <a:xfrm>
                          <a:off x="0" y="0"/>
                          <a:ext cx="800735" cy="7715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pt;margin-top:603.25pt;height:60.75pt;width:63.05pt;z-index:251700224;v-text-anchor:middle;mso-width-relative:page;mso-height-relative:page;" fillcolor="#FFFFFF [3212]" filled="t" stroked="t" coordsize="21600,21600" o:gfxdata="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dsx8NcAAAALAQAADwAAAAAAAAABACAAAAAiAAAAZHJzL2Rvd25yZXYueG1s&#10;UEsBAhQAFAAAAAgAh07iQCD6oaZrAgAA9QQAAA4AAAAAAAAAAQAgAAAAJgEAAGRycy9lMm9Eb2Mu&#10;eG1sUEsFBgAAAAAGAAYAWQEAAAM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6350</wp:posOffset>
                </wp:positionH>
                <wp:positionV relativeFrom="paragraph">
                  <wp:posOffset>6337300</wp:posOffset>
                </wp:positionV>
                <wp:extent cx="5868035" cy="314325"/>
                <wp:effectExtent l="6350" t="6350" r="12065" b="22225"/>
                <wp:wrapNone/>
                <wp:docPr id="73" name="矩形 73"/>
                <wp:cNvGraphicFramePr/>
                <a:graphic xmlns:a="http://schemas.openxmlformats.org/drawingml/2006/main">
                  <a:graphicData uri="http://schemas.microsoft.com/office/word/2010/wordprocessingShape">
                    <wps:wsp>
                      <wps:cNvSpPr/>
                      <wps:spPr>
                        <a:xfrm>
                          <a:off x="0" y="0"/>
                          <a:ext cx="586803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499pt;height:24.75pt;width:462.05pt;z-index:251699200;v-text-anchor:middle;mso-width-relative:page;mso-height-relative:page;" fillcolor="#FFFFFF [3212]" filled="t" stroked="t" coordsize="21600,21600" o:gfxdata="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B/CF9cAAAAKAQAADwAAAAAAAAABACAAAAAiAAAAZHJzL2Rvd25yZXYu&#10;eG1sUEsBAhQAFAAAAAgAh07iQP6bOKJuAgAA9gQAAA4AAAAAAAAAAQAgAAAAJg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1958975</wp:posOffset>
                </wp:positionH>
                <wp:positionV relativeFrom="paragraph">
                  <wp:posOffset>2809240</wp:posOffset>
                </wp:positionV>
                <wp:extent cx="2038985" cy="3067050"/>
                <wp:effectExtent l="6350" t="6350" r="12065" b="12700"/>
                <wp:wrapNone/>
                <wp:docPr id="67" name="矩形 67"/>
                <wp:cNvGraphicFramePr/>
                <a:graphic xmlns:a="http://schemas.openxmlformats.org/drawingml/2006/main">
                  <a:graphicData uri="http://schemas.microsoft.com/office/word/2010/wordprocessingShape">
                    <wps:wsp>
                      <wps:cNvSpPr/>
                      <wps:spPr>
                        <a:xfrm>
                          <a:off x="0" y="0"/>
                          <a:ext cx="2038985" cy="30670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25pt;margin-top:221.2pt;height:241.5pt;width:160.55pt;z-index:251698176;v-text-anchor:middle;mso-width-relative:page;mso-height-relative:page;" fillcolor="#FFFFFF [3212]" filled="t" stroked="t" coordsize="21600,21600" o:gfxdata="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FYqGraAAAACwEAAA8AAAAAAAAAAQAgAAAAIgAAAGRycy9kb3du&#10;cmV2LnhtbFBLAQIUABQAAAAIAIdO4kBJ7mELbwIAAPcEAAAOAAAAAAAAAAEAIAAAACkBAABkcnMv&#10;ZTJvRG9jLnhtbFBLBQYAAAAABgAGAFkBAAAKBgAAAAA=&#10;">
                <v:fill on="t" focussize="0,0"/>
                <v:stroke weight="1pt" color="#FFFFFF [3212]" miterlimit="8" joinstyle="miter"/>
                <v:imagedata o:title=""/>
                <o:lock v:ext="edit" aspectratio="f"/>
              </v:rect>
            </w:pict>
          </mc:Fallback>
        </mc:AlternateContent>
      </w:r>
      <w:r>
        <w:drawing>
          <wp:anchor distT="0" distB="0" distL="114300" distR="114300" simplePos="0" relativeHeight="251678720" behindDoc="0" locked="0" layoutInCell="1" allowOverlap="1">
            <wp:simplePos x="0" y="0"/>
            <wp:positionH relativeFrom="column">
              <wp:posOffset>-881380</wp:posOffset>
            </wp:positionH>
            <wp:positionV relativeFrom="paragraph">
              <wp:posOffset>-988060</wp:posOffset>
            </wp:positionV>
            <wp:extent cx="7531735" cy="10665460"/>
            <wp:effectExtent l="0" t="0" r="12065" b="2540"/>
            <wp:wrapNone/>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pic:cNvPicPr>
                  </pic:nvPicPr>
                  <pic:blipFill>
                    <a:blip r:embed="rId10"/>
                    <a:stretch>
                      <a:fillRect/>
                    </a:stretch>
                  </pic:blipFill>
                  <pic:spPr>
                    <a:xfrm>
                      <a:off x="0" y="0"/>
                      <a:ext cx="7531735" cy="10665460"/>
                    </a:xfrm>
                    <a:prstGeom prst="rect">
                      <a:avLst/>
                    </a:prstGeom>
                    <a:noFill/>
                    <a:ln>
                      <a:noFill/>
                    </a:ln>
                  </pic:spPr>
                </pic:pic>
              </a:graphicData>
            </a:graphic>
          </wp:anchor>
        </w:drawing>
      </w:r>
      <w:r>
        <w:rPr>
          <w:rFonts w:hint="eastAsia"/>
          <w:lang w:val="en-US" w:eastAsia="zh-CN"/>
        </w:rPr>
        <w:t xml:space="preserve"> </w:t>
      </w:r>
      <w:r>
        <w:rPr>
          <w:rFonts w:hint="eastAsia"/>
        </w:rPr>
        <w:br w:type="page"/>
      </w:r>
    </w:p>
    <w:p w14:paraId="41A1417E">
      <w:pPr>
        <w:rPr>
          <w:rFonts w:hint="eastAsia"/>
        </w:rPr>
      </w:pPr>
      <w:r>
        <w:rPr>
          <w:sz w:val="21"/>
        </w:rPr>
        <mc:AlternateContent>
          <mc:Choice Requires="wps">
            <w:drawing>
              <wp:anchor distT="0" distB="0" distL="114300" distR="114300" simplePos="0" relativeHeight="251703296" behindDoc="0" locked="0" layoutInCell="1" allowOverlap="1">
                <wp:simplePos x="0" y="0"/>
                <wp:positionH relativeFrom="column">
                  <wp:posOffset>3530600</wp:posOffset>
                </wp:positionH>
                <wp:positionV relativeFrom="paragraph">
                  <wp:posOffset>7613650</wp:posOffset>
                </wp:positionV>
                <wp:extent cx="2229485" cy="314325"/>
                <wp:effectExtent l="6350" t="6350" r="12065" b="22225"/>
                <wp:wrapNone/>
                <wp:docPr id="77" name="矩形 77"/>
                <wp:cNvGraphicFramePr/>
                <a:graphic xmlns:a="http://schemas.openxmlformats.org/drawingml/2006/main">
                  <a:graphicData uri="http://schemas.microsoft.com/office/word/2010/wordprocessingShape">
                    <wps:wsp>
                      <wps:cNvSpPr/>
                      <wps:spPr>
                        <a:xfrm>
                          <a:off x="0" y="0"/>
                          <a:ext cx="222948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pt;margin-top:599.5pt;height:24.75pt;width:175.55pt;z-index:251703296;v-text-anchor:middle;mso-width-relative:page;mso-height-relative:page;" fillcolor="#FFFFFF [3212]" filled="t" stroked="t" coordsize="21600,21600" o:gfxdata="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WETte2gAAAA0BAAAPAAAAAAAAAAEAIAAAACIAAABkcnMvZG93bnJl&#10;di54bWxQSwECFAAUAAAACACHTuJAcHtAfm0CAAD2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920750</wp:posOffset>
                </wp:positionH>
                <wp:positionV relativeFrom="paragraph">
                  <wp:posOffset>831850</wp:posOffset>
                </wp:positionV>
                <wp:extent cx="2019300" cy="314325"/>
                <wp:effectExtent l="6350" t="6350" r="12700" b="22225"/>
                <wp:wrapNone/>
                <wp:docPr id="76" name="矩形 76"/>
                <wp:cNvGraphicFramePr/>
                <a:graphic xmlns:a="http://schemas.openxmlformats.org/drawingml/2006/main">
                  <a:graphicData uri="http://schemas.microsoft.com/office/word/2010/wordprocessingShape">
                    <wps:wsp>
                      <wps:cNvSpPr/>
                      <wps:spPr>
                        <a:xfrm>
                          <a:off x="0" y="0"/>
                          <a:ext cx="201930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5pt;margin-top:65.5pt;height:24.75pt;width:159pt;z-index:251702272;v-text-anchor:middle;mso-width-relative:page;mso-height-relative:page;" fillcolor="#FFFFFF [3212]" filled="t" stroked="t" coordsize="21600,21600" o:gfxdata="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beeIPWAAAACwEAAA8AAAAAAAAAAQAgAAAAIgAAAGRycy9kb3ducmV2LnhtbFBL&#10;AQIUABQAAAAIAIdO4kBEyrFPagIAAPYEAAAOAAAAAAAAAAEAIAAAACUBAABkcnMvZTJvRG9jLnht&#10;bFBLBQYAAAAABgAGAFkBAAABBgAAAAA=&#10;">
                <v:fill on="t" focussize="0,0"/>
                <v:stroke weight="1pt" color="#FFFFFF [3212]" miterlimit="8" joinstyle="miter"/>
                <v:imagedata o:title=""/>
                <o:lock v:ext="edit" aspectratio="f"/>
              </v:rect>
            </w:pict>
          </mc:Fallback>
        </mc:AlternateContent>
      </w:r>
      <w:r>
        <w:drawing>
          <wp:anchor distT="0" distB="0" distL="114300" distR="114300" simplePos="0" relativeHeight="251679744" behindDoc="0" locked="0" layoutInCell="1" allowOverlap="1">
            <wp:simplePos x="0" y="0"/>
            <wp:positionH relativeFrom="column">
              <wp:posOffset>-892810</wp:posOffset>
            </wp:positionH>
            <wp:positionV relativeFrom="paragraph">
              <wp:posOffset>-974090</wp:posOffset>
            </wp:positionV>
            <wp:extent cx="7564755" cy="10658475"/>
            <wp:effectExtent l="0" t="0" r="17145" b="9525"/>
            <wp:wrapNone/>
            <wp:docPr id="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pic:cNvPicPr>
                      <a:picLocks noChangeAspect="1"/>
                    </pic:cNvPicPr>
                  </pic:nvPicPr>
                  <pic:blipFill>
                    <a:blip r:embed="rId11"/>
                    <a:stretch>
                      <a:fillRect/>
                    </a:stretch>
                  </pic:blipFill>
                  <pic:spPr>
                    <a:xfrm>
                      <a:off x="0" y="0"/>
                      <a:ext cx="7564755" cy="10658475"/>
                    </a:xfrm>
                    <a:prstGeom prst="rect">
                      <a:avLst/>
                    </a:prstGeom>
                    <a:noFill/>
                    <a:ln>
                      <a:noFill/>
                    </a:ln>
                  </pic:spPr>
                </pic:pic>
              </a:graphicData>
            </a:graphic>
          </wp:anchor>
        </w:drawing>
      </w:r>
      <w:r>
        <w:rPr>
          <w:rFonts w:hint="eastAsia"/>
        </w:rPr>
        <w:br w:type="page"/>
      </w:r>
    </w:p>
    <w:p w14:paraId="6D655746">
      <w:pPr>
        <w:rPr>
          <w:rFonts w:hint="eastAsia"/>
        </w:rPr>
      </w:pPr>
      <w:r>
        <w:rPr>
          <w:sz w:val="21"/>
        </w:rPr>
        <mc:AlternateContent>
          <mc:Choice Requires="wps">
            <w:drawing>
              <wp:anchor distT="0" distB="0" distL="114300" distR="114300" simplePos="0" relativeHeight="251705344" behindDoc="0" locked="0" layoutInCell="1" allowOverlap="1">
                <wp:simplePos x="0" y="0"/>
                <wp:positionH relativeFrom="column">
                  <wp:posOffset>4464050</wp:posOffset>
                </wp:positionH>
                <wp:positionV relativeFrom="paragraph">
                  <wp:posOffset>574675</wp:posOffset>
                </wp:positionV>
                <wp:extent cx="1172210" cy="314325"/>
                <wp:effectExtent l="6350" t="6350" r="21590" b="22225"/>
                <wp:wrapNone/>
                <wp:docPr id="79" name="矩形 79"/>
                <wp:cNvGraphicFramePr/>
                <a:graphic xmlns:a="http://schemas.openxmlformats.org/drawingml/2006/main">
                  <a:graphicData uri="http://schemas.microsoft.com/office/word/2010/wordprocessingShape">
                    <wps:wsp>
                      <wps:cNvSpPr/>
                      <wps:spPr>
                        <a:xfrm>
                          <a:off x="0" y="0"/>
                          <a:ext cx="117221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5pt;margin-top:45.25pt;height:24.75pt;width:92.3pt;z-index:251705344;v-text-anchor:middle;mso-width-relative:page;mso-height-relative:page;" fillcolor="#FFFFFF [3212]" filled="t" stroked="t" coordsize="21600,21600" o:gfxdata="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cTI252AAAAAoBAAAPAAAAAAAAAAEAIAAAACIAAABkcnMvZG93bnJldi54&#10;bWxQSwECFAAUAAAACACHTuJAS6c5fGwCAAD2BAAADgAAAAAAAAABACAAAAAn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815975</wp:posOffset>
                </wp:positionH>
                <wp:positionV relativeFrom="paragraph">
                  <wp:posOffset>3279775</wp:posOffset>
                </wp:positionV>
                <wp:extent cx="1172210" cy="314325"/>
                <wp:effectExtent l="6350" t="6350" r="21590" b="22225"/>
                <wp:wrapNone/>
                <wp:docPr id="78" name="矩形 78"/>
                <wp:cNvGraphicFramePr/>
                <a:graphic xmlns:a="http://schemas.openxmlformats.org/drawingml/2006/main">
                  <a:graphicData uri="http://schemas.microsoft.com/office/word/2010/wordprocessingShape">
                    <wps:wsp>
                      <wps:cNvSpPr/>
                      <wps:spPr>
                        <a:xfrm>
                          <a:off x="0" y="0"/>
                          <a:ext cx="117221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25pt;margin-top:258.25pt;height:24.75pt;width:92.3pt;z-index:251704320;v-text-anchor:middle;mso-width-relative:page;mso-height-relative:page;" fillcolor="#FFFFFF [3212]" filled="t" stroked="t" coordsize="21600,21600" o:gfxdata="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aZC6PYAAAACwEAAA8AAAAAAAAAAQAgAAAAIgAAAGRycy9kb3ducmV2Lnht&#10;bFBLAQIUABQAAAAIAIdO4kC7UV5EawIAAPYEAAAOAAAAAAAAAAEAIAAAACcBAABkcnMvZTJvRG9j&#10;LnhtbFBLBQYAAAAABgAGAFkBAAAEBgAAAAA=&#10;">
                <v:fill on="t" focussize="0,0"/>
                <v:stroke weight="1pt" color="#FFFFFF [3212]" miterlimit="8" joinstyle="miter"/>
                <v:imagedata o:title=""/>
                <o:lock v:ext="edit" aspectratio="f"/>
              </v:rect>
            </w:pict>
          </mc:Fallback>
        </mc:AlternateContent>
      </w:r>
      <w:r>
        <w:drawing>
          <wp:anchor distT="0" distB="0" distL="114300" distR="114300" simplePos="0" relativeHeight="251680768" behindDoc="0" locked="0" layoutInCell="1" allowOverlap="1">
            <wp:simplePos x="0" y="0"/>
            <wp:positionH relativeFrom="column">
              <wp:posOffset>-904875</wp:posOffset>
            </wp:positionH>
            <wp:positionV relativeFrom="paragraph">
              <wp:posOffset>-997585</wp:posOffset>
            </wp:positionV>
            <wp:extent cx="7565390" cy="10684510"/>
            <wp:effectExtent l="0" t="0" r="16510" b="2540"/>
            <wp:wrapNone/>
            <wp:docPr id="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pic:cNvPicPr>
                  </pic:nvPicPr>
                  <pic:blipFill>
                    <a:blip r:embed="rId12"/>
                    <a:stretch>
                      <a:fillRect/>
                    </a:stretch>
                  </pic:blipFill>
                  <pic:spPr>
                    <a:xfrm>
                      <a:off x="0" y="0"/>
                      <a:ext cx="7565390" cy="10684510"/>
                    </a:xfrm>
                    <a:prstGeom prst="rect">
                      <a:avLst/>
                    </a:prstGeom>
                    <a:noFill/>
                    <a:ln>
                      <a:noFill/>
                    </a:ln>
                  </pic:spPr>
                </pic:pic>
              </a:graphicData>
            </a:graphic>
          </wp:anchor>
        </w:drawing>
      </w:r>
      <w:r>
        <w:rPr>
          <w:rFonts w:hint="eastAsia"/>
        </w:rPr>
        <w:br w:type="page"/>
      </w:r>
    </w:p>
    <w:p w14:paraId="31045B7A">
      <w:pPr>
        <w:rPr>
          <w:rFonts w:hint="eastAsia"/>
        </w:rPr>
      </w:pPr>
      <w:r>
        <w:rPr>
          <w:sz w:val="21"/>
        </w:rPr>
        <mc:AlternateContent>
          <mc:Choice Requires="wps">
            <w:drawing>
              <wp:anchor distT="0" distB="0" distL="114300" distR="114300" simplePos="0" relativeHeight="251707392" behindDoc="0" locked="0" layoutInCell="1" allowOverlap="1">
                <wp:simplePos x="0" y="0"/>
                <wp:positionH relativeFrom="column">
                  <wp:posOffset>3168650</wp:posOffset>
                </wp:positionH>
                <wp:positionV relativeFrom="paragraph">
                  <wp:posOffset>5052060</wp:posOffset>
                </wp:positionV>
                <wp:extent cx="391160" cy="2275840"/>
                <wp:effectExtent l="6350" t="6350" r="21590" b="22860"/>
                <wp:wrapNone/>
                <wp:docPr id="84" name="矩形 84"/>
                <wp:cNvGraphicFramePr/>
                <a:graphic xmlns:a="http://schemas.openxmlformats.org/drawingml/2006/main">
                  <a:graphicData uri="http://schemas.microsoft.com/office/word/2010/wordprocessingShape">
                    <wps:wsp>
                      <wps:cNvSpPr/>
                      <wps:spPr>
                        <a:xfrm>
                          <a:off x="0" y="0"/>
                          <a:ext cx="391160" cy="227584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5pt;margin-top:397.8pt;height:179.2pt;width:30.8pt;z-index:251707392;v-text-anchor:middle;mso-width-relative:page;mso-height-relative:page;" fillcolor="#FFFFFF [3212]" filled="t" stroked="t" coordsize="21600,21600" o:gfxdata="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7BHifaAAAADAEAAA8AAAAAAAAAAQAgAAAAIgAAAGRycy9kb3ducmV2&#10;LnhtbFBLAQIUABQAAAAIAIdO4kB+jhYcbAIAAPY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1477010</wp:posOffset>
                </wp:positionH>
                <wp:positionV relativeFrom="paragraph">
                  <wp:posOffset>6795135</wp:posOffset>
                </wp:positionV>
                <wp:extent cx="429260" cy="1599565"/>
                <wp:effectExtent l="6350" t="6350" r="21590" b="13335"/>
                <wp:wrapNone/>
                <wp:docPr id="81" name="矩形 81"/>
                <wp:cNvGraphicFramePr/>
                <a:graphic xmlns:a="http://schemas.openxmlformats.org/drawingml/2006/main">
                  <a:graphicData uri="http://schemas.microsoft.com/office/word/2010/wordprocessingShape">
                    <wps:wsp>
                      <wps:cNvSpPr/>
                      <wps:spPr>
                        <a:xfrm>
                          <a:off x="0" y="0"/>
                          <a:ext cx="429260" cy="159956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3pt;margin-top:535.05pt;height:125.95pt;width:33.8pt;z-index:251706368;v-text-anchor:middle;mso-width-relative:page;mso-height-relative:page;" fillcolor="#FFFFFF [3212]" filled="t" stroked="t" coordsize="21600,21600" o:gfxdata="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I7Vo2QAAAA0BAAAPAAAAAAAAAAEAIAAAACIAAABkcnMvZG93bnJldi54&#10;bWxQSwECFAAUAAAACACHTuJAUfHbzmsCAAD2BAAADgAAAAAAAAABACAAAAAoAQAAZHJzL2Uyb0Rv&#10;Yy54bWxQSwUGAAAAAAYABgBZAQAABQYAAAAA&#10;">
                <v:fill on="t" focussize="0,0"/>
                <v:stroke weight="1pt" color="#FFFFFF [3212]" miterlimit="8" joinstyle="miter"/>
                <v:imagedata o:title=""/>
                <o:lock v:ext="edit" aspectratio="f"/>
              </v:rect>
            </w:pict>
          </mc:Fallback>
        </mc:AlternateContent>
      </w:r>
      <w:r>
        <w:drawing>
          <wp:anchor distT="0" distB="0" distL="114300" distR="114300" simplePos="0" relativeHeight="251681792" behindDoc="0" locked="0" layoutInCell="1" allowOverlap="1">
            <wp:simplePos x="0" y="0"/>
            <wp:positionH relativeFrom="column">
              <wp:posOffset>-893445</wp:posOffset>
            </wp:positionH>
            <wp:positionV relativeFrom="paragraph">
              <wp:posOffset>-990600</wp:posOffset>
            </wp:positionV>
            <wp:extent cx="7559675" cy="10650220"/>
            <wp:effectExtent l="0" t="0" r="3175" b="17780"/>
            <wp:wrapNone/>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pic:cNvPicPr>
                  </pic:nvPicPr>
                  <pic:blipFill>
                    <a:blip r:embed="rId13"/>
                    <a:stretch>
                      <a:fillRect/>
                    </a:stretch>
                  </pic:blipFill>
                  <pic:spPr>
                    <a:xfrm>
                      <a:off x="0" y="0"/>
                      <a:ext cx="7559675" cy="10650220"/>
                    </a:xfrm>
                    <a:prstGeom prst="rect">
                      <a:avLst/>
                    </a:prstGeom>
                    <a:noFill/>
                    <a:ln>
                      <a:noFill/>
                    </a:ln>
                  </pic:spPr>
                </pic:pic>
              </a:graphicData>
            </a:graphic>
          </wp:anchor>
        </w:drawing>
      </w:r>
      <w:r>
        <w:rPr>
          <w:rFonts w:hint="eastAsia"/>
        </w:rPr>
        <w:br w:type="page"/>
      </w:r>
    </w:p>
    <w:p w14:paraId="7FEBE451">
      <w:pPr>
        <w:rPr>
          <w:rFonts w:hint="eastAsia"/>
        </w:rPr>
      </w:pPr>
      <w:r>
        <w:rPr>
          <w:sz w:val="21"/>
        </w:rPr>
        <mc:AlternateContent>
          <mc:Choice Requires="wps">
            <w:drawing>
              <wp:anchor distT="0" distB="0" distL="114300" distR="114300" simplePos="0" relativeHeight="251711488" behindDoc="0" locked="0" layoutInCell="1" allowOverlap="1">
                <wp:simplePos x="0" y="0"/>
                <wp:positionH relativeFrom="column">
                  <wp:posOffset>2654300</wp:posOffset>
                </wp:positionH>
                <wp:positionV relativeFrom="paragraph">
                  <wp:posOffset>6270625</wp:posOffset>
                </wp:positionV>
                <wp:extent cx="3076575" cy="771525"/>
                <wp:effectExtent l="6350" t="6350" r="22225" b="22225"/>
                <wp:wrapNone/>
                <wp:docPr id="89" name="矩形 89"/>
                <wp:cNvGraphicFramePr/>
                <a:graphic xmlns:a="http://schemas.openxmlformats.org/drawingml/2006/main">
                  <a:graphicData uri="http://schemas.microsoft.com/office/word/2010/wordprocessingShape">
                    <wps:wsp>
                      <wps:cNvSpPr/>
                      <wps:spPr>
                        <a:xfrm>
                          <a:off x="0" y="0"/>
                          <a:ext cx="3076575" cy="7715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pt;margin-top:493.75pt;height:60.75pt;width:242.25pt;z-index:251711488;v-text-anchor:middle;mso-width-relative:page;mso-height-relative:page;" fillcolor="#FFFFFF [3212]" filled="t" stroked="t" coordsize="21600,21600" o:gfxdata="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tAGabZAAAADAEAAA8AAAAAAAAAAQAgAAAAIgAAAGRycy9kb3ducmV2&#10;LnhtbFBLAQIUABQAAAAIAIdO4kDDIHydbQIAAPYEAAAOAAAAAAAAAAEAIAAAACg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2339975</wp:posOffset>
                </wp:positionH>
                <wp:positionV relativeFrom="paragraph">
                  <wp:posOffset>1460500</wp:posOffset>
                </wp:positionV>
                <wp:extent cx="1829435" cy="314325"/>
                <wp:effectExtent l="6350" t="6350" r="12065" b="22225"/>
                <wp:wrapNone/>
                <wp:docPr id="87" name="矩形 87"/>
                <wp:cNvGraphicFramePr/>
                <a:graphic xmlns:a="http://schemas.openxmlformats.org/drawingml/2006/main">
                  <a:graphicData uri="http://schemas.microsoft.com/office/word/2010/wordprocessingShape">
                    <wps:wsp>
                      <wps:cNvSpPr/>
                      <wps:spPr>
                        <a:xfrm>
                          <a:off x="0" y="0"/>
                          <a:ext cx="182943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25pt;margin-top:115pt;height:24.75pt;width:144.05pt;z-index:251710464;v-text-anchor:middle;mso-width-relative:page;mso-height-relative:page;" fillcolor="#FFFFFF [3212]" filled="t" stroked="t" coordsize="21600,21600" o:gfxdata="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jcztkAAAALAQAADwAAAAAAAAABACAAAAAiAAAAZHJzL2Rvd25yZXYu&#10;eG1sUEsBAhQAFAAAAAgAh07iQDEcCQ9sAgAA9g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3321050</wp:posOffset>
                </wp:positionH>
                <wp:positionV relativeFrom="paragraph">
                  <wp:posOffset>660400</wp:posOffset>
                </wp:positionV>
                <wp:extent cx="1781175" cy="314325"/>
                <wp:effectExtent l="6350" t="6350" r="22225" b="22225"/>
                <wp:wrapNone/>
                <wp:docPr id="86" name="矩形 86"/>
                <wp:cNvGraphicFramePr/>
                <a:graphic xmlns:a="http://schemas.openxmlformats.org/drawingml/2006/main">
                  <a:graphicData uri="http://schemas.microsoft.com/office/word/2010/wordprocessingShape">
                    <wps:wsp>
                      <wps:cNvSpPr/>
                      <wps:spPr>
                        <a:xfrm>
                          <a:off x="0" y="0"/>
                          <a:ext cx="178117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5pt;margin-top:52pt;height:24.75pt;width:140.25pt;z-index:251709440;v-text-anchor:middle;mso-width-relative:page;mso-height-relative:page;" fillcolor="#FFFFFF [3212]" filled="t" stroked="t" coordsize="21600,21600" o:gfxdata="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EYTMtYAAAALAQAADwAAAAAAAAABACAAAAAiAAAAZHJzL2Rvd25yZXYueG1s&#10;UEsBAhQAFAAAAAgAh07iQAJ9qO5sAgAA9gQAAA4AAAAAAAAAAQAgAAAAJQEAAGRycy9lMm9Eb2Mu&#10;eG1sUEsFBgAAAAAGAAYAWQEAAAM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1168400</wp:posOffset>
                </wp:positionH>
                <wp:positionV relativeFrom="paragraph">
                  <wp:posOffset>669925</wp:posOffset>
                </wp:positionV>
                <wp:extent cx="648970" cy="314325"/>
                <wp:effectExtent l="6350" t="6350" r="11430" b="22225"/>
                <wp:wrapNone/>
                <wp:docPr id="85" name="矩形 85"/>
                <wp:cNvGraphicFramePr/>
                <a:graphic xmlns:a="http://schemas.openxmlformats.org/drawingml/2006/main">
                  <a:graphicData uri="http://schemas.microsoft.com/office/word/2010/wordprocessingShape">
                    <wps:wsp>
                      <wps:cNvSpPr/>
                      <wps:spPr>
                        <a:xfrm>
                          <a:off x="0" y="0"/>
                          <a:ext cx="64897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52.75pt;height:24.75pt;width:51.1pt;z-index:251708416;v-text-anchor:middle;mso-width-relative:page;mso-height-relative:page;" fillcolor="#FFFFFF [3212]" filled="t" stroked="t" coordsize="21600,21600" o:gfxdata="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wSB1HYAAAACwEAAA8AAAAAAAAAAQAgAAAAIgAAAGRycy9kb3ducmV2Lnht&#10;bFBLAQIUABQAAAAIAIdO4kCvOoI4awIAAPUEAAAOAAAAAAAAAAEAIAAAACcBAABkcnMvZTJvRG9j&#10;LnhtbFBLBQYAAAAABgAGAFkBAAAEBgAAAAA=&#10;">
                <v:fill on="t" focussize="0,0"/>
                <v:stroke weight="1pt" color="#FFFFFF [3212]" miterlimit="8" joinstyle="miter"/>
                <v:imagedata o:title=""/>
                <o:lock v:ext="edit" aspectratio="f"/>
              </v:rect>
            </w:pict>
          </mc:Fallback>
        </mc:AlternateContent>
      </w:r>
      <w:r>
        <w:drawing>
          <wp:anchor distT="0" distB="0" distL="114300" distR="114300" simplePos="0" relativeHeight="251682816" behindDoc="0" locked="0" layoutInCell="1" allowOverlap="1">
            <wp:simplePos x="0" y="0"/>
            <wp:positionH relativeFrom="column">
              <wp:posOffset>-892810</wp:posOffset>
            </wp:positionH>
            <wp:positionV relativeFrom="paragraph">
              <wp:posOffset>-988695</wp:posOffset>
            </wp:positionV>
            <wp:extent cx="7548880" cy="10672445"/>
            <wp:effectExtent l="0" t="0" r="13970" b="14605"/>
            <wp:wrapNone/>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
                    <pic:cNvPicPr>
                      <a:picLocks noChangeAspect="1"/>
                    </pic:cNvPicPr>
                  </pic:nvPicPr>
                  <pic:blipFill>
                    <a:blip r:embed="rId14"/>
                    <a:stretch>
                      <a:fillRect/>
                    </a:stretch>
                  </pic:blipFill>
                  <pic:spPr>
                    <a:xfrm>
                      <a:off x="0" y="0"/>
                      <a:ext cx="7548880" cy="10672445"/>
                    </a:xfrm>
                    <a:prstGeom prst="rect">
                      <a:avLst/>
                    </a:prstGeom>
                    <a:noFill/>
                    <a:ln>
                      <a:noFill/>
                    </a:ln>
                  </pic:spPr>
                </pic:pic>
              </a:graphicData>
            </a:graphic>
          </wp:anchor>
        </w:drawing>
      </w:r>
      <w:r>
        <w:rPr>
          <w:rFonts w:hint="eastAsia"/>
        </w:rPr>
        <w:br w:type="page"/>
      </w:r>
    </w:p>
    <w:p w14:paraId="7C6A0613">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2178050</wp:posOffset>
                </wp:positionH>
                <wp:positionV relativeFrom="paragraph">
                  <wp:posOffset>6223000</wp:posOffset>
                </wp:positionV>
                <wp:extent cx="3534410" cy="657225"/>
                <wp:effectExtent l="6350" t="6350" r="21590" b="22225"/>
                <wp:wrapNone/>
                <wp:docPr id="94" name="矩形 94"/>
                <wp:cNvGraphicFramePr/>
                <a:graphic xmlns:a="http://schemas.openxmlformats.org/drawingml/2006/main">
                  <a:graphicData uri="http://schemas.microsoft.com/office/word/2010/wordprocessingShape">
                    <wps:wsp>
                      <wps:cNvSpPr/>
                      <wps:spPr>
                        <a:xfrm>
                          <a:off x="0" y="0"/>
                          <a:ext cx="3534410" cy="6572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5pt;margin-top:490pt;height:51.75pt;width:278.3pt;z-index:251715584;v-text-anchor:middle;mso-width-relative:page;mso-height-relative:page;" fillcolor="#FFFFFF [3212]" filled="t" stroked="t" coordsize="21600,21600" o:gfxdata="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EKFzdoAAAAMAQAADwAAAAAAAAABACAAAAAiAAAAZHJzL2Rvd25yZXYu&#10;eG1sUEsBAhQAFAAAAAgAh07iQNFcpjlrAgAA9gQAAA4AAAAAAAAAAQAgAAAAKQ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2339975</wp:posOffset>
                </wp:positionH>
                <wp:positionV relativeFrom="paragraph">
                  <wp:posOffset>1498600</wp:posOffset>
                </wp:positionV>
                <wp:extent cx="1762760" cy="314325"/>
                <wp:effectExtent l="6350" t="6350" r="21590" b="22225"/>
                <wp:wrapNone/>
                <wp:docPr id="92" name="矩形 92"/>
                <wp:cNvGraphicFramePr/>
                <a:graphic xmlns:a="http://schemas.openxmlformats.org/drawingml/2006/main">
                  <a:graphicData uri="http://schemas.microsoft.com/office/word/2010/wordprocessingShape">
                    <wps:wsp>
                      <wps:cNvSpPr/>
                      <wps:spPr>
                        <a:xfrm>
                          <a:off x="0" y="0"/>
                          <a:ext cx="1762760"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25pt;margin-top:118pt;height:24.75pt;width:138.8pt;z-index:251714560;v-text-anchor:middle;mso-width-relative:page;mso-height-relative:page;" fillcolor="#FFFFFF [3212]" filled="t" stroked="t" coordsize="21600,21600" o:gfxdata="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LpG8tkAAAALAQAADwAAAAAAAAABACAAAAAiAAAAZHJzL2Rvd25yZXYu&#10;eG1sUEsBAhQAFAAAAAgAh07iQPQXOY5sAgAA9gQAAA4AAAAAAAAAAQAgAAAAKA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3302000</wp:posOffset>
                </wp:positionH>
                <wp:positionV relativeFrom="paragraph">
                  <wp:posOffset>708025</wp:posOffset>
                </wp:positionV>
                <wp:extent cx="1829435" cy="314325"/>
                <wp:effectExtent l="6350" t="6350" r="12065" b="22225"/>
                <wp:wrapNone/>
                <wp:docPr id="91" name="矩形 91"/>
                <wp:cNvGraphicFramePr/>
                <a:graphic xmlns:a="http://schemas.openxmlformats.org/drawingml/2006/main">
                  <a:graphicData uri="http://schemas.microsoft.com/office/word/2010/wordprocessingShape">
                    <wps:wsp>
                      <wps:cNvSpPr/>
                      <wps:spPr>
                        <a:xfrm>
                          <a:off x="0" y="0"/>
                          <a:ext cx="182943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pt;margin-top:55.75pt;height:24.75pt;width:144.05pt;z-index:251713536;v-text-anchor:middle;mso-width-relative:page;mso-height-relative:page;" fillcolor="#FFFFFF [3212]" filled="t" stroked="t" coordsize="21600,21600" o:gfxdata="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DLTfdYAAAALAQAADwAAAAAAAAABACAAAAAiAAAAZHJzL2Rvd25yZXYueG1s&#10;UEsBAhQAFAAAAAgAh07iQPu/3CNsAgAA9gQAAA4AAAAAAAAAAQAgAAAAJQEAAGRycy9lMm9Eb2Mu&#10;eG1sUEsFBgAAAAAGAAYAWQEAAAM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1120775</wp:posOffset>
                </wp:positionH>
                <wp:positionV relativeFrom="paragraph">
                  <wp:posOffset>679450</wp:posOffset>
                </wp:positionV>
                <wp:extent cx="838835" cy="314325"/>
                <wp:effectExtent l="6350" t="6350" r="12065" b="22225"/>
                <wp:wrapNone/>
                <wp:docPr id="90" name="矩形 90"/>
                <wp:cNvGraphicFramePr/>
                <a:graphic xmlns:a="http://schemas.openxmlformats.org/drawingml/2006/main">
                  <a:graphicData uri="http://schemas.microsoft.com/office/word/2010/wordprocessingShape">
                    <wps:wsp>
                      <wps:cNvSpPr/>
                      <wps:spPr>
                        <a:xfrm>
                          <a:off x="0" y="0"/>
                          <a:ext cx="838835" cy="3143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25pt;margin-top:53.5pt;height:24.75pt;width:66.05pt;z-index:251712512;v-text-anchor:middle;mso-width-relative:page;mso-height-relative:page;" fillcolor="#FFFFFF [3212]" filled="t" stroked="t" coordsize="21600,21600" o:gfxdata="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epvu1QAAAAsBAAAPAAAAAAAAAAEAIAAAACIAAABkcnMvZG93bnJldi54bWxQ&#10;SwECFAAUAAAACACHTuJAY3rQcmwCAAD1BAAADgAAAAAAAAABACAAAAAkAQAAZHJzL2Uyb0RvYy54&#10;bWxQSwUGAAAAAAYABgBZAQAAAgYAAAAA&#10;">
                <v:fill on="t" focussize="0,0"/>
                <v:stroke weight="1pt" color="#FFFFFF [3212]" miterlimit="8" joinstyle="miter"/>
                <v:imagedata o:title=""/>
                <o:lock v:ext="edit" aspectratio="f"/>
              </v:rect>
            </w:pict>
          </mc:Fallback>
        </mc:AlternateContent>
      </w:r>
      <w:r>
        <w:drawing>
          <wp:anchor distT="0" distB="0" distL="114300" distR="114300" simplePos="0" relativeHeight="251683840" behindDoc="0" locked="0" layoutInCell="1" allowOverlap="1">
            <wp:simplePos x="0" y="0"/>
            <wp:positionH relativeFrom="column">
              <wp:posOffset>-904875</wp:posOffset>
            </wp:positionH>
            <wp:positionV relativeFrom="paragraph">
              <wp:posOffset>-992505</wp:posOffset>
            </wp:positionV>
            <wp:extent cx="7538720" cy="10644505"/>
            <wp:effectExtent l="0" t="0" r="5080" b="4445"/>
            <wp:wrapNone/>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15"/>
                    <a:stretch>
                      <a:fillRect/>
                    </a:stretch>
                  </pic:blipFill>
                  <pic:spPr>
                    <a:xfrm>
                      <a:off x="0" y="0"/>
                      <a:ext cx="7538720" cy="10644505"/>
                    </a:xfrm>
                    <a:prstGeom prst="rect">
                      <a:avLst/>
                    </a:prstGeom>
                    <a:noFill/>
                    <a:ln>
                      <a:noFill/>
                    </a:ln>
                  </pic:spPr>
                </pic:pic>
              </a:graphicData>
            </a:graphic>
          </wp:anchor>
        </w:drawing>
      </w:r>
      <w:r>
        <w:rPr>
          <w:rFonts w:hint="eastAsia"/>
        </w:rPr>
        <w:br w:type="page"/>
      </w:r>
    </w:p>
    <w:sdt>
      <w:sdtPr>
        <w:rPr>
          <w:rFonts w:ascii="宋体" w:hAnsi="宋体" w:eastAsia="宋体" w:cs="Times New Roman"/>
          <w:kern w:val="2"/>
          <w:sz w:val="21"/>
          <w:szCs w:val="24"/>
          <w:lang w:val="en-US" w:eastAsia="zh-CN" w:bidi="ar-SA"/>
        </w:rPr>
        <w:id w:val="147462207"/>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2BD7DDB9">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目</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rPr>
            <w:t>录</w:t>
          </w:r>
        </w:p>
        <w:p w14:paraId="010EA5D0">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fldChar w:fldCharType="begin"/>
          </w:r>
          <w:r>
            <w:instrText xml:space="preserve">TOC \o "1-3" \h \u </w:instrText>
          </w:r>
          <w: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_Toc21450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_Toc21450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49E111C">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_Toc28315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highlight w:val="none"/>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_Toc28315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FD46D4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_Toc26578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2.1 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_Toc26578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D7C0B39">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_Toc16221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2.2工程概况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5A9B3D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_Toc20122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2.2.1 企业基本情况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_Toc20122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B937EE4">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2.2.2 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AAE608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_Toc9333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2.2.3 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197166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_Toc14678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2.2.4 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_Toc14678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18BD9B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_Toc12101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2.2.5 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_Toc12101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708E6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_Toc22642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2.2.6 项目主要原辅材料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_Toc22642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6E89607">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2.2.7项目水平衡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FCDCC4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2.2.8项目平面布置合理性分析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9386C8B">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_Toc29887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2.3项目生产工艺流程及产污环节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_Toc29887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E55267">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_Toc7087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2.3.1项目工艺流程及工艺介绍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_Toc7087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EA290B7">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_Toc24949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2.3.2产污环节分析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_Toc24949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4A94B0E">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_Toc15761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_Toc15761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E72D37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3.1大气环境质量现状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EAD7661">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3.1.1环境空气质量功能区划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9713713">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3.1.2环境空气质量现状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8CFD62A">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_Toc31830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CC79ED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_Toc21988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3.2.1地表水功能区划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50300B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_Toc7544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3.2.2地表水环境质量现状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_Toc7544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CF8E88E">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_Toc28916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_Toc28916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3A7390D">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_Toc17156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3.3.1声环境质量标准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_Toc17156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EF5956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_Toc17846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3.3.2声环境质量现状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_Toc17846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5E4F2B">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_Toc30638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3.4生态环境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_Toc30638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BE127E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3.5土壤、地下水环境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7BCEC8C">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_Toc15022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0C0020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_Toc24686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3.7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_Toc24686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A29FF0">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_Toc15270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3.7.1 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8922BEA">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_Toc12681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3.7.2 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_Toc12681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DD768F6">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_Toc12906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3.7.3噪声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BFF820A">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3.7.4固废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D2CF7D5">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_Toc6733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3.8总量控制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04C4FEB">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_Toc9316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3.8.1废水总量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_Toc9316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299EF7">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_Toc5288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3.8.2废气总量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AE359C1">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_Toc20406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CA27F6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_Toc5290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.1大气环境影响分析和污染防治措施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4385EB">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_Toc22111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rPr>
            <w:t>4.1.1 运营期废气源强核算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F544A8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_Toc18114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4.1.2 废气产排情况一览表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D2DADC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_Toc24457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4.1.3运营期大气污染防治措施合理性分析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_Toc24457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77F1B25">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_Toc30738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4.1.4非正常工况排放量核算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27E232A">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_Toc25547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4.2水环境影响分析和污染防治措施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2197259">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_Toc9940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4.2.1运营期废水源强分析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FCB7AD8">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_Toc6285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4.2.2运营期水环境影响及污染防治措施可行性分析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_Toc6285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F22445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_Toc27291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4.3噪声环境影响分析和污染防治措施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89C6C7A">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_Toc14260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4.3.1噪声源强分析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_Toc14260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33AEA5D">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4.3.2声环境影响分析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_Toc7117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6E39CFB">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_Toc3522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4.3.3</w:t>
          </w:r>
          <w:r>
            <w:rPr>
              <w:rFonts w:hint="default" w:ascii="Times New Roman" w:hAnsi="Times New Roman" w:eastAsia="宋体" w:cs="Times New Roman"/>
              <w:kern w:val="0"/>
              <w:sz w:val="24"/>
              <w:szCs w:val="24"/>
              <w:lang w:val="zh-CN" w:eastAsia="zh-CN"/>
            </w:rPr>
            <w:t>噪声污染控制措施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B9790D8">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4.4固体废物环境影响分析和污染防治措施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_Toc7123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FB4101E">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_Toc18882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4.4.1 固体废物</w:t>
          </w:r>
          <w:r>
            <w:rPr>
              <w:rFonts w:hint="default" w:ascii="Times New Roman" w:hAnsi="Times New Roman" w:eastAsia="宋体" w:cs="Times New Roman"/>
              <w:kern w:val="0"/>
              <w:sz w:val="24"/>
              <w:szCs w:val="24"/>
              <w:lang w:val="en-US" w:eastAsia="zh-CN"/>
            </w:rPr>
            <w:t>污染源</w:t>
          </w:r>
          <w:r>
            <w:rPr>
              <w:rFonts w:hint="default" w:ascii="Times New Roman" w:hAnsi="Times New Roman" w:eastAsia="宋体" w:cs="Times New Roman"/>
              <w:kern w:val="0"/>
              <w:sz w:val="24"/>
              <w:szCs w:val="24"/>
              <w:lang w:val="zh-CN" w:eastAsia="zh-CN"/>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_Toc18882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E14AC6E">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_Toc27590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4.4.2固废管理要求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3A94FF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_Toc9650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4.4.3危险废物管理要求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4424A9">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4.5地下水、土壤环境影响和保护措施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5D31A1">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_Toc29533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4.5.1 地下水、土壤环境影响分析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22FF1E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4.5.2 地下水、土壤环境防控措施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_Toc19603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CBDA4C">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_Toc14512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kern w:val="0"/>
              <w:sz w:val="24"/>
              <w:szCs w:val="24"/>
            </w:rPr>
            <w:t>4.6环境风险分析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_Toc14512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92656B2">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_Toc10699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4.6.1项目危险物质调查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A4B5B0">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_Toc8212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4.6.2 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_Toc8212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910EBBB">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_Toc25240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4.6.3 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C89ABF5">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_Toc25694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4.7自行监测计划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_Toc25694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72A68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_Toc5834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4.8环保投资估算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5FB977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_Toc23872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319E1C2">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CD252B4">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_Toc14450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_Toc14450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333A72D">
          <w:pPr>
            <w:pStyle w:val="18"/>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553860">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_Toc3300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附图一：项目地理位置图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_Toc3300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726A57B">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附图二：规划示意图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49D847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附图三：项目周边环境现状示意图及环境保护目标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FA965C3">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附图四：项目周边环境现状照片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26FEB39">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_Toc20670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附图五：均和云谷·福清科技港平面布置图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02B4D6B">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_Toc12380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园区平面截图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BFE776B">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_Toc29511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附图六：项目平面布置图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AD75E8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_Toc31527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附图七：福建省生态环境分区管控数据应用平台查询结果截图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_Toc31527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EA96292">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_Toc20433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附件一：项目委托书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F809F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_Toc12898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附件二：营业执照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E91ADC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_Toc14513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附件三：法人身份信息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_Toc14513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3B361B">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_Toc27829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附件四：授权委托书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_Toc27829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2282232">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附件五：授委托人身份证复印件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550971F">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_Toc9078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附件六：项目发改备案表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5549EA">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附件七：厂房购置合同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B19F9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_Toc21285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附件八：不动产登记信息查询结果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_Toc21285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B354F3A">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附件九：入园申请手续函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927E20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_Toc7405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附件十：化粪池依托协议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C474234">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_Toc5062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附件十一：接管证明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AB7B050">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_Toc22781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附件十二：公开说明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885DA67">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_Toc8498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附件十三：关于环评文件公开文本删除的涉及国家秘密、商业秘密等内容的删除依据和理由说明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_Toc8498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91359F1">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附件十四：环评审批申请报告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436B18">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_Toc26772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附件十五：申请环评批复报告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_Toc26772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0C1A47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_Toc10329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附件十六：总量承诺函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691527E">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_Toc8972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附件十七：福州闽侯振兴炜业机械有限公司环境现状监测报告（TSP）</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_Toc8972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1AA3B82">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附件十八：原辅材料MSDS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787CFC">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_Toc16865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（1）铝锭成分报告表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_Toc16865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C58BC3F">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_Toc4320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（2）压铸脱模剂MSDS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A180497">
          <w:pPr>
            <w:pStyle w:val="14"/>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（3）水性微乳冷却液（切削液）MSDS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078ADD">
          <w:pPr>
            <w:pStyle w:val="20"/>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附件十九：福建省生态环境分区管控综合查询报告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r>
            <w:fldChar w:fldCharType="end"/>
          </w:r>
        </w:p>
      </w:sdtContent>
    </w:sdt>
    <w:p w14:paraId="4115A900"/>
    <w:p w14:paraId="5805577C">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p>
    <w:p w14:paraId="1D12498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9" w:name="_Toc21450"/>
      <w:r>
        <w:rPr>
          <w:rFonts w:hint="default" w:ascii="Times New Roman" w:hAnsi="Times New Roman" w:eastAsia="黑体" w:cs="Times New Roman"/>
          <w:snapToGrid w:val="0"/>
          <w:color w:val="auto"/>
          <w:sz w:val="30"/>
          <w:szCs w:val="30"/>
          <w:u w:val="none"/>
          <w:lang w:val="en-US" w:eastAsia="zh-CN"/>
        </w:rPr>
        <w:t>一、建设项目基本情况</w:t>
      </w:r>
      <w:bookmarkEnd w:id="9"/>
    </w:p>
    <w:tbl>
      <w:tblPr>
        <w:tblStyle w:val="23"/>
        <w:tblW w:w="497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17"/>
        <w:gridCol w:w="1133"/>
        <w:gridCol w:w="2254"/>
        <w:gridCol w:w="1568"/>
        <w:gridCol w:w="321"/>
        <w:gridCol w:w="3067"/>
      </w:tblGrid>
      <w:tr w14:paraId="1F14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048" w:type="pct"/>
            <w:gridSpan w:val="2"/>
            <w:noWrap w:val="0"/>
            <w:tcMar>
              <w:top w:w="16" w:type="dxa"/>
              <w:left w:w="16" w:type="dxa"/>
              <w:right w:w="16" w:type="dxa"/>
            </w:tcMar>
            <w:vAlign w:val="center"/>
          </w:tcPr>
          <w:p w14:paraId="3C9BC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3951" w:type="pct"/>
            <w:gridSpan w:val="4"/>
            <w:noWrap w:val="0"/>
            <w:vAlign w:val="center"/>
          </w:tcPr>
          <w:p w14:paraId="61FBC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福建瑞昌新能源科技开发有限公司年加工五金配件300万个项目</w:t>
            </w:r>
          </w:p>
        </w:tc>
      </w:tr>
      <w:tr w14:paraId="0870D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048" w:type="pct"/>
            <w:gridSpan w:val="2"/>
            <w:noWrap w:val="0"/>
            <w:tcMar>
              <w:top w:w="16" w:type="dxa"/>
              <w:left w:w="16" w:type="dxa"/>
              <w:right w:w="16" w:type="dxa"/>
            </w:tcMar>
            <w:vAlign w:val="center"/>
          </w:tcPr>
          <w:p w14:paraId="3D21222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3951" w:type="pct"/>
            <w:gridSpan w:val="4"/>
            <w:noWrap w:val="0"/>
            <w:vAlign w:val="center"/>
          </w:tcPr>
          <w:p w14:paraId="33ED6F2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2510-350181-04-01-990995</w:t>
            </w:r>
          </w:p>
        </w:tc>
      </w:tr>
      <w:tr w14:paraId="1A6BD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1048" w:type="pct"/>
            <w:gridSpan w:val="2"/>
            <w:noWrap w:val="0"/>
            <w:tcMar>
              <w:top w:w="16" w:type="dxa"/>
              <w:left w:w="16" w:type="dxa"/>
              <w:right w:w="16" w:type="dxa"/>
            </w:tcMar>
            <w:vAlign w:val="center"/>
          </w:tcPr>
          <w:p w14:paraId="6F1F38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235" w:type="pct"/>
            <w:noWrap w:val="0"/>
            <w:vAlign w:val="center"/>
          </w:tcPr>
          <w:p w14:paraId="1265F9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035" w:type="pct"/>
            <w:gridSpan w:val="2"/>
            <w:noWrap w:val="0"/>
            <w:vAlign w:val="center"/>
          </w:tcPr>
          <w:p w14:paraId="261D58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680" w:type="pct"/>
            <w:noWrap w:val="0"/>
            <w:vAlign w:val="center"/>
          </w:tcPr>
          <w:p w14:paraId="1CFE886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1******42</w:t>
            </w:r>
          </w:p>
        </w:tc>
      </w:tr>
      <w:tr w14:paraId="36CCB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048" w:type="pct"/>
            <w:gridSpan w:val="2"/>
            <w:noWrap w:val="0"/>
            <w:tcMar>
              <w:top w:w="16" w:type="dxa"/>
              <w:left w:w="16" w:type="dxa"/>
              <w:right w:w="16" w:type="dxa"/>
            </w:tcMar>
            <w:vAlign w:val="center"/>
          </w:tcPr>
          <w:p w14:paraId="7CF2E4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3951" w:type="pct"/>
            <w:gridSpan w:val="4"/>
            <w:noWrap w:val="0"/>
            <w:vAlign w:val="center"/>
          </w:tcPr>
          <w:p w14:paraId="51479F0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auto"/>
                <w:sz w:val="24"/>
                <w:szCs w:val="24"/>
                <w:highlight w:val="none"/>
                <w:lang w:eastAsia="zh-CN"/>
              </w:rPr>
              <w:t>福清融侨经济技术开发区（均和云谷·福清科技港33#厂房）</w:t>
            </w:r>
          </w:p>
        </w:tc>
      </w:tr>
      <w:tr w14:paraId="6E80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1048" w:type="pct"/>
            <w:gridSpan w:val="2"/>
            <w:noWrap w:val="0"/>
            <w:tcMar>
              <w:top w:w="16" w:type="dxa"/>
              <w:left w:w="16" w:type="dxa"/>
              <w:right w:w="16" w:type="dxa"/>
            </w:tcMar>
            <w:vAlign w:val="center"/>
          </w:tcPr>
          <w:p w14:paraId="5E7A2C6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3951" w:type="pct"/>
            <w:gridSpan w:val="4"/>
            <w:noWrap w:val="0"/>
            <w:vAlign w:val="center"/>
          </w:tcPr>
          <w:p w14:paraId="1E8622D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eastAsia="zh-CN"/>
              </w:rPr>
            </w:pPr>
            <w:r>
              <w:rPr>
                <w:color w:val="auto"/>
                <w:sz w:val="24"/>
                <w:highlight w:val="none"/>
              </w:rPr>
              <w:t>（</w:t>
            </w:r>
            <w:r>
              <w:rPr>
                <w:color w:val="auto"/>
                <w:sz w:val="24"/>
                <w:highlight w:val="none"/>
                <w:u w:val="single"/>
              </w:rPr>
              <w:t xml:space="preserve">  </w:t>
            </w:r>
            <w:r>
              <w:rPr>
                <w:rFonts w:hint="eastAsia"/>
                <w:color w:val="auto"/>
                <w:sz w:val="24"/>
                <w:highlight w:val="none"/>
                <w:u w:val="single"/>
                <w:lang w:val="en-US" w:eastAsia="zh-CN"/>
              </w:rPr>
              <w:t>199</w:t>
            </w:r>
            <w:r>
              <w:rPr>
                <w:color w:val="auto"/>
                <w:sz w:val="24"/>
                <w:highlight w:val="none"/>
                <w:u w:val="single"/>
              </w:rPr>
              <w:t xml:space="preserve">  </w:t>
            </w:r>
            <w:r>
              <w:rPr>
                <w:color w:val="auto"/>
                <w:sz w:val="24"/>
                <w:highlight w:val="none"/>
              </w:rPr>
              <w:t>度</w:t>
            </w:r>
            <w:r>
              <w:rPr>
                <w:color w:val="auto"/>
                <w:sz w:val="24"/>
                <w:highlight w:val="none"/>
                <w:u w:val="single"/>
              </w:rPr>
              <w:t xml:space="preserve"> </w:t>
            </w:r>
            <w:r>
              <w:rPr>
                <w:rFonts w:hint="eastAsia"/>
                <w:color w:val="auto"/>
                <w:sz w:val="24"/>
                <w:highlight w:val="none"/>
                <w:u w:val="single"/>
                <w:lang w:val="en-US" w:eastAsia="zh-CN"/>
              </w:rPr>
              <w:t>26</w:t>
            </w:r>
            <w:r>
              <w:rPr>
                <w:color w:val="auto"/>
                <w:sz w:val="24"/>
                <w:highlight w:val="none"/>
                <w:u w:val="single"/>
              </w:rPr>
              <w:t xml:space="preserve"> </w:t>
            </w:r>
            <w:r>
              <w:rPr>
                <w:color w:val="auto"/>
                <w:sz w:val="24"/>
                <w:highlight w:val="none"/>
              </w:rPr>
              <w:t>分</w:t>
            </w:r>
            <w:r>
              <w:rPr>
                <w:color w:val="auto"/>
                <w:sz w:val="24"/>
                <w:highlight w:val="none"/>
                <w:u w:val="single"/>
              </w:rPr>
              <w:t xml:space="preserve"> </w:t>
            </w:r>
            <w:r>
              <w:rPr>
                <w:rFonts w:hint="eastAsia"/>
                <w:color w:val="auto"/>
                <w:sz w:val="24"/>
                <w:highlight w:val="none"/>
                <w:u w:val="single"/>
                <w:lang w:val="en-US" w:eastAsia="zh-CN"/>
              </w:rPr>
              <w:t>3.276</w:t>
            </w:r>
            <w:r>
              <w:rPr>
                <w:color w:val="auto"/>
                <w:sz w:val="24"/>
                <w:highlight w:val="none"/>
                <w:u w:val="single"/>
              </w:rPr>
              <w:t xml:space="preserve"> </w:t>
            </w:r>
            <w:r>
              <w:rPr>
                <w:color w:val="auto"/>
                <w:sz w:val="24"/>
                <w:highlight w:val="none"/>
              </w:rPr>
              <w:t>秒，</w:t>
            </w:r>
            <w:r>
              <w:rPr>
                <w:color w:val="auto"/>
                <w:sz w:val="24"/>
                <w:highlight w:val="none"/>
                <w:u w:val="single"/>
              </w:rPr>
              <w:t xml:space="preserve"> 2</w:t>
            </w:r>
            <w:r>
              <w:rPr>
                <w:rFonts w:hint="eastAsia"/>
                <w:color w:val="auto"/>
                <w:sz w:val="24"/>
                <w:highlight w:val="none"/>
                <w:u w:val="single"/>
              </w:rPr>
              <w:t>5</w:t>
            </w:r>
            <w:r>
              <w:rPr>
                <w:color w:val="auto"/>
                <w:sz w:val="24"/>
                <w:highlight w:val="none"/>
                <w:u w:val="single"/>
              </w:rPr>
              <w:t xml:space="preserve"> </w:t>
            </w:r>
            <w:r>
              <w:rPr>
                <w:color w:val="auto"/>
                <w:sz w:val="24"/>
                <w:highlight w:val="none"/>
              </w:rPr>
              <w:t>度</w:t>
            </w:r>
            <w:r>
              <w:rPr>
                <w:color w:val="auto"/>
                <w:sz w:val="24"/>
                <w:highlight w:val="none"/>
                <w:u w:val="single"/>
              </w:rPr>
              <w:t xml:space="preserve"> </w:t>
            </w:r>
            <w:r>
              <w:rPr>
                <w:rFonts w:hint="eastAsia"/>
                <w:color w:val="auto"/>
                <w:sz w:val="24"/>
                <w:highlight w:val="none"/>
                <w:u w:val="single"/>
                <w:lang w:val="en-US" w:eastAsia="zh-CN"/>
              </w:rPr>
              <w:t>45</w:t>
            </w:r>
            <w:r>
              <w:rPr>
                <w:color w:val="auto"/>
                <w:sz w:val="24"/>
                <w:highlight w:val="none"/>
                <w:u w:val="single"/>
              </w:rPr>
              <w:t xml:space="preserve"> </w:t>
            </w:r>
            <w:r>
              <w:rPr>
                <w:color w:val="auto"/>
                <w:sz w:val="24"/>
                <w:highlight w:val="none"/>
              </w:rPr>
              <w:t>分</w:t>
            </w:r>
            <w:r>
              <w:rPr>
                <w:color w:val="auto"/>
                <w:sz w:val="24"/>
                <w:highlight w:val="none"/>
                <w:u w:val="single"/>
              </w:rPr>
              <w:t xml:space="preserve"> </w:t>
            </w:r>
            <w:r>
              <w:rPr>
                <w:rFonts w:hint="eastAsia"/>
                <w:color w:val="auto"/>
                <w:sz w:val="24"/>
                <w:highlight w:val="none"/>
                <w:u w:val="single"/>
                <w:lang w:val="en-US" w:eastAsia="zh-CN"/>
              </w:rPr>
              <w:t>53.108</w:t>
            </w:r>
            <w:r>
              <w:rPr>
                <w:color w:val="auto"/>
                <w:sz w:val="24"/>
                <w:highlight w:val="none"/>
                <w:u w:val="single"/>
              </w:rPr>
              <w:t xml:space="preserve"> </w:t>
            </w:r>
            <w:r>
              <w:rPr>
                <w:color w:val="auto"/>
                <w:sz w:val="24"/>
                <w:highlight w:val="none"/>
              </w:rPr>
              <w:t>秒）</w:t>
            </w:r>
          </w:p>
          <w:p w14:paraId="10CE87D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地理位置图详见</w:t>
            </w:r>
            <w:r>
              <w:rPr>
                <w:rFonts w:hint="default" w:ascii="Times New Roman" w:hAnsi="Times New Roman" w:eastAsia="宋体" w:cs="Times New Roman"/>
                <w:b/>
                <w:bCs/>
                <w:color w:val="auto"/>
                <w:sz w:val="24"/>
                <w:szCs w:val="24"/>
                <w:highlight w:val="none"/>
                <w:u w:val="none"/>
                <w:lang w:eastAsia="zh-CN"/>
              </w:rPr>
              <w:t>附图</w:t>
            </w:r>
            <w:r>
              <w:rPr>
                <w:rFonts w:hint="eastAsia" w:cs="Times New Roman"/>
                <w:b/>
                <w:bCs/>
                <w:color w:val="auto"/>
                <w:sz w:val="24"/>
                <w:szCs w:val="24"/>
                <w:highlight w:val="none"/>
                <w:u w:val="none"/>
                <w:lang w:val="en-US" w:eastAsia="zh-CN"/>
              </w:rPr>
              <w:t>一</w:t>
            </w:r>
          </w:p>
        </w:tc>
      </w:tr>
      <w:tr w14:paraId="1F9B1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7" w:hRule="atLeast"/>
          <w:jc w:val="center"/>
        </w:trPr>
        <w:tc>
          <w:tcPr>
            <w:tcW w:w="1048" w:type="pct"/>
            <w:gridSpan w:val="2"/>
            <w:noWrap w:val="0"/>
            <w:tcMar>
              <w:top w:w="16" w:type="dxa"/>
              <w:left w:w="16" w:type="dxa"/>
              <w:right w:w="16" w:type="dxa"/>
            </w:tcMar>
            <w:vAlign w:val="center"/>
          </w:tcPr>
          <w:p w14:paraId="7442398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50107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235" w:type="pct"/>
            <w:noWrap w:val="0"/>
            <w:vAlign w:val="center"/>
          </w:tcPr>
          <w:p w14:paraId="5BFD1D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rPr>
            </w:pPr>
            <w:r>
              <w:rPr>
                <w:rFonts w:hint="eastAsia" w:ascii="Times New Roman" w:hAnsi="Times New Roman" w:eastAsia="宋体" w:cs="Times New Roman"/>
                <w:color w:val="auto"/>
                <w:sz w:val="24"/>
                <w:szCs w:val="24"/>
                <w:u w:val="none"/>
                <w:lang w:eastAsia="zh-CN"/>
              </w:rPr>
              <w:t>C</w:t>
            </w:r>
            <w:r>
              <w:rPr>
                <w:rFonts w:hint="eastAsia" w:ascii="Times New Roman" w:hAnsi="Times New Roman" w:eastAsia="宋体" w:cs="Times New Roman"/>
                <w:color w:val="auto"/>
                <w:sz w:val="24"/>
                <w:szCs w:val="24"/>
                <w:u w:val="none"/>
                <w:lang w:val="en-US" w:eastAsia="zh-CN"/>
              </w:rPr>
              <w:t xml:space="preserve">3392 </w:t>
            </w:r>
            <w:r>
              <w:rPr>
                <w:rFonts w:hint="eastAsia" w:ascii="Times New Roman" w:hAnsi="Times New Roman" w:eastAsia="宋体" w:cs="Times New Roman"/>
                <w:color w:val="auto"/>
                <w:sz w:val="24"/>
                <w:szCs w:val="24"/>
                <w:u w:val="none"/>
                <w:lang w:eastAsia="zh-CN"/>
              </w:rPr>
              <w:t>有色金属铸造</w:t>
            </w:r>
          </w:p>
        </w:tc>
        <w:tc>
          <w:tcPr>
            <w:tcW w:w="859" w:type="pct"/>
            <w:noWrap w:val="0"/>
            <w:vAlign w:val="center"/>
          </w:tcPr>
          <w:p w14:paraId="5AC88F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建设项目</w:t>
            </w:r>
          </w:p>
          <w:p w14:paraId="02030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行业类别</w:t>
            </w:r>
          </w:p>
        </w:tc>
        <w:tc>
          <w:tcPr>
            <w:tcW w:w="1856" w:type="pct"/>
            <w:gridSpan w:val="2"/>
            <w:noWrap w:val="0"/>
            <w:vAlign w:val="center"/>
          </w:tcPr>
          <w:p w14:paraId="23C5EFA0">
            <w:pPr>
              <w:keepNext w:val="0"/>
              <w:keepLines w:val="0"/>
              <w:widowControl/>
              <w:suppressLineNumbers w:val="0"/>
              <w:jc w:val="left"/>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u w:val="none"/>
                <w:lang w:eastAsia="zh-CN"/>
              </w:rPr>
              <w:t>三十、金属</w:t>
            </w:r>
            <w:r>
              <w:rPr>
                <w:rFonts w:hint="eastAsia" w:cs="Times New Roman"/>
                <w:color w:val="auto"/>
                <w:sz w:val="24"/>
                <w:szCs w:val="24"/>
                <w:u w:val="none"/>
                <w:lang w:val="en-US" w:eastAsia="zh-CN"/>
              </w:rPr>
              <w:t>制品</w:t>
            </w:r>
            <w:r>
              <w:rPr>
                <w:rFonts w:hint="eastAsia" w:ascii="Times New Roman" w:hAnsi="Times New Roman" w:eastAsia="宋体" w:cs="Times New Roman"/>
                <w:color w:val="auto"/>
                <w:sz w:val="24"/>
                <w:szCs w:val="24"/>
                <w:u w:val="none"/>
                <w:lang w:eastAsia="zh-CN"/>
              </w:rPr>
              <w:t>业</w:t>
            </w:r>
            <w:r>
              <w:rPr>
                <w:rFonts w:hint="eastAsia" w:ascii="Times New Roman" w:hAnsi="Times New Roman" w:eastAsia="宋体" w:cs="Times New Roman"/>
                <w:color w:val="auto"/>
                <w:sz w:val="24"/>
                <w:szCs w:val="24"/>
                <w:u w:val="none"/>
                <w:lang w:val="en-US" w:eastAsia="zh-CN"/>
              </w:rPr>
              <w:t>33—68铸造及其他金属制品制造339—其他（仅分割、焊接、组装的除外）</w:t>
            </w:r>
            <w:r>
              <w:rPr>
                <w:rFonts w:hint="eastAsia" w:cs="Times New Roman"/>
                <w:color w:val="auto"/>
                <w:sz w:val="24"/>
                <w:szCs w:val="24"/>
                <w:u w:val="none"/>
                <w:lang w:val="en-US" w:eastAsia="zh-CN"/>
              </w:rPr>
              <w:t>；</w:t>
            </w:r>
          </w:p>
        </w:tc>
      </w:tr>
      <w:tr w14:paraId="7316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048" w:type="pct"/>
            <w:gridSpan w:val="2"/>
            <w:noWrap w:val="0"/>
            <w:tcMar>
              <w:top w:w="16" w:type="dxa"/>
              <w:left w:w="16" w:type="dxa"/>
              <w:right w:w="16" w:type="dxa"/>
            </w:tcMar>
            <w:vAlign w:val="center"/>
          </w:tcPr>
          <w:p w14:paraId="41C878E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235" w:type="pct"/>
            <w:noWrap w:val="0"/>
            <w:vAlign w:val="center"/>
          </w:tcPr>
          <w:p w14:paraId="4278FA5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新建（迁建）</w:t>
            </w:r>
          </w:p>
          <w:p w14:paraId="338D697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改建</w:t>
            </w:r>
          </w:p>
          <w:p w14:paraId="141C460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扩建</w:t>
            </w:r>
          </w:p>
          <w:p w14:paraId="6C3EA831">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技术改造</w:t>
            </w:r>
          </w:p>
        </w:tc>
        <w:tc>
          <w:tcPr>
            <w:tcW w:w="859" w:type="pct"/>
            <w:noWrap w:val="0"/>
            <w:vAlign w:val="center"/>
          </w:tcPr>
          <w:p w14:paraId="07AE88F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建设项目</w:t>
            </w:r>
          </w:p>
          <w:p w14:paraId="293636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申报情形</w:t>
            </w:r>
          </w:p>
        </w:tc>
        <w:tc>
          <w:tcPr>
            <w:tcW w:w="1856" w:type="pct"/>
            <w:gridSpan w:val="2"/>
            <w:noWrap w:val="0"/>
            <w:vAlign w:val="center"/>
          </w:tcPr>
          <w:p w14:paraId="60A67602">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首次申报项目</w:t>
            </w:r>
          </w:p>
          <w:p w14:paraId="370D326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不予批准后再次申报项目</w:t>
            </w:r>
          </w:p>
          <w:p w14:paraId="5572487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超五年重新审核项目</w:t>
            </w:r>
          </w:p>
          <w:p w14:paraId="420A8C54">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t>重大变动重新报批项目</w:t>
            </w:r>
          </w:p>
        </w:tc>
      </w:tr>
      <w:tr w14:paraId="5E0C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1" w:hRule="atLeast"/>
          <w:jc w:val="center"/>
        </w:trPr>
        <w:tc>
          <w:tcPr>
            <w:tcW w:w="1048" w:type="pct"/>
            <w:gridSpan w:val="2"/>
            <w:noWrap w:val="0"/>
            <w:tcMar>
              <w:top w:w="16" w:type="dxa"/>
              <w:left w:w="16" w:type="dxa"/>
              <w:right w:w="16" w:type="dxa"/>
            </w:tcMar>
            <w:vAlign w:val="center"/>
          </w:tcPr>
          <w:p w14:paraId="0931B06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64E82B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235" w:type="pct"/>
            <w:noWrap w:val="0"/>
            <w:vAlign w:val="center"/>
          </w:tcPr>
          <w:p w14:paraId="489BB6B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福清</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市发展和改革局</w:t>
            </w:r>
          </w:p>
        </w:tc>
        <w:tc>
          <w:tcPr>
            <w:tcW w:w="1035" w:type="pct"/>
            <w:gridSpan w:val="2"/>
            <w:noWrap w:val="0"/>
            <w:vAlign w:val="center"/>
          </w:tcPr>
          <w:p w14:paraId="244C5D4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项目审批（核准/</w:t>
            </w:r>
          </w:p>
          <w:p w14:paraId="1FDC1F6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备案）文号（选填）</w:t>
            </w:r>
          </w:p>
        </w:tc>
        <w:tc>
          <w:tcPr>
            <w:tcW w:w="1680" w:type="pct"/>
            <w:noWrap w:val="0"/>
            <w:vAlign w:val="center"/>
          </w:tcPr>
          <w:p w14:paraId="4EF277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闽发改备</w:t>
            </w:r>
            <w:r>
              <w:rPr>
                <w:rFonts w:hint="eastAsia" w:cs="Times New Roman"/>
                <w:color w:val="000000" w:themeColor="text1"/>
                <w:sz w:val="24"/>
                <w:szCs w:val="24"/>
                <w:highlight w:val="none"/>
                <w:u w:val="none"/>
                <w:lang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A060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w:t>
            </w:r>
            <w:r>
              <w:rPr>
                <w:rFonts w:hint="eastAsia" w:cs="Times New Roman"/>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p>
        </w:tc>
      </w:tr>
      <w:tr w14:paraId="4D736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48" w:type="pct"/>
            <w:gridSpan w:val="2"/>
            <w:noWrap w:val="0"/>
            <w:tcMar>
              <w:top w:w="16" w:type="dxa"/>
              <w:left w:w="16" w:type="dxa"/>
              <w:right w:w="16" w:type="dxa"/>
            </w:tcMar>
            <w:vAlign w:val="center"/>
          </w:tcPr>
          <w:p w14:paraId="6AF3EC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235" w:type="pct"/>
            <w:noWrap w:val="0"/>
            <w:vAlign w:val="center"/>
          </w:tcPr>
          <w:p w14:paraId="0B05A3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2800</w:t>
            </w:r>
          </w:p>
        </w:tc>
        <w:tc>
          <w:tcPr>
            <w:tcW w:w="1035" w:type="pct"/>
            <w:gridSpan w:val="2"/>
            <w:noWrap w:val="0"/>
            <w:tcMar>
              <w:top w:w="16" w:type="dxa"/>
              <w:left w:w="16" w:type="dxa"/>
              <w:right w:w="16" w:type="dxa"/>
            </w:tcMar>
            <w:vAlign w:val="center"/>
          </w:tcPr>
          <w:p w14:paraId="6323C6F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环保投资（万元）</w:t>
            </w:r>
          </w:p>
        </w:tc>
        <w:tc>
          <w:tcPr>
            <w:tcW w:w="1680" w:type="pct"/>
            <w:noWrap w:val="0"/>
            <w:vAlign w:val="center"/>
          </w:tcPr>
          <w:p w14:paraId="147D9DB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cs="Times New Roman"/>
                <w:color w:val="000000" w:themeColor="text1"/>
                <w:sz w:val="24"/>
                <w:szCs w:val="24"/>
                <w:u w:val="none"/>
                <w:lang w:val="en-US" w:eastAsia="zh-CN"/>
                <w14:textFill>
                  <w14:solidFill>
                    <w14:schemeClr w14:val="tx1"/>
                  </w14:solidFill>
                </w14:textFill>
              </w:rPr>
              <w:t>40</w:t>
            </w:r>
          </w:p>
        </w:tc>
      </w:tr>
      <w:tr w14:paraId="4B64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048" w:type="pct"/>
            <w:gridSpan w:val="2"/>
            <w:noWrap w:val="0"/>
            <w:tcMar>
              <w:top w:w="16" w:type="dxa"/>
              <w:left w:w="16" w:type="dxa"/>
              <w:right w:w="16" w:type="dxa"/>
            </w:tcMar>
            <w:vAlign w:val="center"/>
          </w:tcPr>
          <w:p w14:paraId="66BB27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235" w:type="pct"/>
            <w:noWrap w:val="0"/>
            <w:vAlign w:val="center"/>
          </w:tcPr>
          <w:p w14:paraId="199D8CF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tc>
        <w:tc>
          <w:tcPr>
            <w:tcW w:w="1035" w:type="pct"/>
            <w:gridSpan w:val="2"/>
            <w:noWrap w:val="0"/>
            <w:tcMar>
              <w:top w:w="16" w:type="dxa"/>
              <w:left w:w="16" w:type="dxa"/>
              <w:right w:w="16" w:type="dxa"/>
            </w:tcMar>
            <w:vAlign w:val="center"/>
          </w:tcPr>
          <w:p w14:paraId="7DBCE58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施工工期</w:t>
            </w:r>
          </w:p>
        </w:tc>
        <w:tc>
          <w:tcPr>
            <w:tcW w:w="1680" w:type="pct"/>
            <w:noWrap w:val="0"/>
            <w:vAlign w:val="center"/>
          </w:tcPr>
          <w:p w14:paraId="1EF963A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年</w:t>
            </w:r>
            <w:r>
              <w:rPr>
                <w:rFonts w:hint="eastAsia" w:cs="Times New Roman"/>
                <w:color w:val="000000" w:themeColor="text1"/>
                <w:sz w:val="24"/>
                <w:szCs w:val="24"/>
                <w:highlight w:val="none"/>
                <w:u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月</w:t>
            </w:r>
          </w:p>
        </w:tc>
      </w:tr>
      <w:tr w14:paraId="0648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8" w:hRule="atLeast"/>
          <w:jc w:val="center"/>
        </w:trPr>
        <w:tc>
          <w:tcPr>
            <w:tcW w:w="1048" w:type="pct"/>
            <w:gridSpan w:val="2"/>
            <w:noWrap w:val="0"/>
            <w:tcMar>
              <w:top w:w="16" w:type="dxa"/>
              <w:left w:w="16" w:type="dxa"/>
              <w:right w:w="16" w:type="dxa"/>
            </w:tcMar>
            <w:vAlign w:val="center"/>
          </w:tcPr>
          <w:p w14:paraId="33E1D85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235" w:type="pct"/>
            <w:noWrap w:val="0"/>
            <w:vAlign w:val="center"/>
          </w:tcPr>
          <w:p w14:paraId="7E24834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31C131E">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35" w:type="pct"/>
            <w:gridSpan w:val="2"/>
            <w:noWrap w:val="0"/>
            <w:tcMar>
              <w:top w:w="16" w:type="dxa"/>
              <w:left w:w="16" w:type="dxa"/>
              <w:right w:w="16" w:type="dxa"/>
            </w:tcMar>
            <w:vAlign w:val="center"/>
          </w:tcPr>
          <w:p w14:paraId="1B3B2D3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45DDF8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680" w:type="pct"/>
            <w:noWrap w:val="0"/>
            <w:vAlign w:val="center"/>
          </w:tcPr>
          <w:p w14:paraId="35DC938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cs="Times New Roman"/>
                <w:color w:val="auto"/>
                <w:sz w:val="24"/>
                <w:szCs w:val="24"/>
                <w:highlight w:val="none"/>
                <w:u w:val="none"/>
                <w:lang w:val="en-US" w:eastAsia="zh-CN"/>
              </w:rPr>
              <w:t>4188.94</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7C156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7" w:type="pct"/>
            <w:noWrap w:val="0"/>
            <w:vAlign w:val="center"/>
          </w:tcPr>
          <w:p w14:paraId="48C83AA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72" w:type="pct"/>
            <w:gridSpan w:val="5"/>
            <w:noWrap w:val="0"/>
            <w:vAlign w:val="center"/>
          </w:tcPr>
          <w:p w14:paraId="4C0E67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5BE81C94">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  项目专项评价设置表</w:t>
            </w:r>
          </w:p>
          <w:tbl>
            <w:tblPr>
              <w:tblStyle w:val="24"/>
              <w:tblW w:w="8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3081"/>
              <w:gridCol w:w="3206"/>
              <w:gridCol w:w="679"/>
            </w:tblGrid>
            <w:tr w14:paraId="5998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09" w:type="pct"/>
                  <w:tcBorders>
                    <w:top w:val="single" w:color="auto" w:sz="12" w:space="0"/>
                    <w:left w:val="nil"/>
                  </w:tcBorders>
                  <w:noWrap w:val="0"/>
                  <w:vAlign w:val="center"/>
                </w:tcPr>
                <w:p w14:paraId="24C28D83">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专项评价的类别</w:t>
                  </w:r>
                </w:p>
              </w:tc>
              <w:tc>
                <w:tcPr>
                  <w:tcW w:w="1897" w:type="pct"/>
                  <w:tcBorders>
                    <w:top w:val="single" w:color="auto" w:sz="12" w:space="0"/>
                  </w:tcBorders>
                  <w:noWrap w:val="0"/>
                  <w:vAlign w:val="center"/>
                </w:tcPr>
                <w:p w14:paraId="7F021F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设置原则</w:t>
                  </w:r>
                </w:p>
              </w:tc>
              <w:tc>
                <w:tcPr>
                  <w:tcW w:w="1974" w:type="pct"/>
                  <w:tcBorders>
                    <w:top w:val="single" w:color="auto" w:sz="12" w:space="0"/>
                  </w:tcBorders>
                  <w:noWrap w:val="0"/>
                  <w:vAlign w:val="center"/>
                </w:tcPr>
                <w:p w14:paraId="1A32010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本项目情况</w:t>
                  </w:r>
                </w:p>
              </w:tc>
              <w:tc>
                <w:tcPr>
                  <w:tcW w:w="418" w:type="pct"/>
                  <w:tcBorders>
                    <w:top w:val="single" w:color="auto" w:sz="12" w:space="0"/>
                    <w:right w:val="nil"/>
                  </w:tcBorders>
                  <w:noWrap w:val="0"/>
                  <w:vAlign w:val="center"/>
                </w:tcPr>
                <w:p w14:paraId="618A1CF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是否设置专项</w:t>
                  </w:r>
                </w:p>
              </w:tc>
            </w:tr>
            <w:tr w14:paraId="2DC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09" w:type="pct"/>
                  <w:tcBorders>
                    <w:left w:val="nil"/>
                  </w:tcBorders>
                  <w:noWrap w:val="0"/>
                  <w:vAlign w:val="center"/>
                </w:tcPr>
                <w:p w14:paraId="4EFCD1A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大气</w:t>
                  </w:r>
                </w:p>
              </w:tc>
              <w:tc>
                <w:tcPr>
                  <w:tcW w:w="1897" w:type="pct"/>
                  <w:noWrap w:val="0"/>
                  <w:vAlign w:val="center"/>
                </w:tcPr>
                <w:p w14:paraId="2774AC2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lang w:val="en-US" w:eastAsia="zh-CN"/>
                    </w:rPr>
                    <w:t>排放废气含有毒有害污染物、二噁英、苯并[a]芘、氰化物、氯气且厂界外500米范围内有环境空气保护目标的建设项目。</w:t>
                  </w:r>
                </w:p>
              </w:tc>
              <w:tc>
                <w:tcPr>
                  <w:tcW w:w="1974" w:type="pct"/>
                  <w:noWrap w:val="0"/>
                  <w:vAlign w:val="center"/>
                </w:tcPr>
                <w:p w14:paraId="30C22DB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本项目排放的废气污染物不涉及左列大气污染物。</w:t>
                  </w:r>
                </w:p>
              </w:tc>
              <w:tc>
                <w:tcPr>
                  <w:tcW w:w="418" w:type="pct"/>
                  <w:tcBorders>
                    <w:right w:val="nil"/>
                  </w:tcBorders>
                  <w:noWrap w:val="0"/>
                  <w:vAlign w:val="center"/>
                </w:tcPr>
                <w:p w14:paraId="3EF0585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否</w:t>
                  </w:r>
                </w:p>
              </w:tc>
            </w:tr>
            <w:tr w14:paraId="1BCC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709" w:type="pct"/>
                  <w:tcBorders>
                    <w:left w:val="nil"/>
                  </w:tcBorders>
                  <w:noWrap w:val="0"/>
                  <w:vAlign w:val="center"/>
                </w:tcPr>
                <w:p w14:paraId="15E76BD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地表水</w:t>
                  </w:r>
                </w:p>
              </w:tc>
              <w:tc>
                <w:tcPr>
                  <w:tcW w:w="1897" w:type="pct"/>
                  <w:noWrap w:val="0"/>
                  <w:vAlign w:val="center"/>
                </w:tcPr>
                <w:p w14:paraId="763C5D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新增工业废水直排建设项目（槽罐车外送污水处理厂的除外）；新增废水直排的污水集中处理厂</w:t>
                  </w:r>
                </w:p>
              </w:tc>
              <w:tc>
                <w:tcPr>
                  <w:tcW w:w="1974" w:type="pct"/>
                  <w:noWrap w:val="0"/>
                  <w:vAlign w:val="center"/>
                </w:tcPr>
                <w:p w14:paraId="5FA19B8F">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p>
              </w:tc>
              <w:tc>
                <w:tcPr>
                  <w:tcW w:w="418" w:type="pct"/>
                  <w:tcBorders>
                    <w:right w:val="nil"/>
                  </w:tcBorders>
                  <w:noWrap w:val="0"/>
                  <w:vAlign w:val="center"/>
                </w:tcPr>
                <w:p w14:paraId="3A491EC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6D7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09" w:type="pct"/>
                  <w:tcBorders>
                    <w:left w:val="nil"/>
                  </w:tcBorders>
                  <w:noWrap w:val="0"/>
                  <w:vAlign w:val="center"/>
                </w:tcPr>
                <w:p w14:paraId="6E7BD2B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环境风险</w:t>
                  </w:r>
                </w:p>
              </w:tc>
              <w:tc>
                <w:tcPr>
                  <w:tcW w:w="1897" w:type="pct"/>
                  <w:noWrap w:val="0"/>
                  <w:vAlign w:val="center"/>
                </w:tcPr>
                <w:p w14:paraId="79E2036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有毒有害和易燃易爆危险物质存储量超过临界量的建设项目</w:t>
                  </w:r>
                </w:p>
              </w:tc>
              <w:tc>
                <w:tcPr>
                  <w:tcW w:w="1974" w:type="pct"/>
                  <w:noWrap w:val="0"/>
                  <w:vAlign w:val="center"/>
                </w:tcPr>
                <w:p w14:paraId="378C31C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w:t>
                  </w:r>
                  <w:r>
                    <w:rPr>
                      <w:rFonts w:hint="eastAsia" w:cs="Times New Roman"/>
                      <w:color w:val="auto"/>
                      <w:sz w:val="21"/>
                      <w:szCs w:val="21"/>
                      <w:u w:val="none"/>
                      <w:vertAlign w:val="baseline"/>
                      <w:lang w:eastAsia="zh-CN"/>
                    </w:rPr>
                    <w:t>涉及</w:t>
                  </w:r>
                  <w:r>
                    <w:rPr>
                      <w:rFonts w:hint="default" w:ascii="Times New Roman" w:hAnsi="Times New Roman" w:eastAsia="宋体" w:cs="Times New Roman"/>
                      <w:color w:val="auto"/>
                      <w:sz w:val="21"/>
                      <w:szCs w:val="21"/>
                      <w:u w:val="none"/>
                      <w:vertAlign w:val="baseline"/>
                      <w:lang w:eastAsia="zh-CN"/>
                    </w:rPr>
                    <w:t>危险物质为</w:t>
                  </w:r>
                  <w:r>
                    <w:rPr>
                      <w:rFonts w:hint="eastAsia" w:cs="Times New Roman"/>
                      <w:color w:val="auto"/>
                      <w:sz w:val="21"/>
                      <w:szCs w:val="21"/>
                      <w:u w:val="none"/>
                      <w:vertAlign w:val="baseline"/>
                      <w:lang w:val="en-US" w:eastAsia="zh-CN"/>
                    </w:rPr>
                    <w:t>液压油、机油</w:t>
                  </w:r>
                  <w:r>
                    <w:rPr>
                      <w:rFonts w:hint="default" w:ascii="Times New Roman" w:hAnsi="Times New Roman" w:eastAsia="宋体" w:cs="Times New Roman"/>
                      <w:color w:val="auto"/>
                      <w:sz w:val="21"/>
                      <w:szCs w:val="21"/>
                      <w:u w:val="none"/>
                      <w:vertAlign w:val="baseline"/>
                      <w:lang w:eastAsia="zh-CN"/>
                    </w:rPr>
                    <w:t>，</w:t>
                  </w:r>
                  <w:r>
                    <w:rPr>
                      <w:rFonts w:hint="eastAsia" w:cs="Times New Roman"/>
                      <w:color w:val="auto"/>
                      <w:sz w:val="21"/>
                      <w:szCs w:val="21"/>
                      <w:u w:val="none"/>
                      <w:vertAlign w:val="baseline"/>
                      <w:lang w:val="en-US" w:eastAsia="zh-CN"/>
                    </w:rPr>
                    <w:t>但</w:t>
                  </w:r>
                  <w:r>
                    <w:rPr>
                      <w:rFonts w:hint="default" w:ascii="Times New Roman" w:hAnsi="Times New Roman" w:eastAsia="宋体" w:cs="Times New Roman"/>
                      <w:color w:val="auto"/>
                      <w:sz w:val="21"/>
                      <w:szCs w:val="21"/>
                      <w:u w:val="none"/>
                      <w:vertAlign w:val="baseline"/>
                      <w:lang w:eastAsia="zh-CN"/>
                    </w:rPr>
                    <w:t>储量未超过临界量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Q＜1。</w:t>
                  </w:r>
                </w:p>
              </w:tc>
              <w:tc>
                <w:tcPr>
                  <w:tcW w:w="418" w:type="pct"/>
                  <w:tcBorders>
                    <w:right w:val="nil"/>
                  </w:tcBorders>
                  <w:noWrap w:val="0"/>
                  <w:vAlign w:val="center"/>
                </w:tcPr>
                <w:p w14:paraId="4563453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20A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09" w:type="pct"/>
                  <w:tcBorders>
                    <w:left w:val="nil"/>
                  </w:tcBorders>
                  <w:noWrap w:val="0"/>
                  <w:vAlign w:val="center"/>
                </w:tcPr>
                <w:p w14:paraId="2263208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生态</w:t>
                  </w:r>
                </w:p>
              </w:tc>
              <w:tc>
                <w:tcPr>
                  <w:tcW w:w="1897" w:type="pct"/>
                  <w:noWrap w:val="0"/>
                  <w:vAlign w:val="center"/>
                </w:tcPr>
                <w:p w14:paraId="41FA77A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取水口下游500米范围内有重要水生生物的自然产卵场、索饵场、越冬场和洄游通道的新增河道取水的污染类建设项目</w:t>
                  </w:r>
                </w:p>
              </w:tc>
              <w:tc>
                <w:tcPr>
                  <w:tcW w:w="1974" w:type="pct"/>
                  <w:noWrap w:val="0"/>
                  <w:vAlign w:val="center"/>
                </w:tcPr>
                <w:p w14:paraId="146EEB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418" w:type="pct"/>
                  <w:tcBorders>
                    <w:right w:val="nil"/>
                  </w:tcBorders>
                  <w:noWrap w:val="0"/>
                  <w:vAlign w:val="center"/>
                </w:tcPr>
                <w:p w14:paraId="16A6114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5E6C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09" w:type="pct"/>
                  <w:tcBorders>
                    <w:left w:val="nil"/>
                    <w:bottom w:val="single" w:color="auto" w:sz="12" w:space="0"/>
                  </w:tcBorders>
                  <w:noWrap w:val="0"/>
                  <w:vAlign w:val="center"/>
                </w:tcPr>
                <w:p w14:paraId="7DE1E7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海洋</w:t>
                  </w:r>
                </w:p>
              </w:tc>
              <w:tc>
                <w:tcPr>
                  <w:tcW w:w="1897" w:type="pct"/>
                  <w:tcBorders>
                    <w:bottom w:val="single" w:color="auto" w:sz="12" w:space="0"/>
                  </w:tcBorders>
                  <w:noWrap w:val="0"/>
                  <w:vAlign w:val="center"/>
                </w:tcPr>
                <w:p w14:paraId="409958A2">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直接向海排放污染物的海洋工程建设项目</w:t>
                  </w:r>
                </w:p>
              </w:tc>
              <w:tc>
                <w:tcPr>
                  <w:tcW w:w="1974" w:type="pct"/>
                  <w:tcBorders>
                    <w:bottom w:val="single" w:color="auto" w:sz="12" w:space="0"/>
                  </w:tcBorders>
                  <w:noWrap w:val="0"/>
                  <w:vAlign w:val="center"/>
                </w:tcPr>
                <w:p w14:paraId="66AEBB7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418" w:type="pct"/>
                  <w:tcBorders>
                    <w:bottom w:val="single" w:color="auto" w:sz="12" w:space="0"/>
                    <w:right w:val="nil"/>
                  </w:tcBorders>
                  <w:noWrap w:val="0"/>
                  <w:vAlign w:val="center"/>
                </w:tcPr>
                <w:p w14:paraId="0C31697B">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bl>
          <w:p w14:paraId="70628EC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37341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27" w:type="pct"/>
            <w:noWrap w:val="0"/>
            <w:vAlign w:val="center"/>
          </w:tcPr>
          <w:p w14:paraId="5D08C3D3">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4572" w:type="pct"/>
            <w:gridSpan w:val="5"/>
            <w:noWrap w:val="0"/>
            <w:vAlign w:val="center"/>
          </w:tcPr>
          <w:p w14:paraId="6E7D7B42">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eastAsia="zh-CN"/>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《福清融侨经济技术开发区总体规划</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2018-2035年</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w:t>
            </w:r>
          </w:p>
          <w:p w14:paraId="70DBC43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规划名称：《福清融侨经济技术开发区总体规划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w:t>
            </w:r>
          </w:p>
          <w:p w14:paraId="0322A3FA">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②审批机关：福清市人民政府</w:t>
            </w:r>
          </w:p>
          <w:p w14:paraId="75459391">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③审批文件名称及文号：《福清市人民政府关于同意融侨经济技术开发区总体规划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编制范围的批复》</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融政综〔2019〕189号</w:t>
            </w:r>
            <w:r>
              <w:rPr>
                <w:rFonts w:hint="eastAsia" w:cs="Times New Roman"/>
                <w:b w:val="0"/>
                <w:color w:val="auto"/>
                <w:kern w:val="0"/>
                <w:sz w:val="24"/>
                <w:szCs w:val="24"/>
                <w:u w:val="none"/>
                <w:lang w:val="en-US" w:eastAsia="zh-CN" w:bidi="ar"/>
              </w:rPr>
              <w:t>）</w:t>
            </w:r>
          </w:p>
          <w:p w14:paraId="1DF796F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二、</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5F65746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6FDE4DC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01431FF7">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29E31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427" w:type="pct"/>
            <w:noWrap w:val="0"/>
            <w:vAlign w:val="center"/>
          </w:tcPr>
          <w:p w14:paraId="262C458F">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3A1D439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72" w:type="pct"/>
            <w:gridSpan w:val="5"/>
            <w:noWrap w:val="0"/>
            <w:vAlign w:val="center"/>
          </w:tcPr>
          <w:p w14:paraId="2CE72AC8">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文件名称：福清融侨经济技术开发区总体规划（2018-2035年）环境影响报告书</w:t>
            </w:r>
          </w:p>
          <w:p w14:paraId="642994F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hint="eastAsia" w:cs="Times New Roman"/>
                <w:b w:val="0"/>
                <w:color w:val="auto"/>
                <w:kern w:val="0"/>
                <w:sz w:val="24"/>
                <w:szCs w:val="24"/>
                <w:u w:val="none"/>
                <w:lang w:val="en-US" w:eastAsia="zh-CN" w:bidi="ar"/>
              </w:rPr>
              <w:t>中华人民共和国</w:t>
            </w:r>
            <w:r>
              <w:rPr>
                <w:rFonts w:hint="default" w:ascii="Times New Roman" w:hAnsi="Times New Roman" w:eastAsia="宋体" w:cs="Times New Roman"/>
                <w:b w:val="0"/>
                <w:color w:val="auto"/>
                <w:kern w:val="0"/>
                <w:sz w:val="24"/>
                <w:szCs w:val="24"/>
                <w:u w:val="none"/>
                <w:lang w:val="en-US" w:eastAsia="zh-CN" w:bidi="ar"/>
              </w:rPr>
              <w:t>生态环境部</w:t>
            </w:r>
          </w:p>
          <w:p w14:paraId="00BB9773">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审批文件名称及文号：关于《</w:t>
            </w:r>
            <w:r>
              <w:rPr>
                <w:rFonts w:hint="default" w:ascii="Times New Roman" w:hAnsi="Times New Roman" w:eastAsia="宋体" w:cs="Times New Roman"/>
                <w:b w:val="0"/>
                <w:color w:val="auto"/>
                <w:kern w:val="0"/>
                <w:sz w:val="24"/>
                <w:szCs w:val="24"/>
                <w:u w:val="none"/>
                <w:lang w:val="en-US" w:eastAsia="zh-CN" w:bidi="ar"/>
              </w:rPr>
              <w:t>福清融侨经济技术开发区总体规划（2018-2035 年）环境影响报告书</w:t>
            </w:r>
            <w:r>
              <w:rPr>
                <w:rFonts w:hint="default" w:ascii="Times New Roman" w:hAnsi="Times New Roman" w:eastAsia="宋体" w:cs="Times New Roman"/>
                <w:color w:val="auto"/>
                <w:kern w:val="0"/>
                <w:sz w:val="24"/>
                <w:szCs w:val="24"/>
                <w:u w:val="none"/>
                <w:lang w:val="en-US" w:eastAsia="zh-CN" w:bidi="ar"/>
              </w:rPr>
              <w:t>》的审查意见</w:t>
            </w:r>
            <w:r>
              <w:rPr>
                <w:rFonts w:hint="eastAsia"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环审</w:t>
            </w:r>
            <w:r>
              <w:rPr>
                <w:rFonts w:hint="eastAsia" w:cs="Times New Roman"/>
                <w:color w:val="auto"/>
                <w:kern w:val="0"/>
                <w:sz w:val="24"/>
                <w:szCs w:val="24"/>
                <w:u w:val="none"/>
                <w:lang w:val="en-US" w:eastAsia="zh-CN" w:bidi="ar"/>
              </w:rPr>
              <w:t>〔2020〕80号）</w:t>
            </w:r>
          </w:p>
        </w:tc>
      </w:tr>
      <w:tr w14:paraId="67918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noWrap w:val="0"/>
            <w:vAlign w:val="center"/>
          </w:tcPr>
          <w:p w14:paraId="537EFE0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72" w:type="pct"/>
            <w:gridSpan w:val="5"/>
            <w:noWrap w:val="0"/>
            <w:vAlign w:val="center"/>
          </w:tcPr>
          <w:p w14:paraId="24D5A31D">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与规划符合性分析</w:t>
            </w:r>
          </w:p>
          <w:p w14:paraId="65622624">
            <w:pPr>
              <w:pStyle w:val="30"/>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lang w:val="en-US" w:eastAsia="zh-CN"/>
              </w:rPr>
              <w:t>与《福清融侨经济技术开发区总体规划</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2018-2035年</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》符合性分析</w:t>
            </w:r>
          </w:p>
          <w:p w14:paraId="7A5EBA12">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i w:val="0"/>
                <w:iCs w:val="0"/>
                <w:color w:val="auto"/>
                <w:sz w:val="24"/>
                <w:szCs w:val="24"/>
                <w:u w:val="none"/>
                <w:lang w:val="en-US" w:eastAsia="zh-CN"/>
              </w:rPr>
            </w:pPr>
            <w:r>
              <w:rPr>
                <w:rFonts w:hint="default" w:ascii="Times New Roman" w:hAnsi="Times New Roman" w:eastAsia="宋体" w:cs="Times New Roman"/>
                <w:color w:val="auto"/>
                <w:sz w:val="24"/>
                <w:szCs w:val="24"/>
                <w:highlight w:val="none"/>
                <w:u w:val="none"/>
                <w:lang w:val="en-US" w:eastAsia="zh-CN"/>
              </w:rPr>
              <w:t>根据总体规划内容可知，开发区</w:t>
            </w:r>
            <w:r>
              <w:rPr>
                <w:rFonts w:hint="default" w:ascii="Times New Roman" w:hAnsi="Times New Roman" w:eastAsia="宋体" w:cs="Times New Roman"/>
                <w:color w:val="auto"/>
                <w:sz w:val="24"/>
                <w:szCs w:val="24"/>
                <w:u w:val="none"/>
                <w:lang w:val="en-US" w:eastAsia="zh-CN"/>
              </w:rPr>
              <w:t>为理顺与中心城区的发展关系，建立健全</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多规合一</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体制机制，突出开发区核心产业优势，强调龙头企业引领，通过</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组团式</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布局，着力营造融侨经济技术开发区</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现代生态开发区</w:t>
            </w:r>
            <w:r>
              <w:rPr>
                <w:rFonts w:hint="default" w:ascii="宋体" w:hAnsi="宋体" w:eastAsia="宋体" w:cs="宋体"/>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空间特色，规划整体形成</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一区三园多组团</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的空间结构。</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w:t>
            </w:r>
            <w:r>
              <w:rPr>
                <w:rFonts w:hint="default" w:ascii="宋体" w:hAnsi="宋体" w:eastAsia="宋体" w:cs="宋体"/>
                <w:color w:val="auto"/>
                <w:sz w:val="24"/>
                <w:szCs w:val="24"/>
                <w:u w:val="none"/>
                <w:lang w:val="en-US" w:eastAsia="zh-CN"/>
              </w:rPr>
              <w:t>”</w:t>
            </w:r>
            <w:r>
              <w:rPr>
                <w:rFonts w:hint="eastAsia" w:cs="Times New Roman"/>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融侨经济技术开发区。利用国家级开发区品牌，充分释放</w:t>
            </w:r>
            <w:r>
              <w:rPr>
                <w:rFonts w:hint="default" w:ascii="宋体" w:hAnsi="宋体" w:eastAsia="宋体" w:cs="宋体"/>
                <w:color w:val="auto"/>
                <w:sz w:val="24"/>
                <w:szCs w:val="24"/>
                <w:u w:val="none"/>
                <w:lang w:val="en-US" w:eastAsia="zh-CN"/>
              </w:rPr>
              <w:t>“五区叠加、一区毗邻”政</w:t>
            </w:r>
            <w:r>
              <w:rPr>
                <w:rFonts w:hint="default" w:ascii="Times New Roman" w:hAnsi="Times New Roman" w:eastAsia="宋体" w:cs="Times New Roman"/>
                <w:color w:val="auto"/>
                <w:sz w:val="24"/>
                <w:szCs w:val="24"/>
                <w:u w:val="none"/>
                <w:lang w:val="en-US" w:eastAsia="zh-CN"/>
              </w:rPr>
              <w:t>策优势，以空间转型引领开发区的新一轮跨越发展。</w:t>
            </w:r>
            <w:r>
              <w:rPr>
                <w:rFonts w:hint="default" w:ascii="宋体" w:hAnsi="宋体" w:eastAsia="宋体" w:cs="宋体"/>
                <w:color w:val="auto"/>
                <w:sz w:val="24"/>
                <w:szCs w:val="24"/>
                <w:u w:val="none"/>
                <w:lang w:val="en-US" w:eastAsia="zh-CN"/>
              </w:rPr>
              <w:t>“三园”</w:t>
            </w:r>
            <w:r>
              <w:rPr>
                <w:rFonts w:hint="eastAsia" w:ascii="宋体" w:hAnsi="宋体" w:cs="宋体"/>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default" w:ascii="宋体" w:hAnsi="宋体" w:eastAsia="宋体" w:cs="宋体"/>
                <w:color w:val="auto"/>
                <w:sz w:val="24"/>
                <w:szCs w:val="24"/>
                <w:u w:val="none"/>
                <w:lang w:val="en-US" w:eastAsia="zh-CN"/>
              </w:rPr>
              <w:t>“双创”平</w:t>
            </w:r>
            <w:r>
              <w:rPr>
                <w:rFonts w:hint="default" w:ascii="Times New Roman" w:hAnsi="Times New Roman" w:eastAsia="宋体" w:cs="Times New Roman"/>
                <w:color w:val="auto"/>
                <w:sz w:val="24"/>
                <w:szCs w:val="24"/>
                <w:u w:val="none"/>
                <w:lang w:val="en-US" w:eastAsia="zh-CN"/>
              </w:rPr>
              <w:t>台、现代服务业建设核心区，形成福清市极具影响力、辐射力和竞争力的大福</w:t>
            </w:r>
            <w:r>
              <w:rPr>
                <w:rFonts w:hint="default" w:ascii="宋体" w:hAnsi="宋体" w:eastAsia="宋体" w:cs="宋体"/>
                <w:color w:val="auto"/>
                <w:sz w:val="24"/>
                <w:szCs w:val="24"/>
                <w:u w:val="none"/>
                <w:lang w:val="en-US" w:eastAsia="zh-CN"/>
              </w:rPr>
              <w:t>清“副中心”。</w:t>
            </w:r>
            <w:r>
              <w:rPr>
                <w:rFonts w:hint="default" w:ascii="Times New Roman" w:hAnsi="Times New Roman" w:eastAsia="宋体" w:cs="Times New Roman"/>
                <w:b w:val="0"/>
                <w:bCs w:val="0"/>
                <w:i w:val="0"/>
                <w:iCs w:val="0"/>
                <w:color w:val="auto"/>
                <w:sz w:val="24"/>
                <w:szCs w:val="24"/>
                <w:u w:val="none"/>
                <w:lang w:val="en-US" w:eastAsia="zh-CN"/>
              </w:rPr>
              <w:t>城北产业园：依托京东方等电子信息龙头企业优势，以电子信息、光学、机械电气为主导</w:t>
            </w:r>
            <w:r>
              <w:rPr>
                <w:rFonts w:hint="eastAsia" w:cs="Times New Roman"/>
                <w:b w:val="0"/>
                <w:bCs w:val="0"/>
                <w:i w:val="0"/>
                <w:iCs w:val="0"/>
                <w:color w:val="auto"/>
                <w:sz w:val="24"/>
                <w:szCs w:val="24"/>
                <w:u w:val="none"/>
                <w:lang w:val="en-US" w:eastAsia="zh-CN"/>
              </w:rPr>
              <w:t>，以</w:t>
            </w:r>
            <w:r>
              <w:rPr>
                <w:rFonts w:hint="default" w:ascii="Times New Roman" w:hAnsi="Times New Roman" w:eastAsia="宋体" w:cs="Times New Roman"/>
                <w:b w:val="0"/>
                <w:bCs w:val="0"/>
                <w:i w:val="0"/>
                <w:iCs w:val="0"/>
                <w:color w:val="auto"/>
                <w:sz w:val="24"/>
                <w:szCs w:val="24"/>
                <w:u w:val="none"/>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B4B7DF7">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本规划分为核心区和协调区2个层次。其中：</w:t>
            </w:r>
          </w:p>
          <w:p w14:paraId="15B76371">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核心区</w:t>
            </w:r>
            <w:r>
              <w:rPr>
                <w:rFonts w:hint="eastAsia" w:cs="Times New Roman"/>
                <w:color w:val="auto"/>
                <w:sz w:val="24"/>
                <w:szCs w:val="24"/>
                <w:highlight w:val="none"/>
                <w:u w:val="none"/>
                <w:lang w:val="en-US" w:eastAsia="zh-CN"/>
              </w:rPr>
              <w:t>即</w:t>
            </w:r>
            <w:r>
              <w:rPr>
                <w:rFonts w:hint="default" w:ascii="Times New Roman" w:hAnsi="Times New Roman" w:eastAsia="宋体" w:cs="Times New Roman"/>
                <w:color w:val="auto"/>
                <w:sz w:val="24"/>
                <w:szCs w:val="24"/>
                <w:highlight w:val="none"/>
                <w:u w:val="none"/>
                <w:lang w:val="en-US" w:eastAsia="zh-CN"/>
              </w:rPr>
              <w:t>国家批复的融侨经济技术开发区范围。土地面积9.19平方公里，其中宏路中心区6.4平方公里，洪宽工业村2.79平方公里。</w:t>
            </w:r>
          </w:p>
          <w:p w14:paraId="6D23D746">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协调区：考虑到开发区与福清城区一体化发展，结合开发区委托代管范围</w:t>
            </w:r>
            <w:r>
              <w:rPr>
                <w:rFonts w:hint="eastAsia" w:cs="Times New Roman"/>
                <w:color w:val="auto"/>
                <w:sz w:val="24"/>
                <w:szCs w:val="24"/>
                <w:highlight w:val="none"/>
                <w:u w:val="none"/>
                <w:lang w:val="en-US" w:eastAsia="zh-CN"/>
              </w:rPr>
              <w:t>，以</w:t>
            </w:r>
            <w:r>
              <w:rPr>
                <w:rFonts w:hint="default" w:ascii="Times New Roman" w:hAnsi="Times New Roman" w:eastAsia="宋体" w:cs="Times New Roman"/>
                <w:color w:val="auto"/>
                <w:sz w:val="24"/>
                <w:szCs w:val="24"/>
                <w:highlight w:val="none"/>
                <w:u w:val="none"/>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1AB30ABB">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根据《福清融侨经济技术开发区总体规划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2018-2035年</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产业发展-第二十二条构建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的产业体系：</w:t>
            </w:r>
          </w:p>
          <w:p w14:paraId="2F619DF4">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三大支柱产业</w:t>
            </w:r>
          </w:p>
          <w:p w14:paraId="65912A7A">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电子信息产业：显示科技、云计算、电子元器件、光电科技、计算机与智能终端设备等。</w:t>
            </w:r>
          </w:p>
          <w:p w14:paraId="4717DADF">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精密汽车部件产业：汽车电气电子装置、动力传动装置、汽车轴承、新能源动力电池等。</w:t>
            </w:r>
          </w:p>
          <w:p w14:paraId="51564D5E">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光学产业：光学部件、光通讯技术、电子光学、虚拟现实装置等。</w:t>
            </w:r>
          </w:p>
          <w:p w14:paraId="5F349741">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在三大支柱产业基础之上，完善与其相关的配套产业。</w:t>
            </w:r>
          </w:p>
          <w:p w14:paraId="16C01BF3">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一项新兴产业</w:t>
            </w:r>
          </w:p>
          <w:p w14:paraId="5EDCA27A">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u w:val="none"/>
                <w:lang w:val="en-US" w:eastAsia="zh-CN"/>
              </w:rPr>
              <w:t>现代服务业：金融商务、总部经济、科技研发、文化创意、物流展销都市型产业</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与服务型制造业。</w:t>
            </w:r>
          </w:p>
          <w:p w14:paraId="4755A77F">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eastAsia="宋体"/>
                <w:color w:val="auto"/>
                <w:sz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本项目位于福清融侨经济技术开发区（</w:t>
            </w:r>
            <w:r>
              <w:rPr>
                <w:rFonts w:hint="eastAsia" w:ascii="Times New Roman" w:hAnsi="Times New Roman" w:eastAsia="宋体" w:cs="Times New Roman"/>
                <w:color w:val="auto"/>
                <w:sz w:val="24"/>
                <w:szCs w:val="24"/>
                <w:highlight w:val="none"/>
                <w:u w:val="none"/>
                <w:lang w:val="en-US" w:eastAsia="zh-CN"/>
              </w:rPr>
              <w:t>购置均和云谷·福清科技港33#厂房）（详见</w:t>
            </w:r>
            <w:r>
              <w:rPr>
                <w:rFonts w:hint="eastAsia" w:ascii="Times New Roman" w:hAnsi="Times New Roman" w:eastAsia="宋体" w:cs="Times New Roman"/>
                <w:b/>
                <w:bCs/>
                <w:color w:val="auto"/>
                <w:sz w:val="24"/>
                <w:szCs w:val="24"/>
                <w:highlight w:val="none"/>
                <w:u w:val="none"/>
                <w:lang w:val="en-US" w:eastAsia="zh-CN"/>
              </w:rPr>
              <w:t>附图一</w:t>
            </w:r>
            <w:r>
              <w:rPr>
                <w:rFonts w:hint="eastAsia" w:ascii="Times New Roman" w:hAnsi="Times New Roman" w:eastAsia="宋体" w:cs="Times New Roman"/>
                <w:color w:val="auto"/>
                <w:sz w:val="24"/>
                <w:szCs w:val="24"/>
                <w:highlight w:val="none"/>
                <w:u w:val="none"/>
                <w:lang w:val="en-US" w:eastAsia="zh-CN"/>
              </w:rPr>
              <w:t>），属于福清融侨经济技术开发区的城北产业园。根据福清融侨经济技术开发区对主导产业发展方向的定位，对照《国民经济行业分类》（GB/T4754-2017），主导行业涉及国民经济类别主要包括C29、C304、C33、C34、C35、C36、C38、C39、C40，禁止新建，含电镀工艺、冶炼工艺、电解铝的项目，现有生产能力一定期限内搬迁；包装印刷业禁止使用不符合环保要求的油墨、胶黏剂。城北产业园发展策略为上游延伸下游拓展，依托京东方强化电子信息产业集群。积极推进电子信息产业向上下游延伸，最大程度延长产业链，构建开发区一体化的产业体系。校企联合，引导企业自主创新研发。鼓励科研院校与京东方项目进行结合，推广校企联合方式进行自主创新平台建设。核心产业对接，拓展上下游产业。在光学、机械电气等方面加强与台湾、海丝沿线国</w:t>
            </w:r>
            <w:r>
              <w:rPr>
                <w:rFonts w:hint="eastAsia" w:ascii="宋体" w:hAnsi="宋体" w:eastAsia="宋体" w:cs="宋体"/>
                <w:color w:val="auto"/>
                <w:kern w:val="0"/>
                <w:sz w:val="24"/>
                <w:szCs w:val="24"/>
                <w:lang w:val="en-US" w:eastAsia="zh-CN" w:bidi="ar"/>
              </w:rPr>
              <w:t>家的产业合作，打造两岸产业对接、合作的前沿阵地。</w:t>
            </w:r>
          </w:p>
          <w:p w14:paraId="2E921780">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从事五金配件（铝铸件）的生产，主</w:t>
            </w:r>
            <w:r>
              <w:rPr>
                <w:rFonts w:hint="eastAsia" w:cs="Times New Roman"/>
                <w:color w:val="000000" w:themeColor="text1"/>
                <w:kern w:val="2"/>
                <w:sz w:val="24"/>
                <w:szCs w:val="24"/>
                <w:highlight w:val="none"/>
                <w:lang w:val="en-US" w:eastAsia="zh-CN" w:bidi="ar-SA"/>
                <w14:textFill>
                  <w14:solidFill>
                    <w14:schemeClr w14:val="tx1"/>
                  </w14:solidFill>
                </w14:textFill>
              </w:rPr>
              <w:t>要涉及</w:t>
            </w:r>
            <w:r>
              <w:rPr>
                <w:rFonts w:hint="eastAsia" w:cs="Times New Roman"/>
                <w:b/>
                <w:bCs/>
                <w:color w:val="000000" w:themeColor="text1"/>
                <w:kern w:val="2"/>
                <w:sz w:val="24"/>
                <w:szCs w:val="24"/>
                <w:highlight w:val="none"/>
                <w:lang w:val="en-US" w:eastAsia="zh-CN" w:bidi="ar-SA"/>
                <w14:textFill>
                  <w14:solidFill>
                    <w14:schemeClr w14:val="tx1"/>
                  </w14:solidFill>
                </w14:textFill>
              </w:rPr>
              <w:t>熔化</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b/>
                <w:bCs/>
                <w:color w:val="000000" w:themeColor="text1"/>
                <w:kern w:val="2"/>
                <w:sz w:val="24"/>
                <w:szCs w:val="24"/>
                <w:highlight w:val="none"/>
                <w:lang w:val="en-US" w:eastAsia="zh-CN" w:bidi="ar-SA"/>
                <w14:textFill>
                  <w14:solidFill>
                    <w14:schemeClr w14:val="tx1"/>
                  </w14:solidFill>
                </w14:textFill>
              </w:rPr>
              <w:t>压铸</w:t>
            </w:r>
            <w:r>
              <w:rPr>
                <w:rFonts w:hint="eastAsia" w:cs="Times New Roman"/>
                <w:color w:val="000000" w:themeColor="text1"/>
                <w:kern w:val="2"/>
                <w:sz w:val="24"/>
                <w:szCs w:val="24"/>
                <w:highlight w:val="none"/>
                <w:lang w:val="en-US" w:eastAsia="zh-CN" w:bidi="ar-SA"/>
                <w14:textFill>
                  <w14:solidFill>
                    <w14:schemeClr w14:val="tx1"/>
                  </w14:solidFill>
                </w14:textFill>
              </w:rPr>
              <w:t>、打磨、抛光等工艺，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行业类别为“</w:t>
            </w:r>
            <w:r>
              <w:rPr>
                <w:rFonts w:hint="eastAsia" w:ascii="Times New Roman" w:hAnsi="Times New Roman" w:eastAsia="宋体" w:cs="Times New Roman"/>
                <w:color w:val="auto"/>
                <w:sz w:val="24"/>
                <w:szCs w:val="24"/>
                <w:u w:val="none"/>
                <w:lang w:eastAsia="zh-CN"/>
              </w:rPr>
              <w:t>C</w:t>
            </w:r>
            <w:r>
              <w:rPr>
                <w:rFonts w:hint="eastAsia" w:ascii="Times New Roman" w:hAnsi="Times New Roman" w:eastAsia="宋体" w:cs="Times New Roman"/>
                <w:color w:val="auto"/>
                <w:sz w:val="24"/>
                <w:szCs w:val="24"/>
                <w:u w:val="none"/>
                <w:lang w:val="en-US" w:eastAsia="zh-CN"/>
              </w:rPr>
              <w:t xml:space="preserve">3392 </w:t>
            </w:r>
            <w:r>
              <w:rPr>
                <w:rFonts w:hint="eastAsia" w:ascii="Times New Roman" w:hAnsi="Times New Roman" w:eastAsia="宋体" w:cs="Times New Roman"/>
                <w:color w:val="auto"/>
                <w:sz w:val="24"/>
                <w:szCs w:val="24"/>
                <w:u w:val="none"/>
                <w:lang w:eastAsia="zh-CN"/>
              </w:rPr>
              <w:t>有色金属铸造</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”，属于规划区内主导产业。</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因此</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项目的建设符合《福清融侨经济技术开发区总体规划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》有关要求。</w:t>
            </w:r>
          </w:p>
          <w:p w14:paraId="024A98AE">
            <w:pPr>
              <w:pStyle w:val="30"/>
              <w:keepNext w:val="0"/>
              <w:keepLines w:val="0"/>
              <w:pageBreakBefore w:val="0"/>
              <w:numPr>
                <w:ilvl w:val="0"/>
                <w:numId w:val="2"/>
              </w:numPr>
              <w:kinsoku/>
              <w:wordWrap/>
              <w:overflowPunct/>
              <w:topLinePunct w:val="0"/>
              <w:autoSpaceDE/>
              <w:autoSpaceDN/>
              <w:bidi w:val="0"/>
              <w:spacing w:line="360" w:lineRule="auto"/>
              <w:ind w:leftChars="0" w:right="0" w:rightChars="0" w:firstLine="482"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ascii="Times New Roman" w:hAnsi="Times New Roman" w:eastAsia="宋体" w:cs="Times New Roman"/>
                <w:b/>
                <w:bCs/>
                <w:color w:val="auto"/>
                <w:sz w:val="24"/>
                <w:szCs w:val="24"/>
                <w:highlight w:val="none"/>
                <w:u w:val="none"/>
                <w:lang w:val="en-US" w:eastAsia="zh-CN"/>
              </w:rPr>
              <w:t>符合性分析</w:t>
            </w:r>
          </w:p>
          <w:p w14:paraId="76A290CA">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1DB7921D">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根据对《福清市国土空气总体规划（2021-2035年）》的分析，项目用地在城镇开发边界内，项目不涉及占用生态保护红线，永久基本农田，无违法用地，不属于地质灾害易发区。</w:t>
            </w:r>
          </w:p>
          <w:p w14:paraId="67F3F84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福清融侨经济技术开发区</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购置</w:t>
            </w:r>
            <w:r>
              <w:rPr>
                <w:rFonts w:hint="default" w:ascii="Times New Roman" w:hAnsi="Times New Roman" w:eastAsia="宋体" w:cs="Times New Roman"/>
                <w:color w:val="auto"/>
                <w:sz w:val="24"/>
                <w:szCs w:val="24"/>
                <w:highlight w:val="none"/>
              </w:rPr>
              <w:t>均和云谷</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福清科技港</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位于城北产业园。所属用地为工业用低，主要生产五金配件（铝铸件）产品，属于金属制品制造业，符合规划中壮大四大优势产业规划。因此本项目符合</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eastAsia" w:cs="Times New Roman"/>
                <w:color w:val="000000" w:themeColor="text1"/>
                <w:sz w:val="24"/>
                <w:szCs w:val="24"/>
                <w:highlight w:val="none"/>
                <w:u w:val="none"/>
                <w:lang w:val="en-US" w:eastAsia="zh-CN"/>
                <w14:textFill>
                  <w14:solidFill>
                    <w14:schemeClr w14:val="tx1"/>
                  </w14:solidFill>
                </w14:textFill>
              </w:rPr>
              <w:t>有关要求。</w:t>
            </w:r>
          </w:p>
          <w:p w14:paraId="4F063636">
            <w:pPr>
              <w:pStyle w:val="30"/>
              <w:keepNext w:val="0"/>
              <w:keepLines w:val="0"/>
              <w:pageBreakBefore w:val="0"/>
              <w:numPr>
                <w:ilvl w:val="0"/>
                <w:numId w:val="3"/>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与《福清融侨经济技术开发区总体规划环境影响报告书（2018</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2035年）》符合性分析</w:t>
            </w:r>
          </w:p>
          <w:p w14:paraId="7C6412D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000000" w:themeColor="text1"/>
                <w:sz w:val="24"/>
                <w:szCs w:val="24"/>
                <w:highlight w:val="none"/>
                <w:u w:val="none"/>
                <w:lang w:val="en-US" w:eastAsia="zh-CN"/>
                <w14:textFill>
                  <w14:solidFill>
                    <w14:schemeClr w14:val="tx1"/>
                  </w14:solidFill>
                </w14:textFill>
              </w:rPr>
              <w:t>根据《福清融侨经济技术开发区总体规划环境影响报告书（</w:t>
            </w:r>
            <w:r>
              <w:rPr>
                <w:rFonts w:hint="default" w:cs="Times New Roman"/>
                <w:color w:val="000000" w:themeColor="text1"/>
                <w:sz w:val="24"/>
                <w:szCs w:val="24"/>
                <w:highlight w:val="none"/>
                <w:u w:val="none"/>
                <w:lang w:val="en-US" w:eastAsia="zh-CN"/>
                <w14:textFill>
                  <w14:solidFill>
                    <w14:schemeClr w14:val="tx1"/>
                  </w14:solidFill>
                </w14:textFill>
              </w:rPr>
              <w:t>2018-2035</w:t>
            </w:r>
            <w:r>
              <w:rPr>
                <w:rFonts w:hint="eastAsia" w:cs="Times New Roman"/>
                <w:color w:val="000000" w:themeColor="text1"/>
                <w:sz w:val="24"/>
                <w:szCs w:val="24"/>
                <w:highlight w:val="none"/>
                <w:u w:val="none"/>
                <w:lang w:val="en-US" w:eastAsia="zh-CN"/>
                <w14:textFill>
                  <w14:solidFill>
                    <w14:schemeClr w14:val="tx1"/>
                  </w14:solidFill>
                </w14:textFill>
              </w:rPr>
              <w:t>年）》及其审查意见（环审</w:t>
            </w:r>
            <w:r>
              <w:rPr>
                <w:rFonts w:hint="default" w:cs="Times New Roman"/>
                <w:color w:val="000000" w:themeColor="text1"/>
                <w:sz w:val="24"/>
                <w:szCs w:val="24"/>
                <w:highlight w:val="none"/>
                <w:u w:val="none"/>
                <w:lang w:val="en-US" w:eastAsia="zh-CN"/>
                <w14:textFill>
                  <w14:solidFill>
                    <w14:schemeClr w14:val="tx1"/>
                  </w14:solidFill>
                </w14:textFill>
              </w:rPr>
              <w:t xml:space="preserve">[2020]80 </w:t>
            </w:r>
            <w:r>
              <w:rPr>
                <w:rFonts w:hint="eastAsia" w:cs="Times New Roman"/>
                <w:color w:val="000000" w:themeColor="text1"/>
                <w:sz w:val="24"/>
                <w:szCs w:val="24"/>
                <w:highlight w:val="none"/>
                <w:u w:val="none"/>
                <w:lang w:val="en-US" w:eastAsia="zh-CN"/>
                <w14:textFill>
                  <w14:solidFill>
                    <w14:schemeClr w14:val="tx1"/>
                  </w14:solidFill>
                </w14:textFill>
              </w:rPr>
              <w:t>号），融侨经济技术开发区主要产业电子信息：显示科技、光电科技、电子元器件、通讯设备、计算机与智能终端设备等；机械电气：数控机床、精密模具、光机电一体化等；汽车零配件：汽配玻璃、汽车零部件、变速器、汽车轴承等。根据开发区对主导产业发展方向的定位，对照《国民经济行业分类》</w:t>
            </w:r>
            <w:r>
              <w:rPr>
                <w:rFonts w:hint="default" w:cs="Times New Roman"/>
                <w:color w:val="000000" w:themeColor="text1"/>
                <w:sz w:val="24"/>
                <w:szCs w:val="24"/>
                <w:highlight w:val="none"/>
                <w:u w:val="none"/>
                <w:lang w:val="en-US" w:eastAsia="zh-CN"/>
                <w14:textFill>
                  <w14:solidFill>
                    <w14:schemeClr w14:val="tx1"/>
                  </w14:solidFill>
                </w14:textFill>
              </w:rPr>
              <w:t>(GB/T4754-2017)</w:t>
            </w:r>
            <w:r>
              <w:rPr>
                <w:rFonts w:hint="eastAsia" w:cs="Times New Roman"/>
                <w:color w:val="000000" w:themeColor="text1"/>
                <w:sz w:val="24"/>
                <w:szCs w:val="24"/>
                <w:highlight w:val="none"/>
                <w:u w:val="none"/>
                <w:lang w:val="en-US" w:eastAsia="zh-CN"/>
                <w14:textFill>
                  <w14:solidFill>
                    <w14:schemeClr w14:val="tx1"/>
                  </w14:solidFill>
                </w14:textFill>
              </w:rPr>
              <w:t>，主导行业涉及国民经济类别主要包括</w:t>
            </w:r>
            <w:r>
              <w:rPr>
                <w:rFonts w:hint="default" w:cs="Times New Roman"/>
                <w:color w:val="000000" w:themeColor="text1"/>
                <w:sz w:val="24"/>
                <w:szCs w:val="24"/>
                <w:highlight w:val="none"/>
                <w:u w:val="none"/>
                <w:lang w:val="en-US" w:eastAsia="zh-CN"/>
                <w14:textFill>
                  <w14:solidFill>
                    <w14:schemeClr w14:val="tx1"/>
                  </w14:solidFill>
                </w14:textFill>
              </w:rPr>
              <w:t>C29</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C304</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C33</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C34</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C35</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C36</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C38</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C39</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C40</w:t>
            </w:r>
            <w:r>
              <w:rPr>
                <w:rFonts w:hint="eastAsia" w:cs="Times New Roman"/>
                <w:color w:val="000000" w:themeColor="text1"/>
                <w:sz w:val="24"/>
                <w:szCs w:val="24"/>
                <w:highlight w:val="none"/>
                <w:u w:val="none"/>
                <w:lang w:val="en-US" w:eastAsia="zh-CN"/>
                <w14:textFill>
                  <w14:solidFill>
                    <w14:schemeClr w14:val="tx1"/>
                  </w14:solidFill>
                </w14:textFill>
              </w:rPr>
              <w:t>。本</w:t>
            </w:r>
            <w:r>
              <w:rPr>
                <w:rFonts w:hint="default" w:cs="Times New Roman"/>
                <w:color w:val="000000" w:themeColor="text1"/>
                <w:sz w:val="24"/>
                <w:szCs w:val="24"/>
                <w:highlight w:val="none"/>
                <w:u w:val="none"/>
                <w:lang w:val="en-US" w:eastAsia="zh-CN"/>
                <w14:textFill>
                  <w14:solidFill>
                    <w14:schemeClr w14:val="tx1"/>
                  </w14:solidFill>
                </w14:textFill>
              </w:rPr>
              <w:t>项目从事</w:t>
            </w:r>
            <w:r>
              <w:rPr>
                <w:rFonts w:hint="eastAsia" w:cs="Times New Roman"/>
                <w:color w:val="000000" w:themeColor="text1"/>
                <w:sz w:val="24"/>
                <w:szCs w:val="24"/>
                <w:highlight w:val="none"/>
                <w:u w:val="none"/>
                <w:lang w:val="en-US" w:eastAsia="zh-CN"/>
                <w14:textFill>
                  <w14:solidFill>
                    <w14:schemeClr w14:val="tx1"/>
                  </w14:solidFill>
                </w14:textFill>
              </w:rPr>
              <w:t>五金配件（铝铸件）</w:t>
            </w:r>
            <w:r>
              <w:rPr>
                <w:rFonts w:hint="default" w:cs="Times New Roman"/>
                <w:color w:val="000000" w:themeColor="text1"/>
                <w:sz w:val="24"/>
                <w:szCs w:val="24"/>
                <w:highlight w:val="none"/>
                <w:u w:val="none"/>
                <w:lang w:val="en-US" w:eastAsia="zh-CN"/>
                <w14:textFill>
                  <w14:solidFill>
                    <w14:schemeClr w14:val="tx1"/>
                  </w14:solidFill>
                </w14:textFill>
              </w:rPr>
              <w:t>加工制造</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cs="Times New Roman"/>
                <w:color w:val="000000" w:themeColor="text1"/>
                <w:sz w:val="24"/>
                <w:szCs w:val="24"/>
                <w:highlight w:val="none"/>
                <w:u w:val="none"/>
                <w:lang w:val="en-US" w:eastAsia="zh-CN"/>
                <w14:textFill>
                  <w14:solidFill>
                    <w14:schemeClr w14:val="tx1"/>
                  </w14:solidFill>
                </w14:textFill>
              </w:rPr>
              <w:t>C3392</w:t>
            </w:r>
            <w:r>
              <w:rPr>
                <w:rFonts w:hint="eastAsia" w:cs="Times New Roman"/>
                <w:color w:val="000000" w:themeColor="text1"/>
                <w:sz w:val="24"/>
                <w:szCs w:val="24"/>
                <w:highlight w:val="none"/>
                <w:u w:val="none"/>
                <w:lang w:val="en-US" w:eastAsia="zh-CN"/>
                <w14:textFill>
                  <w14:solidFill>
                    <w14:schemeClr w14:val="tx1"/>
                  </w14:solidFill>
                </w14:textFill>
              </w:rPr>
              <w:t>有色金属铸造，属于</w:t>
            </w:r>
            <w:r>
              <w:rPr>
                <w:rFonts w:hint="default" w:cs="Times New Roman"/>
                <w:color w:val="000000" w:themeColor="text1"/>
                <w:sz w:val="24"/>
                <w:szCs w:val="24"/>
                <w:highlight w:val="none"/>
                <w:u w:val="none"/>
                <w:lang w:val="en-US" w:eastAsia="zh-CN"/>
                <w14:textFill>
                  <w14:solidFill>
                    <w14:schemeClr w14:val="tx1"/>
                  </w14:solidFill>
                </w14:textFill>
              </w:rPr>
              <w:t>C33</w:t>
            </w:r>
            <w:r>
              <w:rPr>
                <w:rFonts w:hint="eastAsia" w:cs="Times New Roman"/>
                <w:color w:val="000000" w:themeColor="text1"/>
                <w:sz w:val="24"/>
                <w:szCs w:val="24"/>
                <w:highlight w:val="none"/>
                <w:u w:val="none"/>
                <w:lang w:val="en-US" w:eastAsia="zh-CN"/>
                <w14:textFill>
                  <w14:solidFill>
                    <w14:schemeClr w14:val="tx1"/>
                  </w14:solidFill>
                </w14:textFill>
              </w:rPr>
              <w:t>金属制造业，为开发区主导行业，符合该园区规划环评的产业政策。</w:t>
            </w:r>
            <w:r>
              <w:rPr>
                <w:rFonts w:hint="default" w:cs="Times New Roman"/>
                <w:color w:val="000000" w:themeColor="text1"/>
                <w:sz w:val="24"/>
                <w:szCs w:val="24"/>
                <w:highlight w:val="none"/>
                <w:u w:val="none"/>
                <w:lang w:val="en-US" w:eastAsia="zh-CN"/>
                <w14:textFill>
                  <w14:solidFill>
                    <w14:schemeClr w14:val="tx1"/>
                  </w14:solidFill>
                </w14:textFill>
              </w:rPr>
              <w:t>因此，应遵循福清融侨经济开发区的产业准入要求，根</w:t>
            </w:r>
            <w:r>
              <w:rPr>
                <w:rFonts w:hint="default" w:ascii="Times New Roman" w:hAnsi="Times New Roman" w:eastAsia="宋体" w:cs="Times New Roman"/>
                <w:color w:val="auto"/>
                <w:sz w:val="24"/>
                <w:szCs w:val="24"/>
                <w:highlight w:val="none"/>
                <w:u w:val="none"/>
                <w:lang w:val="en-US" w:eastAsia="zh-CN"/>
              </w:rPr>
              <w:t>据前文分析，本项目符合福清融侨经济开发区准入产业。</w:t>
            </w:r>
          </w:p>
          <w:p w14:paraId="7F21585C">
            <w:pPr>
              <w:pStyle w:val="30"/>
              <w:keepNext w:val="0"/>
              <w:keepLines w:val="0"/>
              <w:pageBreakBefore w:val="0"/>
              <w:numPr>
                <w:ilvl w:val="0"/>
                <w:numId w:val="0"/>
              </w:numPr>
              <w:kinsoku/>
              <w:wordWrap/>
              <w:overflowPunct/>
              <w:topLinePunct w:val="0"/>
              <w:autoSpaceDE/>
              <w:autoSpaceDN/>
              <w:bidi w:val="0"/>
              <w:spacing w:line="360" w:lineRule="auto"/>
              <w:ind w:leftChars="200" w:right="0" w:rightChars="0"/>
              <w:jc w:val="left"/>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与规划环评及审查意见符合性分析</w:t>
            </w:r>
          </w:p>
          <w:p w14:paraId="7C7A3791">
            <w:pPr>
              <w:pStyle w:val="30"/>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对照</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环境影响报告书》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，本项目与规划区主导产业环境准入清单符合性分析详见表1.1-2。</w:t>
            </w:r>
          </w:p>
          <w:p w14:paraId="1249C9C4">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表1.1-2 本项目与规划区主导产业环境准入清单符合性分析表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183"/>
              <w:gridCol w:w="3638"/>
              <w:gridCol w:w="650"/>
            </w:tblGrid>
            <w:tr w14:paraId="1198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noWrap w:val="0"/>
                  <w:vAlign w:val="center"/>
                </w:tcPr>
                <w:p w14:paraId="4C40C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类别</w:t>
                  </w:r>
                </w:p>
                <w:p w14:paraId="52328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名称</w:t>
                  </w:r>
                </w:p>
              </w:tc>
              <w:tc>
                <w:tcPr>
                  <w:tcW w:w="1960" w:type="pct"/>
                  <w:noWrap w:val="0"/>
                  <w:vAlign w:val="center"/>
                </w:tcPr>
                <w:p w14:paraId="7D6CE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空间布局</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约束</w:t>
                  </w:r>
                </w:p>
              </w:tc>
              <w:tc>
                <w:tcPr>
                  <w:tcW w:w="2240" w:type="pct"/>
                  <w:noWrap w:val="0"/>
                  <w:vAlign w:val="center"/>
                </w:tcPr>
                <w:p w14:paraId="1FA2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400" w:type="pct"/>
                  <w:noWrap w:val="0"/>
                  <w:vAlign w:val="center"/>
                </w:tcPr>
                <w:p w14:paraId="0E60CC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05D3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399" w:type="pct"/>
                  <w:vMerge w:val="restart"/>
                  <w:noWrap w:val="0"/>
                  <w:vAlign w:val="center"/>
                </w:tcPr>
                <w:p w14:paraId="01C6B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33金属制品业</w:t>
                  </w:r>
                </w:p>
              </w:tc>
              <w:tc>
                <w:tcPr>
                  <w:tcW w:w="1960" w:type="pct"/>
                  <w:noWrap w:val="0"/>
                  <w:vAlign w:val="center"/>
                </w:tcPr>
                <w:p w14:paraId="04706CA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禁止新建：</w:t>
                  </w:r>
                </w:p>
                <w:p w14:paraId="7E705669">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、使用有机涂层的（喷塑、电泳及高端项目配套除外）</w:t>
                  </w:r>
                </w:p>
                <w:p w14:paraId="5889189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、涉及熔炼、电镀工艺</w:t>
                  </w:r>
                </w:p>
                <w:p w14:paraId="101707DA">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、涉及钝化工艺的热镀锌</w:t>
                  </w:r>
                </w:p>
                <w:p w14:paraId="20A0592B">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、油性漆使用量超过</w:t>
                  </w:r>
                  <w:r>
                    <w:rPr>
                      <w:rFonts w:hint="default" w:ascii="Times New Roman" w:hAnsi="Times New Roman" w:eastAsia="宋体" w:cs="Times New Roman"/>
                      <w:color w:val="000000"/>
                      <w:kern w:val="0"/>
                      <w:sz w:val="21"/>
                      <w:szCs w:val="21"/>
                      <w:lang w:val="en-US" w:eastAsia="zh-CN" w:bidi="ar"/>
                    </w:rPr>
                    <w:t>10t/a</w:t>
                  </w:r>
                  <w:r>
                    <w:rPr>
                      <w:rFonts w:hint="eastAsia" w:ascii="宋体" w:hAnsi="宋体" w:eastAsia="宋体" w:cs="宋体"/>
                      <w:color w:val="000000"/>
                      <w:kern w:val="0"/>
                      <w:sz w:val="21"/>
                      <w:szCs w:val="21"/>
                      <w:lang w:val="en-US" w:eastAsia="zh-CN" w:bidi="ar"/>
                    </w:rPr>
                    <w:t>喷漆工艺</w:t>
                  </w:r>
                </w:p>
                <w:p w14:paraId="12F93145">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、使用火焰法除旧漆，使用干喷砂除锈</w:t>
                  </w:r>
                </w:p>
                <w:p w14:paraId="6242F6C5">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、采用煤、油、生物质等非清洁能源</w:t>
                  </w:r>
                </w:p>
                <w:p w14:paraId="1068C607">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、铅酸蓄电池制造</w:t>
                  </w:r>
                </w:p>
                <w:p w14:paraId="25320BF0">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、印刷电路板（高密度印刷电路板和柔性电路板除外）</w:t>
                  </w:r>
                </w:p>
                <w:p w14:paraId="09972BD9">
                  <w:pPr>
                    <w:keepNext w:val="0"/>
                    <w:keepLines w:val="0"/>
                    <w:widowControl/>
                    <w:suppressLineNumbers w:val="0"/>
                    <w:jc w:val="lef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kern w:val="0"/>
                      <w:sz w:val="21"/>
                      <w:szCs w:val="21"/>
                      <w:lang w:val="en-US" w:eastAsia="zh-CN" w:bidi="ar"/>
                    </w:rPr>
                    <w:t>现有生产能力允许企业在一定期限内采取措施改造升级</w:t>
                  </w:r>
                </w:p>
              </w:tc>
              <w:tc>
                <w:tcPr>
                  <w:tcW w:w="2240" w:type="pct"/>
                  <w:noWrap w:val="0"/>
                  <w:vAlign w:val="center"/>
                </w:tcPr>
                <w:p w14:paraId="7C3FD4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s="Times New Roman"/>
                      <w:color w:val="auto"/>
                      <w:sz w:val="21"/>
                      <w:szCs w:val="21"/>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1、</w:t>
                  </w:r>
                  <w:r>
                    <w:rPr>
                      <w:rFonts w:hint="eastAsia" w:cs="Times New Roman"/>
                      <w:color w:val="auto"/>
                      <w:sz w:val="21"/>
                      <w:szCs w:val="21"/>
                      <w:highlight w:val="none"/>
                      <w:lang w:val="en-US" w:eastAsia="zh-CN"/>
                    </w:rPr>
                    <w:t>本项目涉及喷塑工艺委外加工，不在本项目范围内加工；</w:t>
                  </w:r>
                </w:p>
                <w:p w14:paraId="4CB540C7">
                  <w:pPr>
                    <w:pStyle w:val="2"/>
                    <w:numPr>
                      <w:ilvl w:val="0"/>
                      <w:numId w:val="0"/>
                    </w:numPr>
                    <w:rPr>
                      <w:rFonts w:hint="eastAsia"/>
                      <w:color w:val="auto"/>
                      <w:lang w:val="en-US" w:eastAsia="zh-CN"/>
                    </w:rPr>
                  </w:pPr>
                  <w:r>
                    <w:rPr>
                      <w:rFonts w:hint="eastAsia"/>
                      <w:color w:val="auto"/>
                      <w:lang w:val="en-US" w:eastAsia="zh-CN"/>
                    </w:rPr>
                    <w:t>2、不涉及熔炼、电镀工艺；</w:t>
                  </w:r>
                </w:p>
                <w:p w14:paraId="7CE71A9B">
                  <w:pPr>
                    <w:rPr>
                      <w:rFonts w:hint="eastAsia"/>
                      <w:lang w:val="en-US" w:eastAsia="zh-CN"/>
                    </w:rPr>
                  </w:pPr>
                  <w:r>
                    <w:rPr>
                      <w:rFonts w:hint="eastAsia"/>
                      <w:lang w:val="en-US" w:eastAsia="zh-CN"/>
                    </w:rPr>
                    <w:t>3-5、不涉及钝化工艺、不使用油性漆；</w:t>
                  </w:r>
                </w:p>
                <w:p w14:paraId="6CCCCBA2">
                  <w:pPr>
                    <w:pStyle w:val="2"/>
                    <w:ind w:left="0" w:leftChars="0" w:firstLine="0" w:firstLineChars="0"/>
                    <w:rPr>
                      <w:rFonts w:hint="eastAsia"/>
                      <w:lang w:val="en-US" w:eastAsia="zh-CN"/>
                    </w:rPr>
                  </w:pPr>
                  <w:r>
                    <w:rPr>
                      <w:rFonts w:hint="eastAsia"/>
                      <w:lang w:val="en-US" w:eastAsia="zh-CN"/>
                    </w:rPr>
                    <w:t>6、生产设备均采用电能等清洁能源；</w:t>
                  </w:r>
                </w:p>
                <w:p w14:paraId="4331F745">
                  <w:pPr>
                    <w:rPr>
                      <w:rFonts w:hint="default"/>
                      <w:lang w:val="en-US" w:eastAsia="zh-CN"/>
                    </w:rPr>
                  </w:pPr>
                  <w:r>
                    <w:rPr>
                      <w:rFonts w:hint="eastAsia"/>
                      <w:lang w:val="en-US" w:eastAsia="zh-CN"/>
                    </w:rPr>
                    <w:t>7-8、不涉及铅酸蓄电池及印刷电路板生产</w:t>
                  </w:r>
                </w:p>
              </w:tc>
              <w:tc>
                <w:tcPr>
                  <w:tcW w:w="400" w:type="pct"/>
                  <w:noWrap w:val="0"/>
                  <w:vAlign w:val="center"/>
                </w:tcPr>
                <w:p w14:paraId="0E888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0DB3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99" w:type="pct"/>
                  <w:vMerge w:val="continue"/>
                  <w:noWrap w:val="0"/>
                  <w:vAlign w:val="center"/>
                </w:tcPr>
                <w:p w14:paraId="000F8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60" w:type="pct"/>
                  <w:noWrap w:val="0"/>
                  <w:vAlign w:val="center"/>
                </w:tcPr>
                <w:p w14:paraId="2DB3B2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防控</w:t>
                  </w:r>
                </w:p>
              </w:tc>
              <w:tc>
                <w:tcPr>
                  <w:tcW w:w="2240" w:type="pct"/>
                  <w:noWrap w:val="0"/>
                  <w:vAlign w:val="center"/>
                </w:tcPr>
                <w:p w14:paraId="75993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400" w:type="pct"/>
                  <w:noWrap w:val="0"/>
                  <w:vAlign w:val="center"/>
                </w:tcPr>
                <w:p w14:paraId="6A21A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39554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99" w:type="pct"/>
                  <w:vMerge w:val="continue"/>
                  <w:noWrap w:val="0"/>
                  <w:vAlign w:val="center"/>
                </w:tcPr>
                <w:p w14:paraId="111E0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60" w:type="pct"/>
                  <w:noWrap w:val="0"/>
                  <w:vAlign w:val="center"/>
                </w:tcPr>
                <w:p w14:paraId="5DC9754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、必须规范配套应急池，建设企业、园区和周边水系三级环境风险防控工程，确保有效拦截、降污和倒流；受园区排污影响的周边水系应建设应急闸门，防止泄漏物和消防水等排入外环境。</w:t>
                  </w:r>
                </w:p>
                <w:p w14:paraId="73B2002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、开发区内污水处理设施应采取必要的防渗处理，不得污染地下水环境。</w:t>
                  </w:r>
                </w:p>
                <w:p w14:paraId="53824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40" w:type="pct"/>
                  <w:noWrap w:val="0"/>
                  <w:vAlign w:val="center"/>
                </w:tcPr>
                <w:p w14:paraId="014D0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1、园区将严格按照要求，统一建设事故应急池，</w:t>
                  </w:r>
                  <w:r>
                    <w:rPr>
                      <w:rFonts w:hint="default" w:ascii="Times New Roman" w:hAnsi="Times New Roman" w:eastAsia="宋体" w:cs="Times New Roman"/>
                      <w:color w:val="000000" w:themeColor="text1"/>
                      <w:sz w:val="21"/>
                      <w:szCs w:val="21"/>
                      <w:highlight w:val="none"/>
                      <w14:textFill>
                        <w14:solidFill>
                          <w14:schemeClr w14:val="tx1"/>
                        </w14:solidFill>
                      </w14:textFill>
                    </w:rPr>
                    <w:t>建设企业、园区和周边水系三级环境风险防控工程，确保有效拦截、降污和</w:t>
                  </w:r>
                  <w:r>
                    <w:rPr>
                      <w:rFonts w:hint="eastAsia" w:cs="Times New Roman"/>
                      <w:color w:val="000000" w:themeColor="text1"/>
                      <w:sz w:val="21"/>
                      <w:szCs w:val="21"/>
                      <w:highlight w:val="none"/>
                      <w:lang w:eastAsia="zh-CN"/>
                      <w14:textFill>
                        <w14:solidFill>
                          <w14:schemeClr w14:val="tx1"/>
                        </w14:solidFill>
                      </w14:textFill>
                    </w:rPr>
                    <w:t>导流</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74AE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0" w:type="pct"/>
                  <w:noWrap w:val="0"/>
                  <w:vAlign w:val="center"/>
                </w:tcPr>
                <w:p w14:paraId="3B597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637E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399" w:type="pct"/>
                  <w:vMerge w:val="continue"/>
                  <w:noWrap w:val="0"/>
                  <w:vAlign w:val="center"/>
                </w:tcPr>
                <w:p w14:paraId="604D6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60" w:type="pct"/>
                  <w:noWrap w:val="0"/>
                  <w:vAlign w:val="center"/>
                </w:tcPr>
                <w:p w14:paraId="6F895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污染物排放管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控</w:t>
                  </w:r>
                </w:p>
              </w:tc>
              <w:tc>
                <w:tcPr>
                  <w:tcW w:w="2240" w:type="pct"/>
                  <w:noWrap w:val="0"/>
                  <w:vAlign w:val="center"/>
                </w:tcPr>
                <w:p w14:paraId="60983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400" w:type="pct"/>
                  <w:noWrap w:val="0"/>
                  <w:vAlign w:val="center"/>
                </w:tcPr>
                <w:p w14:paraId="60E17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6E25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399" w:type="pct"/>
                  <w:vMerge w:val="continue"/>
                  <w:noWrap w:val="0"/>
                  <w:vAlign w:val="center"/>
                </w:tcPr>
                <w:p w14:paraId="4280A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60" w:type="pct"/>
                  <w:noWrap w:val="0"/>
                  <w:vAlign w:val="center"/>
                </w:tcPr>
                <w:p w14:paraId="69361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1、新、改、扩建项目新增大气污染物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现阶段指SO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排放量实行1.5 倍削减替代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不含使用天然气、液化石油气等作为燃料的非火电锅炉和工业炉窑</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05F55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2、新、改、扩建项目新增VOCs排放量实行倍量削减替代。</w:t>
                  </w:r>
                </w:p>
                <w:p w14:paraId="3CF0E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3、工业企业废水全部纳管进入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highlight w:val="none"/>
                      <w14:textFill>
                        <w14:solidFill>
                          <w14:schemeClr w14:val="tx1"/>
                        </w14:solidFill>
                      </w14:textFill>
                    </w:rPr>
                    <w:t>集中处理后达标排放。</w:t>
                  </w:r>
                </w:p>
              </w:tc>
              <w:tc>
                <w:tcPr>
                  <w:tcW w:w="2240" w:type="pct"/>
                  <w:noWrap w:val="0"/>
                  <w:vAlign w:val="center"/>
                </w:tcPr>
                <w:p w14:paraId="2B34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等污染物排放。</w:t>
                  </w:r>
                </w:p>
                <w:p w14:paraId="60700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sz w:val="21"/>
                      <w:szCs w:val="21"/>
                      <w:highlight w:val="none"/>
                      <w14:textFill>
                        <w14:solidFill>
                          <w14:schemeClr w14:val="tx1"/>
                        </w14:solidFill>
                      </w14:textFill>
                    </w:rPr>
                    <w:t>拟实行区域内倍量替代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F467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0" w:type="pct"/>
                  <w:noWrap w:val="0"/>
                  <w:vAlign w:val="center"/>
                </w:tcPr>
                <w:p w14:paraId="64D18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37735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99" w:type="pct"/>
                  <w:vMerge w:val="continue"/>
                  <w:noWrap w:val="0"/>
                  <w:vAlign w:val="center"/>
                </w:tcPr>
                <w:p w14:paraId="0E049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60" w:type="pct"/>
                  <w:noWrap w:val="0"/>
                  <w:vAlign w:val="center"/>
                </w:tcPr>
                <w:p w14:paraId="289FF2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资源环境效率管控</w:t>
                  </w:r>
                </w:p>
              </w:tc>
              <w:tc>
                <w:tcPr>
                  <w:tcW w:w="2240" w:type="pct"/>
                  <w:noWrap w:val="0"/>
                  <w:vAlign w:val="center"/>
                </w:tcPr>
                <w:p w14:paraId="2B2739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400" w:type="pct"/>
                  <w:noWrap w:val="0"/>
                  <w:vAlign w:val="center"/>
                </w:tcPr>
                <w:p w14:paraId="4515E6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1E308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399" w:type="pct"/>
                  <w:vMerge w:val="continue"/>
                  <w:noWrap w:val="0"/>
                  <w:vAlign w:val="center"/>
                </w:tcPr>
                <w:p w14:paraId="2F4D75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60" w:type="pct"/>
                  <w:noWrap w:val="0"/>
                  <w:vAlign w:val="center"/>
                </w:tcPr>
                <w:p w14:paraId="7E70B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1、能耗不超过0.</w:t>
                  </w:r>
                  <w:r>
                    <w:rPr>
                      <w:rFonts w:hint="eastAsia" w:cs="Times New Roman"/>
                      <w:color w:val="000000" w:themeColor="text1"/>
                      <w:sz w:val="21"/>
                      <w:szCs w:val="21"/>
                      <w:highlight w:val="none"/>
                      <w:lang w:val="en-US" w:eastAsia="zh-CN"/>
                      <w14:textFill>
                        <w14:solidFill>
                          <w14:schemeClr w14:val="tx1"/>
                        </w14:solidFill>
                      </w14:textFill>
                    </w:rPr>
                    <w:t>04</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C6154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2、水耗不超过1.19t/万元工业增加值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4BF3F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3、污水排放量不超过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z w:val="21"/>
                      <w:szCs w:val="21"/>
                      <w:highlight w:val="none"/>
                      <w14:textFill>
                        <w14:solidFill>
                          <w14:schemeClr w14:val="tx1"/>
                        </w14:solidFill>
                      </w14:textFill>
                    </w:rPr>
                    <w:t>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76B5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4、VOCs排放量不超过0.4</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kg/万元工业增加值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240" w:type="pct"/>
                  <w:noWrap w:val="0"/>
                  <w:vAlign w:val="center"/>
                </w:tcPr>
                <w:p w14:paraId="3385E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本项目工业增加值约为</w:t>
                  </w:r>
                  <w:r>
                    <w:rPr>
                      <w:rFonts w:hint="eastAsia" w:cs="Times New Roman"/>
                      <w:color w:val="000000" w:themeColor="text1"/>
                      <w:sz w:val="21"/>
                      <w:szCs w:val="21"/>
                      <w:highlight w:val="none"/>
                      <w:lang w:val="en-US" w:eastAsia="zh-CN"/>
                      <w14:textFill>
                        <w14:solidFill>
                          <w14:schemeClr w14:val="tx1"/>
                        </w14:solidFill>
                      </w14:textFill>
                    </w:rPr>
                    <w:t>2800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万元；</w:t>
                  </w:r>
                </w:p>
                <w:p w14:paraId="6CCA7C2D">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能耗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为电能</w:t>
                  </w:r>
                  <w:r>
                    <w:rPr>
                      <w:rFonts w:hint="eastAsia" w:cs="Times New Roman"/>
                      <w:b w:val="0"/>
                      <w:bCs w:val="0"/>
                      <w:color w:val="000000" w:themeColor="text1"/>
                      <w:sz w:val="21"/>
                      <w:szCs w:val="21"/>
                      <w:highlight w:val="none"/>
                      <w:lang w:val="en-US" w:eastAsia="zh-CN"/>
                      <w14:textFill>
                        <w14:solidFill>
                          <w14:schemeClr w14:val="tx1"/>
                        </w14:solidFill>
                      </w14:textFill>
                    </w:rPr>
                    <w:t>96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万</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kW</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h/a</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折标为</w:t>
                  </w:r>
                  <w:r>
                    <w:rPr>
                      <w:rFonts w:hint="eastAsia" w:cs="Times New Roman"/>
                      <w:b w:val="0"/>
                      <w:bCs w:val="0"/>
                      <w:color w:val="000000" w:themeColor="text1"/>
                      <w:sz w:val="21"/>
                      <w:szCs w:val="21"/>
                      <w:highlight w:val="none"/>
                      <w:lang w:val="en-US" w:eastAsia="zh-CN"/>
                      <w14:textFill>
                        <w14:solidFill>
                          <w14:schemeClr w14:val="tx1"/>
                        </w14:solidFill>
                      </w14:textFill>
                    </w:rPr>
                    <w:t>336</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则项目能耗约</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14:textFill>
                        <w14:solidFill>
                          <w14:schemeClr w14:val="tx1"/>
                        </w14:solidFill>
                      </w14:textFill>
                    </w:rPr>
                    <w:t>吨标煤/万元工业增加值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5983336">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项目年耗</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量为</w:t>
                  </w:r>
                  <w:r>
                    <w:rPr>
                      <w:rFonts w:hint="eastAsia" w:cs="Times New Roman"/>
                      <w:color w:val="000000" w:themeColor="text1"/>
                      <w:sz w:val="21"/>
                      <w:szCs w:val="21"/>
                      <w:highlight w:val="none"/>
                      <w:lang w:val="en-US" w:eastAsia="zh-CN"/>
                      <w14:textFill>
                        <w14:solidFill>
                          <w14:schemeClr w14:val="tx1"/>
                        </w14:solidFill>
                      </w14:textFill>
                    </w:rPr>
                    <w:t>5300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t，则水</w:t>
                  </w:r>
                  <w:r>
                    <w:rPr>
                      <w:rFonts w:hint="default" w:ascii="Times New Roman" w:hAnsi="Times New Roman" w:eastAsia="宋体" w:cs="Times New Roman"/>
                      <w:color w:val="000000" w:themeColor="text1"/>
                      <w:sz w:val="21"/>
                      <w:szCs w:val="21"/>
                      <w:highlight w:val="none"/>
                      <w14:textFill>
                        <w14:solidFill>
                          <w14:schemeClr w14:val="tx1"/>
                        </w14:solidFill>
                      </w14:textFill>
                    </w:rPr>
                    <w:t>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625</w:t>
                  </w:r>
                  <w:r>
                    <w:rPr>
                      <w:rFonts w:hint="default" w:ascii="Times New Roman" w:hAnsi="Times New Roman" w:eastAsia="宋体" w:cs="Times New Roman"/>
                      <w:color w:val="auto"/>
                      <w:sz w:val="21"/>
                      <w:szCs w:val="21"/>
                      <w:highlight w:val="none"/>
                    </w:rPr>
                    <w:t>t/万</w:t>
                  </w:r>
                  <w:r>
                    <w:rPr>
                      <w:rFonts w:hint="default" w:ascii="Times New Roman" w:hAnsi="Times New Roman" w:eastAsia="宋体" w:cs="Times New Roman"/>
                      <w:color w:val="000000" w:themeColor="text1"/>
                      <w:sz w:val="21"/>
                      <w:szCs w:val="21"/>
                      <w:highlight w:val="none"/>
                      <w14:textFill>
                        <w14:solidFill>
                          <w14:schemeClr w14:val="tx1"/>
                        </w14:solidFill>
                      </w14:textFill>
                    </w:rPr>
                    <w:t>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9172E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污水排放量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cs="Times New Roman"/>
                      <w:color w:val="000000" w:themeColor="text1"/>
                      <w:sz w:val="21"/>
                      <w:szCs w:val="21"/>
                      <w:highlight w:val="none"/>
                      <w:lang w:val="en-US" w:eastAsia="zh-CN"/>
                      <w14:textFill>
                        <w14:solidFill>
                          <w14:schemeClr w14:val="tx1"/>
                        </w14:solidFill>
                      </w14:textFill>
                    </w:rPr>
                    <w:t>360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t/a，则污水排放量为</w:t>
                  </w:r>
                  <w:r>
                    <w:rPr>
                      <w:rFonts w:hint="eastAsia" w:cs="Times New Roman"/>
                      <w:color w:val="000000" w:themeColor="text1"/>
                      <w:sz w:val="21"/>
                      <w:szCs w:val="21"/>
                      <w:highlight w:val="none"/>
                      <w:lang w:val="en-US" w:eastAsia="zh-CN"/>
                      <w14:textFill>
                        <w14:solidFill>
                          <w14:schemeClr w14:val="tx1"/>
                        </w14:solidFill>
                      </w14:textFill>
                    </w:rPr>
                    <w:t>0.1286</w:t>
                  </w:r>
                  <w:r>
                    <w:rPr>
                      <w:rFonts w:hint="default" w:ascii="Times New Roman" w:hAnsi="Times New Roman" w:eastAsia="宋体" w:cs="Times New Roman"/>
                      <w:color w:val="000000" w:themeColor="text1"/>
                      <w:sz w:val="21"/>
                      <w:szCs w:val="21"/>
                      <w:highlight w:val="none"/>
                      <w14:textFill>
                        <w14:solidFill>
                          <w14:schemeClr w14:val="tx1"/>
                        </w14:solidFill>
                      </w14:textFill>
                    </w:rPr>
                    <w:t>t/万元工业增加值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2CE6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14:textFill>
                        <w14:solidFill>
                          <w14:schemeClr w14:val="tx1"/>
                        </w14:solidFill>
                      </w14:textFill>
                    </w:rPr>
                    <w:t>VOCs排放量</w:t>
                  </w:r>
                  <w:r>
                    <w:rPr>
                      <w:rFonts w:hint="default" w:ascii="Times New Roman" w:hAnsi="Times New Roman" w:eastAsia="宋体" w:cs="Times New Roman"/>
                      <w:color w:val="auto"/>
                      <w:sz w:val="21"/>
                      <w:szCs w:val="21"/>
                      <w:highlight w:val="none"/>
                      <w:lang w:val="en-US" w:eastAsia="zh-CN"/>
                    </w:rPr>
                    <w:t>为0.</w:t>
                  </w:r>
                  <w:r>
                    <w:rPr>
                      <w:rFonts w:hint="eastAsia" w:cs="Times New Roman"/>
                      <w:color w:val="auto"/>
                      <w:sz w:val="21"/>
                      <w:szCs w:val="21"/>
                      <w:highlight w:val="none"/>
                      <w:lang w:val="en-US" w:eastAsia="zh-CN"/>
                    </w:rPr>
                    <w:t>0293</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1"/>
                      <w:szCs w:val="21"/>
                      <w:highlight w:val="none"/>
                      <w14:textFill>
                        <w14:solidFill>
                          <w14:schemeClr w14:val="tx1"/>
                        </w14:solidFill>
                      </w14:textFill>
                    </w:rPr>
                    <w:t>VOCs排放量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cs="Times New Roman"/>
                      <w:color w:val="000000" w:themeColor="text1"/>
                      <w:sz w:val="21"/>
                      <w:szCs w:val="21"/>
                      <w:highlight w:val="none"/>
                      <w:lang w:val="en-US" w:eastAsia="zh-CN"/>
                      <w14:textFill>
                        <w14:solidFill>
                          <w14:schemeClr w14:val="tx1"/>
                        </w14:solidFill>
                      </w14:textFill>
                    </w:rPr>
                    <w:t>0.00104</w:t>
                  </w:r>
                  <w:r>
                    <w:rPr>
                      <w:rFonts w:hint="default" w:ascii="Times New Roman" w:hAnsi="Times New Roman" w:eastAsia="宋体" w:cs="Times New Roman"/>
                      <w:color w:val="000000" w:themeColor="text1"/>
                      <w:sz w:val="21"/>
                      <w:szCs w:val="21"/>
                      <w:highlight w:val="none"/>
                      <w14:textFill>
                        <w14:solidFill>
                          <w14:schemeClr w14:val="tx1"/>
                        </w14:solidFill>
                      </w14:textFill>
                    </w:rPr>
                    <w:t>kg/万元工业增加值</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400" w:type="pct"/>
                  <w:noWrap w:val="0"/>
                  <w:vAlign w:val="center"/>
                </w:tcPr>
                <w:p w14:paraId="60CCD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65B35B3E">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0A086C99">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表1.1-3 本项目与规划环评审查意见的符合性分析</w:t>
            </w:r>
          </w:p>
          <w:tbl>
            <w:tblPr>
              <w:tblStyle w:val="23"/>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3710"/>
              <w:gridCol w:w="3183"/>
              <w:gridCol w:w="687"/>
            </w:tblGrid>
            <w:tr w14:paraId="53AD0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434DE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2285" w:type="pct"/>
                  <w:noWrap w:val="0"/>
                  <w:vAlign w:val="center"/>
                </w:tcPr>
                <w:p w14:paraId="52AC7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规划环评审查意见要求</w:t>
                  </w:r>
                </w:p>
              </w:tc>
              <w:tc>
                <w:tcPr>
                  <w:tcW w:w="1960" w:type="pct"/>
                  <w:noWrap w:val="0"/>
                  <w:vAlign w:val="center"/>
                </w:tcPr>
                <w:p w14:paraId="21859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本项目内容</w:t>
                  </w:r>
                </w:p>
              </w:tc>
              <w:tc>
                <w:tcPr>
                  <w:tcW w:w="423" w:type="pct"/>
                  <w:noWrap w:val="0"/>
                  <w:vAlign w:val="center"/>
                </w:tcPr>
                <w:p w14:paraId="2720A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0C434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0AE70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85" w:type="pct"/>
                  <w:noWrap w:val="0"/>
                  <w:vAlign w:val="center"/>
                </w:tcPr>
                <w:p w14:paraId="0323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坚持绿色发展和协调发展理念，加强《规划》引导。落实国家、区域发展战略，坚持生态优先、高效集约发展，以环境质量改善为核心，进一步优化《规划》范围、布局、发展规模和产业结构等，做好与省市国土空间规划和“三线一单”（生态保护红线、环境质量底线、资源利用上线和生态环境准入清单</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的协调衔接。</w:t>
                  </w:r>
                </w:p>
              </w:tc>
              <w:tc>
                <w:tcPr>
                  <w:tcW w:w="1960" w:type="pct"/>
                  <w:noWrap w:val="0"/>
                  <w:vAlign w:val="center"/>
                </w:tcPr>
                <w:p w14:paraId="4809E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本项目主要从事</w:t>
                  </w:r>
                  <w:r>
                    <w:rPr>
                      <w:rFonts w:hint="eastAsia" w:cs="Times New Roman"/>
                      <w:color w:val="000000" w:themeColor="text1"/>
                      <w:sz w:val="21"/>
                      <w:szCs w:val="21"/>
                      <w:highlight w:val="none"/>
                      <w:u w:val="none"/>
                      <w:lang w:val="en-US" w:eastAsia="zh-CN"/>
                      <w14:textFill>
                        <w14:solidFill>
                          <w14:schemeClr w14:val="tx1"/>
                        </w14:solidFill>
                      </w14:textFill>
                    </w:rPr>
                    <w:t>五金配件（铝铸件）制造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，属于开发区主导行业，项目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符合园区产业发展定位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符合国土空间规划和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三线一单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3" w:type="pct"/>
                  <w:noWrap w:val="0"/>
                  <w:vAlign w:val="center"/>
                </w:tcPr>
                <w:p w14:paraId="76186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B4E6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0A0AC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85" w:type="pct"/>
                  <w:noWrap w:val="0"/>
                  <w:vAlign w:val="center"/>
                </w:tcPr>
                <w:p w14:paraId="134C2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着力推动开发区结构调整和转型升级。落实《报告书》提出的现有重污染企业和用地布局不合理企业的搬迁、淘汰进度，强化拟退出污染企业存续期间环境管控和风险防控，合理安排重污染企业腾退及周边土地开发时序，做好腾退企业遗留场地的土壤环境调查和风险评估，确保土地安全利用。促进开发区产业转型升级与生态环境保护、人居环境安全相协调。</w:t>
                  </w:r>
                </w:p>
              </w:tc>
              <w:tc>
                <w:tcPr>
                  <w:tcW w:w="1960" w:type="pct"/>
                  <w:noWrap w:val="0"/>
                  <w:vAlign w:val="center"/>
                </w:tcPr>
                <w:p w14:paraId="53FC3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项目不属于重污染企业，利用均和云谷·福清科技港已建厂房作为生产经营场所，属于工业厂房，符合用地规划。</w:t>
                  </w:r>
                </w:p>
              </w:tc>
              <w:tc>
                <w:tcPr>
                  <w:tcW w:w="423" w:type="pct"/>
                  <w:noWrap w:val="0"/>
                  <w:vAlign w:val="center"/>
                </w:tcPr>
                <w:p w14:paraId="78BF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6F6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 w:type="pct"/>
                  <w:noWrap w:val="0"/>
                  <w:vAlign w:val="center"/>
                </w:tcPr>
                <w:p w14:paraId="6A9F9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285" w:type="pct"/>
                  <w:noWrap w:val="0"/>
                  <w:vAlign w:val="center"/>
                </w:tcPr>
                <w:p w14:paraId="70938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严格空间管控，优化区内空间布局。做好《规划》控制和生态隔离带建设，加强对开发区内及周边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的保护，严禁不符合管控要求的各类开发建设活动，严禁占用现有自然水体等生态空间。结合福清市国土空间规划最新结果，进一步优化园区范围和空间布局，避让永久基本农田。</w:t>
                  </w:r>
                </w:p>
              </w:tc>
              <w:tc>
                <w:tcPr>
                  <w:tcW w:w="1960" w:type="pct"/>
                  <w:noWrap w:val="0"/>
                  <w:vAlign w:val="center"/>
                </w:tcPr>
                <w:p w14:paraId="1C7CB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项目周边最近的环境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保护目标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西南侧约</w:t>
                  </w:r>
                  <w:r>
                    <w:rPr>
                      <w:rFonts w:hint="eastAsia" w:cs="Times New Roman"/>
                      <w:color w:val="000000" w:themeColor="text1"/>
                      <w:sz w:val="21"/>
                      <w:szCs w:val="21"/>
                      <w:highlight w:val="none"/>
                      <w:lang w:val="en-US" w:eastAsia="zh-CN"/>
                      <w14:textFill>
                        <w14:solidFill>
                          <w14:schemeClr w14:val="tx1"/>
                        </w14:solidFill>
                      </w14:textFill>
                    </w:rPr>
                    <w:t>287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处的下田村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有一定隔离带；项目用地不涉及闽江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，不占用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自然水体等生态空间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永久基本农田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3" w:type="pct"/>
                  <w:noWrap w:val="0"/>
                  <w:vAlign w:val="center"/>
                </w:tcPr>
                <w:p w14:paraId="30561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DEF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30" w:type="pct"/>
                  <w:noWrap w:val="0"/>
                  <w:vAlign w:val="center"/>
                </w:tcPr>
                <w:p w14:paraId="75043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285" w:type="pct"/>
                  <w:noWrap w:val="0"/>
                  <w:vAlign w:val="center"/>
                </w:tcPr>
                <w:p w14:paraId="34851F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强化污染物排放总量管控。根据国家和福建省关于大气、水、土壤污染防治相关要求和区域“三线一单”成果，衔接龙江流域水环境综合整治结果，制定开发区污染减排方案及污染物总量管控要求，严格重金属总量管控。采取有效措施减少主要污染物和特征污染物的排放量，确保区域环境质量持续改善，促进产业发展与城市发展、生态环境保护相协调。</w:t>
                  </w:r>
                </w:p>
              </w:tc>
              <w:tc>
                <w:tcPr>
                  <w:tcW w:w="1960" w:type="pct"/>
                  <w:noWrap w:val="0"/>
                  <w:vAlign w:val="center"/>
                </w:tcPr>
                <w:p w14:paraId="5FA4C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熔融、压铸时</w:t>
                  </w:r>
                  <w:r>
                    <w:rPr>
                      <w:rFonts w:hint="default" w:ascii="Times New Roman" w:hAnsi="Times New Roman" w:eastAsia="宋体" w:cs="Times New Roman"/>
                      <w:color w:val="auto"/>
                      <w:sz w:val="21"/>
                      <w:szCs w:val="21"/>
                      <w:highlight w:val="none"/>
                      <w:lang w:val="en-US" w:eastAsia="zh-CN"/>
                    </w:rPr>
                    <w:t>产生的</w:t>
                  </w:r>
                  <w:r>
                    <w:rPr>
                      <w:rFonts w:hint="eastAsia" w:cs="Times New Roman"/>
                      <w:color w:val="auto"/>
                      <w:sz w:val="21"/>
                      <w:szCs w:val="21"/>
                      <w:highlight w:val="none"/>
                      <w:lang w:val="en-US" w:eastAsia="zh-CN"/>
                    </w:rPr>
                    <w:t>粉尘颗粒物拟采用布袋除尘器处理后排放；压铸脱模时产生的VOCs有机废气拟采用活性炭吸附装置进行处理。</w:t>
                  </w:r>
                  <w:r>
                    <w:rPr>
                      <w:rFonts w:hint="default" w:ascii="Times New Roman" w:hAnsi="Times New Roman" w:eastAsia="宋体" w:cs="Times New Roman"/>
                      <w:color w:val="auto"/>
                      <w:sz w:val="21"/>
                      <w:szCs w:val="21"/>
                      <w:highlight w:val="none"/>
                      <w:lang w:val="en-US" w:eastAsia="zh-CN"/>
                    </w:rPr>
                    <w:t>废气排放源强较低，对周边环境影响较小</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项目厂区已实现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雨污分流</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生产废水为压铸间接冷却水经冷却塔冷却后循环使用，产品水洗用水经循环水处理设备处理后循环使用。因此，本项目无生产废水排放。</w:t>
                  </w:r>
                  <w:r>
                    <w:rPr>
                      <w:rFonts w:hint="default" w:ascii="Times New Roman" w:hAnsi="Times New Roman" w:eastAsia="宋体" w:cs="Times New Roman"/>
                      <w:color w:val="auto"/>
                      <w:sz w:val="21"/>
                      <w:szCs w:val="21"/>
                      <w:highlight w:val="none"/>
                      <w:lang w:val="en-US" w:eastAsia="zh-CN"/>
                    </w:rPr>
                    <w:t>生活污水依托厂区内现有的排水管网排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入市政污水管网送往</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集中处理；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项目不涉及重金属等污染物，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项目将依法依规做好一般工业固体废物和危险废物的分类收集、利用、处理处置工作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3" w:type="pct"/>
                  <w:noWrap w:val="0"/>
                  <w:vAlign w:val="center"/>
                </w:tcPr>
                <w:p w14:paraId="0181D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20B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330" w:type="pct"/>
                  <w:noWrap w:val="0"/>
                  <w:vAlign w:val="center"/>
                </w:tcPr>
                <w:p w14:paraId="16C10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285" w:type="pct"/>
                  <w:noWrap w:val="0"/>
                  <w:vAlign w:val="center"/>
                </w:tcPr>
                <w:p w14:paraId="42FBE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入区项目生态环境准入，推动高质量发展。落实《报告书》生态环境准入要求，强化现有及入区企业挥发性有机物排放控制，禁止新增排放涉重金属污染物项目入区，禁止与主导产业不相关且污染物排放量大的项目入区。落实《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》关于禁止大气污染型建设项目入区的要求。执行最严格的行业废水、废气排放控制指标，引进项目的生产工艺、设备，以及单位产品能耗、污染物排放和资源利用效率等均需达到同行业国际先进水平。</w:t>
                  </w:r>
                </w:p>
              </w:tc>
              <w:tc>
                <w:tcPr>
                  <w:tcW w:w="1960" w:type="pct"/>
                  <w:noWrap w:val="0"/>
                  <w:vAlign w:val="center"/>
                </w:tcPr>
                <w:p w14:paraId="03107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拟实行区域内倍量替代；</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项目符合园区产业规划，不属于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项目；项目严格执行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行业废水、废气排放控制指标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项目生产工艺、技术装备、污染治理水平以及单位产品能耗、物耗等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可以</w:t>
                  </w:r>
                  <w:r>
                    <w:rPr>
                      <w:rFonts w:hint="eastAsia" w:cs="Times New Roman"/>
                      <w:color w:val="000000" w:themeColor="text1"/>
                      <w:sz w:val="21"/>
                      <w:szCs w:val="21"/>
                      <w:highlight w:val="none"/>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同行业国际先进水平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23" w:type="pct"/>
                  <w:noWrap w:val="0"/>
                  <w:vAlign w:val="center"/>
                </w:tcPr>
                <w:p w14:paraId="519A9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E20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625B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285" w:type="pct"/>
                  <w:noWrap w:val="0"/>
                  <w:vAlign w:val="center"/>
                </w:tcPr>
                <w:p w14:paraId="4105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生态环境保护，统筹考虑区内污染防治、生态恢复与建设、环境风险防范、环境管理等事宜。严格落实《报告书》及重点风险企业突发环境事件应急预案提出的各项要求，从环境风险防控角度，加强京东方一期、二期工程周边用地规划控制。建立健全区域环境风险防范体系，建立应急响应联动机制，提升开发区环境风险防控和应急响应能力，保障区域环境安全。</w:t>
                  </w:r>
                </w:p>
              </w:tc>
              <w:tc>
                <w:tcPr>
                  <w:tcW w:w="1960" w:type="pct"/>
                  <w:noWrap w:val="0"/>
                  <w:vAlign w:val="center"/>
                </w:tcPr>
                <w:p w14:paraId="58787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本项目将严格落实环境风险事故防范措施，并做好与园区的应急联动。</w:t>
                  </w:r>
                </w:p>
              </w:tc>
              <w:tc>
                <w:tcPr>
                  <w:tcW w:w="423" w:type="pct"/>
                  <w:noWrap w:val="0"/>
                  <w:vAlign w:val="center"/>
                </w:tcPr>
                <w:p w14:paraId="6FA29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A48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3A17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285" w:type="pct"/>
                  <w:noWrap w:val="0"/>
                  <w:vAlign w:val="center"/>
                </w:tcPr>
                <w:p w14:paraId="6B3F0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完善环境监测体系，明确实施时限、责任主体等。根据开发区的功能分区、产业布局、重点企业分布、特征污染物的排放种类和状况、环境敏感目标分布等情况，建立包括环境空气、地表水、地下水、土壤、底泥等环境要素的监控体系，强化阳下污水处理厂排放口附近底泥重金属的定期监测与管理。</w:t>
                  </w:r>
                </w:p>
              </w:tc>
              <w:tc>
                <w:tcPr>
                  <w:tcW w:w="1960" w:type="pct"/>
                  <w:noWrap w:val="0"/>
                  <w:vAlign w:val="center"/>
                </w:tcPr>
                <w:p w14:paraId="7F82D0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项目根据环境监测计划做好厂区内的跟踪监测与管理，并根据监测结果及时采取相应措施。</w:t>
                  </w:r>
                </w:p>
              </w:tc>
              <w:tc>
                <w:tcPr>
                  <w:tcW w:w="423" w:type="pct"/>
                  <w:noWrap w:val="0"/>
                  <w:vAlign w:val="center"/>
                </w:tcPr>
                <w:p w14:paraId="12F87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2ECAE8DD">
            <w:pPr>
              <w:keepNext w:val="0"/>
              <w:keepLines w:val="0"/>
              <w:pageBreakBefore w:val="0"/>
              <w:widowControl/>
              <w:numPr>
                <w:ilvl w:val="0"/>
                <w:numId w:val="0"/>
              </w:numPr>
              <w:suppressLineNumbers w:val="0"/>
              <w:kinsoku/>
              <w:wordWrap/>
              <w:overflowPunct/>
              <w:topLinePunct w:val="0"/>
              <w:autoSpaceDE/>
              <w:autoSpaceDN/>
              <w:bidi w:val="0"/>
              <w:spacing w:line="360" w:lineRule="auto"/>
              <w:ind w:right="0"/>
              <w:jc w:val="both"/>
              <w:textAlignment w:val="auto"/>
              <w:rPr>
                <w:rFonts w:hint="default" w:ascii="Times New Roman" w:hAnsi="Times New Roman" w:eastAsia="宋体" w:cs="Times New Roman"/>
                <w:color w:val="auto"/>
                <w:sz w:val="24"/>
                <w:szCs w:val="24"/>
                <w:highlight w:val="none"/>
                <w:u w:val="none"/>
                <w:lang w:val="en-US" w:eastAsia="zh-CN"/>
              </w:rPr>
            </w:pPr>
          </w:p>
        </w:tc>
      </w:tr>
      <w:tr w14:paraId="27BBC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27" w:type="pct"/>
            <w:noWrap w:val="0"/>
            <w:vAlign w:val="center"/>
          </w:tcPr>
          <w:p w14:paraId="5BB979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72" w:type="pct"/>
            <w:gridSpan w:val="5"/>
            <w:noWrap w:val="0"/>
            <w:vAlign w:val="center"/>
          </w:tcPr>
          <w:p w14:paraId="07BD2452">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0"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0"/>
          </w:p>
          <w:p w14:paraId="2BCFBC3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ascii="Times New Roman" w:hAnsi="Times New Roman" w:eastAsia="宋体" w:cs="Times New Roman"/>
                <w:color w:val="auto"/>
                <w:spacing w:val="0"/>
                <w:sz w:val="24"/>
                <w:szCs w:val="24"/>
                <w:highlight w:val="none"/>
                <w:u w:val="none"/>
                <w:lang w:val="en-US" w:eastAsia="zh-CN"/>
              </w:rPr>
              <w:t>五金配件（铝铸件）</w:t>
            </w:r>
            <w:r>
              <w:rPr>
                <w:rFonts w:hint="default" w:ascii="Times New Roman" w:hAnsi="Times New Roman" w:eastAsia="宋体" w:cs="Times New Roman"/>
                <w:color w:val="auto"/>
                <w:spacing w:val="0"/>
                <w:sz w:val="24"/>
                <w:szCs w:val="24"/>
                <w:highlight w:val="none"/>
                <w:u w:val="none"/>
                <w:lang w:val="en-US" w:eastAsia="zh-CN"/>
              </w:rPr>
              <w:t>加工</w:t>
            </w:r>
            <w:r>
              <w:rPr>
                <w:rFonts w:hint="default" w:ascii="Times New Roman" w:hAnsi="Times New Roman" w:eastAsia="宋体" w:cs="Times New Roman"/>
                <w:color w:val="auto"/>
                <w:sz w:val="24"/>
                <w:szCs w:val="24"/>
                <w:highlight w:val="none"/>
                <w:u w:val="none"/>
                <w:lang w:val="en-US" w:eastAsia="zh-CN"/>
              </w:rPr>
              <w:t>制</w:t>
            </w:r>
            <w:r>
              <w:rPr>
                <w:rFonts w:hint="default" w:ascii="Times New Roman" w:hAnsi="Times New Roman" w:eastAsia="宋体" w:cs="Times New Roman"/>
                <w:b w:val="0"/>
                <w:bCs w:val="0"/>
                <w:color w:val="auto"/>
                <w:sz w:val="24"/>
                <w:szCs w:val="24"/>
                <w:highlight w:val="none"/>
                <w:u w:val="none"/>
                <w:lang w:val="en-US" w:eastAsia="zh-CN"/>
              </w:rPr>
              <w:t>造</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项目所采用的生产工艺、所使用的生产加工设备均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《产业结构调整指导目录（2024年本）》中限制和淘汰类的项目，</w:t>
            </w:r>
            <w:r>
              <w:rPr>
                <w:rFonts w:hint="default" w:ascii="Times New Roman" w:hAnsi="Times New Roman" w:eastAsia="宋体" w:cs="Times New Roman"/>
                <w:color w:val="auto"/>
                <w:spacing w:val="0"/>
                <w:sz w:val="24"/>
                <w:szCs w:val="24"/>
                <w:highlight w:val="none"/>
                <w:u w:val="none"/>
                <w:lang w:eastAsia="zh-CN"/>
              </w:rPr>
              <w:t>属</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于允许类</w:t>
            </w:r>
            <w:r>
              <w:rPr>
                <w:rFonts w:hint="eastAsia" w:cs="Times New Roman"/>
                <w:color w:val="000000" w:themeColor="text1"/>
                <w:spacing w:val="0"/>
                <w:sz w:val="24"/>
                <w:szCs w:val="24"/>
                <w:highlight w:val="none"/>
                <w:u w:val="none"/>
                <w:lang w:eastAsia="zh-CN"/>
                <w14:textFill>
                  <w14:solidFill>
                    <w14:schemeClr w14:val="tx1"/>
                  </w14:solidFill>
                </w14:textFill>
              </w:rPr>
              <w:t>且</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该项目于</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202</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年</w:t>
            </w:r>
            <w:r>
              <w:rPr>
                <w:rFonts w:hint="eastAsia" w:cs="Times New Roman"/>
                <w:color w:val="000000" w:themeColor="text1"/>
                <w:spacing w:val="0"/>
                <w:sz w:val="24"/>
                <w:szCs w:val="24"/>
                <w:highlight w:val="none"/>
                <w:u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月</w:t>
            </w:r>
            <w:r>
              <w:rPr>
                <w:rFonts w:hint="eastAsia" w:cs="Times New Roman"/>
                <w:color w:val="000000" w:themeColor="text1"/>
                <w:spacing w:val="0"/>
                <w:sz w:val="24"/>
                <w:szCs w:val="24"/>
                <w:highlight w:val="none"/>
                <w:u w:val="none"/>
                <w:lang w:val="en-US" w:eastAsia="zh-CN"/>
                <w14:textFill>
                  <w14:solidFill>
                    <w14:schemeClr w14:val="tx1"/>
                  </w14:solidFill>
                </w14:textFill>
              </w:rPr>
              <w:t>21</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日</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通过了</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福清市发展和改革局</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的备案(</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闽发改备</w:t>
            </w:r>
            <w:r>
              <w:rPr>
                <w:rFonts w:hint="eastAsia" w:cs="Times New Roman"/>
                <w:color w:val="000000" w:themeColor="text1"/>
                <w:sz w:val="24"/>
                <w:szCs w:val="24"/>
                <w:highlight w:val="none"/>
                <w:u w:val="none"/>
                <w:lang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A060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3</w:t>
            </w:r>
            <w:r>
              <w:rPr>
                <w:rFonts w:hint="eastAsia" w:cs="Times New Roman"/>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号，</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六</w:t>
            </w:r>
            <w:r>
              <w:rPr>
                <w:rFonts w:hint="eastAsia" w:cs="Times New Roman"/>
                <w:b w:val="0"/>
                <w:bCs w:val="0"/>
                <w:color w:val="000000" w:themeColor="text1"/>
                <w:spacing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，因此项目的建设内容符合当前国家</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和地方</w:t>
            </w:r>
            <w:r>
              <w:rPr>
                <w:rFonts w:hint="default" w:ascii="Times New Roman" w:hAnsi="Times New Roman" w:eastAsia="宋体" w:cs="Times New Roman"/>
                <w:color w:val="000000" w:themeColor="text1"/>
                <w:spacing w:val="0"/>
                <w:sz w:val="24"/>
                <w:szCs w:val="24"/>
                <w:highlight w:val="none"/>
                <w:u w:val="none"/>
                <w14:textFill>
                  <w14:solidFill>
                    <w14:schemeClr w14:val="tx1"/>
                  </w14:solidFill>
                </w14:textFill>
              </w:rPr>
              <w:t>的产业政策。</w:t>
            </w:r>
          </w:p>
          <w:p w14:paraId="6F2D044C">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1" w:name="_Toc26906"/>
            <w:r>
              <w:rPr>
                <w:rFonts w:hint="eastAsia" w:ascii="Times New Roman" w:cs="Times New Roman"/>
                <w:b/>
                <w:color w:val="000000" w:themeColor="text1"/>
                <w:sz w:val="24"/>
                <w:szCs w:val="24"/>
                <w:highlight w:val="none"/>
                <w:u w:val="none"/>
                <w:lang w:val="en-US" w:eastAsia="zh-CN"/>
                <w14:textFill>
                  <w14:solidFill>
                    <w14:schemeClr w14:val="tx1"/>
                  </w14:solidFill>
                </w14:textFill>
              </w:rPr>
              <w:t>2.国土空间规划</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1"/>
          </w:p>
          <w:p w14:paraId="723638E0">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000000" w:themeColor="text1"/>
                <w:spacing w:val="0"/>
                <w:sz w:val="24"/>
                <w:szCs w:val="24"/>
                <w:highlight w:val="yellow"/>
                <w:u w:val="none"/>
                <w14:textFill>
                  <w14:solidFill>
                    <w14:schemeClr w14:val="tx1"/>
                  </w14:solidFill>
                </w14:textFill>
              </w:rPr>
            </w:pPr>
            <w:r>
              <w:rPr>
                <w:rFonts w:hint="eastAsia" w:cs="Times New Roman"/>
                <w:color w:val="000000" w:themeColor="text1"/>
                <w:spacing w:val="0"/>
                <w:sz w:val="24"/>
                <w:szCs w:val="24"/>
                <w:highlight w:val="none"/>
                <w:u w:val="none"/>
                <w:lang w:eastAsia="zh-CN"/>
                <w14:textFill>
                  <w14:solidFill>
                    <w14:schemeClr w14:val="tx1"/>
                  </w14:solidFill>
                </w14:textFill>
              </w:rPr>
              <w:t>根据</w:t>
            </w:r>
            <w:r>
              <w:rPr>
                <w:rFonts w:hint="default" w:cs="Times New Roman"/>
                <w:color w:val="000000" w:themeColor="text1"/>
                <w:sz w:val="24"/>
                <w:szCs w:val="24"/>
                <w:highlight w:val="none"/>
                <w:u w:val="none"/>
                <w:lang w:val="en-US" w:eastAsia="zh-CN"/>
                <w14:textFill>
                  <w14:solidFill>
                    <w14:schemeClr w14:val="tx1"/>
                  </w14:solidFill>
                </w14:textFill>
              </w:rPr>
              <w:t>《福清市国土空间总体规划（2021—2035年）》</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本项目</w:t>
            </w:r>
            <w:r>
              <w:rPr>
                <w:rFonts w:hint="default" w:ascii="Times New Roman" w:hAnsi="Times New Roman" w:eastAsia="宋体" w:cs="Times New Roman"/>
                <w:color w:val="auto"/>
                <w:spacing w:val="0"/>
                <w:sz w:val="24"/>
                <w:szCs w:val="24"/>
                <w:highlight w:val="none"/>
                <w:u w:val="none"/>
                <w:lang w:eastAsia="zh-CN"/>
              </w:rPr>
              <w:t>位于</w:t>
            </w:r>
            <w:r>
              <w:rPr>
                <w:rFonts w:hint="eastAsia"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auto"/>
                <w:spacing w:val="0"/>
                <w:sz w:val="24"/>
                <w:szCs w:val="24"/>
                <w:highlight w:val="none"/>
                <w:u w:val="none"/>
                <w:lang w:eastAsia="zh-CN"/>
              </w:rPr>
              <w:t>内，</w:t>
            </w:r>
            <w:r>
              <w:rPr>
                <w:rFonts w:hint="eastAsia" w:cs="Times New Roman"/>
                <w:color w:val="auto"/>
                <w:sz w:val="24"/>
                <w:szCs w:val="24"/>
                <w:highlight w:val="none"/>
                <w:u w:val="none"/>
                <w:lang w:val="en-US" w:eastAsia="zh-CN"/>
              </w:rPr>
              <w:t>位于</w:t>
            </w:r>
            <w:r>
              <w:rPr>
                <w:rFonts w:hint="eastAsia" w:cs="Times New Roman"/>
                <w:color w:val="000000" w:themeColor="text1"/>
                <w:sz w:val="24"/>
                <w:szCs w:val="24"/>
                <w:highlight w:val="none"/>
                <w:u w:val="none"/>
                <w:lang w:val="en-US" w:eastAsia="zh-CN"/>
                <w14:textFill>
                  <w14:solidFill>
                    <w14:schemeClr w14:val="tx1"/>
                  </w14:solidFill>
                </w14:textFill>
              </w:rPr>
              <w:t>城北产业园。主要生产</w:t>
            </w:r>
            <w:r>
              <w:rPr>
                <w:rFonts w:hint="eastAsia" w:ascii="Times New Roman" w:hAnsi="Times New Roman" w:eastAsia="宋体" w:cs="Times New Roman"/>
                <w:color w:val="auto"/>
                <w:spacing w:val="0"/>
                <w:sz w:val="24"/>
                <w:szCs w:val="24"/>
                <w:highlight w:val="none"/>
                <w:u w:val="none"/>
                <w:lang w:val="en-US" w:eastAsia="zh-CN"/>
              </w:rPr>
              <w:t>五金配件（铝铸件）</w:t>
            </w:r>
            <w:r>
              <w:rPr>
                <w:rFonts w:hint="eastAsia" w:cs="Times New Roman"/>
                <w:color w:val="000000" w:themeColor="text1"/>
                <w:sz w:val="24"/>
                <w:szCs w:val="24"/>
                <w:highlight w:val="none"/>
                <w:u w:val="none"/>
                <w:lang w:val="en-US" w:eastAsia="zh-CN"/>
                <w14:textFill>
                  <w14:solidFill>
                    <w14:schemeClr w14:val="tx1"/>
                  </w14:solidFill>
                </w14:textFill>
              </w:rPr>
              <w:t>，符合规划中壮大四大优势产业规划。</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根据</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业主</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提供</w:t>
            </w:r>
            <w:r>
              <w:rPr>
                <w:rFonts w:hint="eastAsia" w:cs="Times New Roman"/>
                <w:color w:val="000000" w:themeColor="text1"/>
                <w:spacing w:val="0"/>
                <w:sz w:val="24"/>
                <w:szCs w:val="24"/>
                <w:highlight w:val="none"/>
                <w:u w:val="none"/>
                <w:lang w:val="en-US" w:eastAsia="zh-CN"/>
                <w14:textFill>
                  <w14:solidFill>
                    <w14:schemeClr w14:val="tx1"/>
                  </w14:solidFill>
                </w14:textFill>
              </w:rPr>
              <w:t>资料</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均和产业发展（福清）有限公司</w:t>
            </w:r>
            <w:r>
              <w:rPr>
                <w:rFonts w:hint="eastAsia" w:cs="Times New Roman"/>
                <w:color w:val="000000" w:themeColor="text1"/>
                <w:spacing w:val="0"/>
                <w:sz w:val="24"/>
                <w:szCs w:val="24"/>
                <w:highlight w:val="none"/>
                <w:u w:val="none"/>
                <w:lang w:val="en-US" w:eastAsia="zh-CN"/>
                <w14:textFill>
                  <w14:solidFill>
                    <w14:schemeClr w14:val="tx1"/>
                  </w14:solidFill>
                </w14:textFill>
              </w:rPr>
              <w:t>已取得</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不动产权证（闽（2022）福清市不动产权第0015820号）</w:t>
            </w:r>
            <w:r>
              <w:rPr>
                <w:rFonts w:hint="eastAsia" w:cs="Times New Roman"/>
                <w:color w:val="000000" w:themeColor="text1"/>
                <w:spacing w:val="0"/>
                <w:sz w:val="24"/>
                <w:szCs w:val="24"/>
                <w:highlight w:val="none"/>
                <w:u w:val="none"/>
                <w:lang w:val="en-US" w:eastAsia="zh-CN"/>
                <w14:textFill>
                  <w14:solidFill>
                    <w14:schemeClr w14:val="tx1"/>
                  </w14:solidFill>
                </w14:textFill>
              </w:rPr>
              <w:t>（厂房购置合同</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lang w:val="en-US" w:eastAsia="zh-CN"/>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七</w:t>
            </w:r>
            <w:r>
              <w:rPr>
                <w:rFonts w:hint="eastAsia" w:cs="Times New Roman"/>
                <w:b w:val="0"/>
                <w:bCs w:val="0"/>
                <w:color w:val="000000" w:themeColor="text1"/>
                <w:spacing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，该厂区用地为工业用地，厂房为工业厂房</w:t>
            </w:r>
            <w:r>
              <w:rPr>
                <w:rFonts w:hint="eastAsia" w:cs="Times New Roman"/>
                <w:color w:val="000000" w:themeColor="text1"/>
                <w:spacing w:val="0"/>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目前正在办理产权分割。</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因此，项目选址符合</w:t>
            </w:r>
            <w:r>
              <w:rPr>
                <w:rFonts w:hint="eastAsia" w:cs="Times New Roman"/>
                <w:color w:val="000000" w:themeColor="text1"/>
                <w:spacing w:val="0"/>
                <w:sz w:val="24"/>
                <w:szCs w:val="24"/>
                <w:highlight w:val="none"/>
                <w:u w:val="none"/>
                <w:lang w:eastAsia="zh-CN"/>
                <w14:textFill>
                  <w14:solidFill>
                    <w14:schemeClr w14:val="tx1"/>
                  </w14:solidFill>
                </w14:textFill>
              </w:rPr>
              <w:t>国土空间规划</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w:t>
            </w:r>
          </w:p>
          <w:p w14:paraId="77BC4E4B">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pPr>
            <w:bookmarkStart w:id="12" w:name="_Toc12021"/>
            <w:r>
              <w:rPr>
                <w:rFonts w:hint="eastAsia" w:ascii="Times New Roman" w:cs="Times New Roman"/>
                <w:b/>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三线一单</w:t>
            </w:r>
            <w:r>
              <w:rPr>
                <w:rFonts w:hint="eastAsia"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控制要求的符合性分析</w:t>
            </w:r>
            <w:bookmarkEnd w:id="12"/>
          </w:p>
          <w:p w14:paraId="27B57F83">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60324224">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3021552D">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保护红线划定方案》及其调整方案</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《福清市生态功能区划》</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GB"/>
                <w14:textFill>
                  <w14:solidFill>
                    <w14:schemeClr w14:val="tx1"/>
                  </w14:solidFill>
                </w14:textFill>
              </w:rPr>
              <w:t>2003年</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，本项目</w:t>
            </w:r>
            <w:r>
              <w:rPr>
                <w:rFonts w:hint="default" w:ascii="Times New Roman" w:hAnsi="Times New Roman" w:eastAsia="宋体" w:cs="Times New Roman"/>
                <w:color w:val="auto"/>
                <w:spacing w:val="0"/>
                <w:w w:val="100"/>
                <w:position w:val="0"/>
                <w:sz w:val="24"/>
                <w:szCs w:val="24"/>
                <w:highlight w:val="none"/>
                <w:u w:val="none"/>
              </w:rPr>
              <w:t>位于</w:t>
            </w:r>
            <w:r>
              <w:rPr>
                <w:rFonts w:hint="eastAsia" w:ascii="Times New Roman" w:hAnsi="Times New Roman"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auto"/>
                <w:spacing w:val="0"/>
                <w:sz w:val="24"/>
                <w:szCs w:val="24"/>
                <w:highlight w:val="none"/>
                <w:u w:val="none"/>
                <w:lang w:eastAsia="zh-CN"/>
              </w:rPr>
              <w:t>内</w:t>
            </w:r>
            <w:r>
              <w:rPr>
                <w:rFonts w:hint="default" w:ascii="Times New Roman" w:hAnsi="Times New Roman" w:eastAsia="宋体" w:cs="Times New Roman"/>
                <w:color w:val="auto"/>
                <w:spacing w:val="0"/>
                <w:w w:val="100"/>
                <w:position w:val="0"/>
                <w:sz w:val="24"/>
                <w:szCs w:val="24"/>
                <w:highlight w:val="none"/>
                <w:u w:val="none"/>
              </w:rPr>
              <w:t>。项目周边无国家</w:t>
            </w:r>
            <w:r>
              <w:rPr>
                <w:rFonts w:hint="default" w:ascii="Times New Roman" w:hAnsi="Times New Roman" w:eastAsia="宋体" w:cs="Times New Roman"/>
                <w:color w:val="000000" w:themeColor="text1"/>
                <w:spacing w:val="0"/>
                <w:w w:val="100"/>
                <w:position w:val="0"/>
                <w:sz w:val="24"/>
                <w:szCs w:val="24"/>
                <w:highlight w:val="none"/>
                <w:u w:val="none"/>
                <w14:textFill>
                  <w14:solidFill>
                    <w14:schemeClr w14:val="tx1"/>
                  </w14:solidFill>
                </w14:textFill>
              </w:rPr>
              <w:t>公园</w:t>
            </w:r>
            <w:r>
              <w:rPr>
                <w:rFonts w:hint="default" w:ascii="Times New Roman" w:hAnsi="Times New Roman" w:eastAsia="宋体" w:cs="Times New Roman"/>
                <w:color w:val="auto"/>
                <w:spacing w:val="0"/>
                <w:w w:val="100"/>
                <w:position w:val="0"/>
                <w:sz w:val="24"/>
                <w:szCs w:val="24"/>
                <w:u w:val="none"/>
              </w:rPr>
              <w:t>、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7F5CB0E">
            <w:pPr>
              <w:pStyle w:val="32"/>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2D1D3D58">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项目所在区域环境质量底线：环境空气质量目标为《环境空气质量标准》（GB3095-2012）及修改单中的二级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w:t>
            </w:r>
            <w:r>
              <w:rPr>
                <w:rFonts w:hint="eastAsia" w:cs="Times New Roman"/>
                <w:color w:val="auto"/>
                <w:spacing w:val="0"/>
                <w:sz w:val="24"/>
                <w:szCs w:val="24"/>
                <w:highlight w:val="none"/>
                <w:u w:val="none"/>
                <w:lang w:eastAsia="zh-CN"/>
              </w:rPr>
              <w:t>溪畔河</w:t>
            </w:r>
            <w:r>
              <w:rPr>
                <w:rFonts w:hint="eastAsia" w:ascii="Times New Roman" w:hAnsi="Times New Roman" w:eastAsia="宋体" w:cs="Times New Roman"/>
                <w:color w:val="auto"/>
                <w:spacing w:val="0"/>
                <w:sz w:val="24"/>
                <w:szCs w:val="24"/>
                <w:highlight w:val="none"/>
                <w:u w:val="none"/>
                <w:lang w:eastAsia="zh-CN"/>
              </w:rPr>
              <w:t>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w:t>
            </w:r>
            <w:r>
              <w:rPr>
                <w:rFonts w:hint="default" w:ascii="Times New Roman" w:hAnsi="Times New Roman" w:eastAsia="宋体" w:cs="Times New Roman"/>
                <w:color w:val="auto"/>
                <w:spacing w:val="0"/>
                <w:sz w:val="24"/>
                <w:szCs w:val="24"/>
                <w:highlight w:val="none"/>
                <w:u w:val="none"/>
                <w:lang w:eastAsia="zh-CN"/>
              </w:rPr>
              <w:t>Ⅳ</w:t>
            </w:r>
            <w:r>
              <w:rPr>
                <w:rFonts w:hint="eastAsia" w:ascii="Times New Roman" w:hAnsi="Times New Roman" w:eastAsia="宋体" w:cs="Times New Roman"/>
                <w:color w:val="auto"/>
                <w:spacing w:val="0"/>
                <w:sz w:val="24"/>
                <w:szCs w:val="24"/>
                <w:highlight w:val="none"/>
                <w:u w:val="none"/>
                <w:lang w:eastAsia="zh-CN"/>
              </w:rPr>
              <w:t>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067DED1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w:t>
            </w:r>
            <w:r>
              <w:rPr>
                <w:rFonts w:hint="default" w:ascii="Times New Roman" w:hAnsi="Times New Roman" w:eastAsia="宋体" w:cs="Times New Roman"/>
                <w:color w:val="auto"/>
                <w:sz w:val="24"/>
                <w:szCs w:val="24"/>
                <w:u w:val="none"/>
                <w:vertAlign w:val="baseline"/>
                <w:lang w:eastAsia="zh-CN"/>
              </w:rPr>
              <w:t>运营期</w:t>
            </w:r>
            <w:r>
              <w:rPr>
                <w:rFonts w:hint="eastAsia" w:cs="Times New Roman"/>
                <w:color w:val="auto"/>
                <w:sz w:val="24"/>
                <w:szCs w:val="24"/>
                <w:u w:val="none"/>
                <w:vertAlign w:val="baseline"/>
                <w:lang w:val="en-US" w:eastAsia="zh-CN"/>
              </w:rPr>
              <w:t>生产废水为压铸机间接冷却水经冷却塔冷却后循环使用，产品水洗产生废水、研磨工序冷却水经循环水处理设备处理后循环使用。因此，本项目无生产废水排放。</w:t>
            </w:r>
            <w:r>
              <w:rPr>
                <w:rFonts w:hint="eastAsia" w:cs="Times New Roman"/>
                <w:color w:val="auto"/>
                <w:spacing w:val="0"/>
                <w:sz w:val="24"/>
                <w:szCs w:val="24"/>
                <w:highlight w:val="none"/>
                <w:u w:val="none"/>
                <w:lang w:val="en-US" w:eastAsia="zh-CN"/>
              </w:rPr>
              <w:t>生活污水园区内化粪池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接入市政污水管网，纳入福清市融元污水处理厂进行集中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090D1073">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3</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资源利用上线：项目用电为区域集中供应，项目的水、气等资源利用不会突破区域的资源利用上线。本项目使用电能作为主要消耗能源，电能属于清洁能源。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000000"/>
                <w:szCs w:val="21"/>
                <w:lang w:eastAsia="zh-CN"/>
              </w:rPr>
              <w:t>上限</w:t>
            </w:r>
          </w:p>
          <w:p w14:paraId="5A28027A">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6371B513">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；项目无行业准入条件；不属于《福建省人民政府关于加强重点流域水环境</w:t>
            </w:r>
            <w:r>
              <w:rPr>
                <w:rFonts w:hint="default" w:ascii="Times New Roman" w:hAnsi="Times New Roman" w:eastAsia="宋体" w:cs="Times New Roman"/>
                <w:color w:val="auto"/>
                <w:spacing w:val="0"/>
                <w:w w:val="100"/>
                <w:position w:val="0"/>
                <w:sz w:val="24"/>
                <w:szCs w:val="24"/>
                <w:u w:val="none"/>
                <w:lang w:eastAsia="zh-CN"/>
              </w:rPr>
              <w:t>综合</w:t>
            </w:r>
            <w:r>
              <w:rPr>
                <w:rFonts w:hint="default" w:ascii="Times New Roman" w:hAnsi="Times New Roman" w:eastAsia="宋体" w:cs="Times New Roman"/>
                <w:color w:val="auto"/>
                <w:spacing w:val="0"/>
                <w:w w:val="100"/>
                <w:position w:val="0"/>
                <w:sz w:val="24"/>
                <w:szCs w:val="24"/>
                <w:u w:val="none"/>
              </w:rPr>
              <w:t>整治的意见》中禁止的产业；满足《福建省工业建设项目投资强度控制指标》相关要求；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w:t>
            </w:r>
            <w:r>
              <w:rPr>
                <w:rFonts w:hint="default" w:ascii="Times New Roman" w:hAnsi="Times New Roman" w:eastAsia="宋体" w:cs="Times New Roman"/>
                <w:color w:val="auto"/>
                <w:sz w:val="24"/>
                <w:szCs w:val="24"/>
                <w:highlight w:val="none"/>
              </w:rPr>
              <w:t>《福州市人民政府办公厅关于印发〈福州市生态环境分区管控方案（2023年更新）〉的通知》（榕政办规〔2024〕20号）及《福州市生态环境局关于发布福州市2024年生态环境分区管控动态更新成果的通知》（榕环保综〔2025〕1号）中相关</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2020年版</w:t>
            </w:r>
            <w:r>
              <w:rPr>
                <w:rFonts w:hint="eastAsia" w:ascii="Times New Roman" w:hAnsi="Times New Roman" w:cs="Times New Roman"/>
                <w:color w:val="000000" w:themeColor="text1"/>
                <w:spacing w:val="0"/>
                <w:w w:val="100"/>
                <w:position w:val="0"/>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u w:val="none"/>
                <w:lang w:eastAsia="zh-CN"/>
                <w14:textFill>
                  <w14:solidFill>
                    <w14:schemeClr w14:val="tx1"/>
                  </w14:solidFill>
                </w14:textFill>
              </w:rPr>
              <w:t>中禁止准入类的项目。</w:t>
            </w:r>
          </w:p>
          <w:p w14:paraId="096EBBEA">
            <w:pPr>
              <w:pStyle w:val="31"/>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3" w:name="_Toc24656"/>
            <w:r>
              <w:rPr>
                <w:rFonts w:hint="eastAsia" w:ascii="Times New Roman" w:cs="Times New Roman"/>
                <w:b/>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与</w:t>
            </w:r>
            <w:r>
              <w:rPr>
                <w:rFonts w:hint="eastAsia" w:ascii="Times New Roman" w:cs="Times New Roman"/>
                <w:b/>
                <w:color w:val="000000" w:themeColor="text1"/>
                <w:sz w:val="24"/>
                <w:szCs w:val="24"/>
                <w:highlight w:val="none"/>
                <w:u w:val="none"/>
                <w:lang w:val="en-US" w:eastAsia="zh-CN"/>
                <w14:textFill>
                  <w14:solidFill>
                    <w14:schemeClr w14:val="tx1"/>
                  </w14:solidFill>
                </w14:textFill>
              </w:rPr>
              <w:t>省、市生态环境分区管控要求的</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符合性分析</w:t>
            </w:r>
            <w:bookmarkEnd w:id="13"/>
          </w:p>
          <w:p w14:paraId="3BEE1C82">
            <w:pPr>
              <w:pStyle w:val="32"/>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rPr>
              <w:t>根据《福州市人民政府办公厅关于印发〈福州市生态环境分区管控方案（2023年更新）〉的通知》（榕政办规〔2024〕20号）及《福州市生态环境局关于发布福州市2024年生态环境分区管控动态更新成果的通知》（榕环保综〔2025〕1号）中相关要求</w:t>
            </w:r>
            <w:r>
              <w:rPr>
                <w:rFonts w:hint="eastAsia" w:ascii="Times New Roman" w:hAnsi="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《福建省生态环境分区管控综合查询报告》报告编号：</w:t>
            </w:r>
            <w:r>
              <w:rPr>
                <w:rFonts w:hint="eastAsia" w:ascii="宋体" w:hAnsi="宋体" w:eastAsia="宋体" w:cs="宋体"/>
                <w:color w:val="auto"/>
                <w:sz w:val="24"/>
                <w:szCs w:val="24"/>
                <w:highlight w:val="none"/>
                <w:vertAlign w:val="baseline"/>
                <w:lang w:val="en-US" w:eastAsia="zh-CN"/>
              </w:rPr>
              <w:t>FQGK17</w:t>
            </w:r>
            <w:r>
              <w:rPr>
                <w:rFonts w:hint="eastAsia" w:cs="宋体"/>
                <w:color w:val="auto"/>
                <w:sz w:val="24"/>
                <w:szCs w:val="24"/>
                <w:highlight w:val="none"/>
                <w:vertAlign w:val="baseline"/>
                <w:lang w:val="en-US" w:eastAsia="zh-CN"/>
              </w:rPr>
              <w:t>65874164766</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ascii="Times New Roman" w:hAnsi="Times New Roman"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cs="Times New Roman"/>
                <w:color w:val="auto"/>
                <w:sz w:val="24"/>
                <w:szCs w:val="24"/>
                <w:highlight w:val="none"/>
                <w:lang w:val="en-US" w:eastAsia="zh-CN"/>
              </w:rPr>
              <w:t>福清融侨经济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开发区（工业园区）内且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项目属于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金属制品制造业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，不属于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福州市生</w:t>
            </w:r>
            <w:r>
              <w:rPr>
                <w:rFonts w:hint="default" w:ascii="Times New Roman" w:hAnsi="Times New Roman" w:eastAsia="宋体" w:cs="Times New Roman"/>
                <w:color w:val="auto"/>
                <w:sz w:val="24"/>
                <w:szCs w:val="24"/>
                <w:highlight w:val="none"/>
                <w:lang w:val="en-US" w:eastAsia="zh-CN"/>
              </w:rPr>
              <w:t>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与</w:t>
            </w:r>
            <w:r>
              <w:rPr>
                <w:rFonts w:hint="eastAsia" w:ascii="Times New Roman" w:hAnsi="Times New Roman" w:cs="Times New Roman"/>
                <w:color w:val="auto"/>
                <w:sz w:val="24"/>
                <w:szCs w:val="24"/>
                <w:lang w:val="en-US" w:eastAsia="zh-CN"/>
              </w:rPr>
              <w:t>福清市</w:t>
            </w:r>
            <w:r>
              <w:rPr>
                <w:rFonts w:hint="default" w:ascii="Times New Roman" w:hAnsi="Times New Roman" w:eastAsia="宋体" w:cs="Times New Roman"/>
                <w:color w:val="auto"/>
                <w:sz w:val="24"/>
                <w:szCs w:val="24"/>
              </w:rPr>
              <w:t>重点管控单元</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rPr>
              <w:t>环境管控单元编码</w:t>
            </w:r>
            <w:r>
              <w:rPr>
                <w:rFonts w:hint="eastAsia" w:ascii="Times New Roman" w:hAnsi="Times New Roman" w:cs="Times New Roman"/>
                <w:sz w:val="24"/>
                <w:szCs w:val="24"/>
                <w:lang w:eastAsia="zh-CN"/>
              </w:rPr>
              <w:t>：</w:t>
            </w:r>
            <w:r>
              <w:rPr>
                <w:rFonts w:hint="eastAsia"/>
                <w:vertAlign w:val="baseline"/>
                <w:lang w:val="en-US" w:eastAsia="zh-CN"/>
              </w:rPr>
              <w:t>ZH35018120008</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4。福建省生态环境分区管控数据应用平台查询结果截图详见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bCs/>
                <w:sz w:val="24"/>
                <w:szCs w:val="24"/>
                <w:highlight w:val="none"/>
                <w:lang w:val="en-US" w:eastAsia="zh-CN"/>
              </w:rPr>
              <w:t>附件十</w:t>
            </w:r>
            <w:r>
              <w:rPr>
                <w:rFonts w:hint="eastAsia" w:ascii="Times New Roman" w:hAnsi="Times New Roman" w:cs="Times New Roman"/>
                <w:b/>
                <w:bCs/>
                <w:sz w:val="24"/>
                <w:szCs w:val="24"/>
                <w:highlight w:val="none"/>
                <w:lang w:val="en-US" w:eastAsia="zh-CN"/>
              </w:rPr>
              <w:t>九</w:t>
            </w:r>
            <w:r>
              <w:rPr>
                <w:rFonts w:hint="default" w:ascii="Times New Roman" w:hAnsi="Times New Roman" w:eastAsia="宋体" w:cs="Times New Roman"/>
                <w:color w:val="auto"/>
                <w:spacing w:val="0"/>
                <w:w w:val="100"/>
                <w:position w:val="0"/>
                <w:sz w:val="24"/>
                <w:szCs w:val="24"/>
                <w:highlight w:val="none"/>
                <w:u w:val="none"/>
              </w:rPr>
              <w:t>。</w:t>
            </w:r>
          </w:p>
        </w:tc>
      </w:tr>
    </w:tbl>
    <w:p w14:paraId="5CD6499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373D29FF">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3"/>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839"/>
      </w:tblGrid>
      <w:tr w14:paraId="5E57A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272" w:type="pct"/>
            <w:noWrap w:val="0"/>
            <w:vAlign w:val="center"/>
          </w:tcPr>
          <w:p w14:paraId="231E3E50">
            <w:pPr>
              <w:rPr>
                <w:rFonts w:hint="default"/>
              </w:rPr>
            </w:pPr>
          </w:p>
        </w:tc>
        <w:tc>
          <w:tcPr>
            <w:tcW w:w="4727" w:type="pct"/>
            <w:noWrap w:val="0"/>
            <w:vAlign w:val="center"/>
          </w:tcPr>
          <w:p w14:paraId="3CDA0B98">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 xml:space="preserve"> 与</w:t>
            </w:r>
            <w:r>
              <w:rPr>
                <w:rFonts w:hint="eastAsia" w:cs="Times New Roman"/>
                <w:b/>
                <w:bCs/>
                <w:color w:val="auto"/>
                <w:kern w:val="0"/>
                <w:sz w:val="24"/>
                <w:szCs w:val="24"/>
                <w:u w:val="none"/>
                <w:lang w:val="en-US" w:eastAsia="zh-CN"/>
              </w:rPr>
              <w:t>全省生态环境总体准入要求的符合性分析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621"/>
              <w:gridCol w:w="5982"/>
              <w:gridCol w:w="3938"/>
              <w:gridCol w:w="881"/>
            </w:tblGrid>
            <w:tr w14:paraId="283D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4" w:type="pct"/>
                  <w:tcBorders>
                    <w:tl2br w:val="nil"/>
                    <w:tr2bl w:val="nil"/>
                  </w:tcBorders>
                  <w:noWrap w:val="0"/>
                  <w:vAlign w:val="center"/>
                </w:tcPr>
                <w:p w14:paraId="0D6450C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2616" w:type="pct"/>
                  <w:gridSpan w:val="2"/>
                  <w:tcBorders>
                    <w:tl2br w:val="nil"/>
                    <w:tr2bl w:val="nil"/>
                  </w:tcBorders>
                  <w:noWrap w:val="0"/>
                  <w:vAlign w:val="center"/>
                </w:tcPr>
                <w:p w14:paraId="23DC21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560" w:type="pct"/>
                  <w:tcBorders>
                    <w:tl2br w:val="nil"/>
                    <w:tr2bl w:val="nil"/>
                  </w:tcBorders>
                  <w:noWrap w:val="0"/>
                  <w:vAlign w:val="center"/>
                </w:tcPr>
                <w:p w14:paraId="40BF28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49" w:type="pct"/>
                  <w:tcBorders>
                    <w:tl2br w:val="nil"/>
                    <w:tr2bl w:val="nil"/>
                  </w:tcBorders>
                  <w:noWrap w:val="0"/>
                  <w:vAlign w:val="center"/>
                </w:tcPr>
                <w:p w14:paraId="009DD2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F8B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74" w:type="pct"/>
                  <w:vMerge w:val="restart"/>
                  <w:tcBorders>
                    <w:tl2br w:val="nil"/>
                    <w:tr2bl w:val="nil"/>
                  </w:tcBorders>
                  <w:noWrap w:val="0"/>
                  <w:vAlign w:val="center"/>
                </w:tcPr>
                <w:p w14:paraId="600361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6" w:type="pct"/>
                  <w:vMerge w:val="restart"/>
                  <w:tcBorders>
                    <w:tl2br w:val="nil"/>
                    <w:tr2bl w:val="nil"/>
                  </w:tcBorders>
                  <w:noWrap w:val="0"/>
                  <w:vAlign w:val="center"/>
                </w:tcPr>
                <w:p w14:paraId="6440F3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370" w:type="pct"/>
                  <w:tcBorders>
                    <w:tl2br w:val="nil"/>
                    <w:tr2bl w:val="nil"/>
                  </w:tcBorders>
                  <w:noWrap w:val="0"/>
                  <w:vAlign w:val="center"/>
                </w:tcPr>
                <w:p w14:paraId="16BDB8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1.石化、汽车、船舶、冶金、水泥、制浆造纸、印染等重点产业，要符合全省规划布局要求。</w:t>
                  </w:r>
                </w:p>
              </w:tc>
              <w:tc>
                <w:tcPr>
                  <w:tcW w:w="1560" w:type="pct"/>
                  <w:vMerge w:val="restart"/>
                  <w:tcBorders>
                    <w:tl2br w:val="nil"/>
                    <w:tr2bl w:val="nil"/>
                  </w:tcBorders>
                  <w:noWrap w:val="0"/>
                  <w:vAlign w:val="center"/>
                </w:tcPr>
                <w:p w14:paraId="2DE8EDA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1-2、本项目属于金属制品制造，不涉及石化、汽车、冶金、钢铁、水泥等重点行业。</w:t>
                  </w:r>
                </w:p>
                <w:p w14:paraId="467ED59E">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3-4本项目不属于煤电、氟化工项目。</w:t>
                  </w:r>
                </w:p>
                <w:p w14:paraId="21A0282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u w:val="none"/>
                      <w14:textFill>
                        <w14:solidFill>
                          <w14:schemeClr w14:val="tx1"/>
                        </w14:solidFill>
                      </w14:textFill>
                    </w:rPr>
                    <w:t>项目周边水环境质量达标。生活污水经化粪池处理后接入市政管网汇入</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污水处理</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厂</w:t>
                  </w:r>
                  <w:r>
                    <w:rPr>
                      <w:rFonts w:hint="eastAsia" w:cs="Times New Roman"/>
                      <w:color w:val="000000" w:themeColor="text1"/>
                      <w:sz w:val="21"/>
                      <w:szCs w:val="21"/>
                      <w:u w:val="none"/>
                      <w:lang w:eastAsia="zh-CN"/>
                      <w14:textFill>
                        <w14:solidFill>
                          <w14:schemeClr w14:val="tx1"/>
                        </w14:solidFill>
                      </w14:textFill>
                    </w:rPr>
                    <w:t>。</w:t>
                  </w:r>
                  <w:r>
                    <w:rPr>
                      <w:rFonts w:hint="eastAsia" w:cs="Times New Roman"/>
                      <w:color w:val="000000" w:themeColor="text1"/>
                      <w:sz w:val="21"/>
                      <w:szCs w:val="21"/>
                      <w:u w:val="none"/>
                      <w:lang w:val="en-US" w:eastAsia="zh-CN"/>
                      <w14:textFill>
                        <w14:solidFill>
                          <w14:schemeClr w14:val="tx1"/>
                        </w14:solidFill>
                      </w14:textFill>
                    </w:rPr>
                    <w:t>与空间布局约束不冲突。</w:t>
                  </w:r>
                </w:p>
                <w:p w14:paraId="66B629F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7、本项目不属于</w:t>
                  </w:r>
                  <w:r>
                    <w:rPr>
                      <w:rFonts w:hint="eastAsia"/>
                      <w:color w:val="000000" w:themeColor="text1"/>
                      <w:vertAlign w:val="baseline"/>
                      <w:lang w:val="en-US" w:eastAsia="zh-CN"/>
                      <w14:textFill>
                        <w14:solidFill>
                          <w14:schemeClr w14:val="tx1"/>
                        </w14:solidFill>
                      </w14:textFill>
                    </w:rPr>
                    <w:t>新建用汞的电石法（聚）氯乙烯生产工艺</w:t>
                  </w:r>
                </w:p>
              </w:tc>
              <w:tc>
                <w:tcPr>
                  <w:tcW w:w="349" w:type="pct"/>
                  <w:vMerge w:val="restart"/>
                  <w:tcBorders>
                    <w:tl2br w:val="nil"/>
                    <w:tr2bl w:val="nil"/>
                  </w:tcBorders>
                  <w:noWrap w:val="0"/>
                  <w:vAlign w:val="center"/>
                </w:tcPr>
                <w:p w14:paraId="1DC689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5B89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4" w:type="pct"/>
                  <w:vMerge w:val="continue"/>
                  <w:tcBorders>
                    <w:tl2br w:val="nil"/>
                    <w:tr2bl w:val="nil"/>
                  </w:tcBorders>
                  <w:noWrap w:val="0"/>
                  <w:vAlign w:val="center"/>
                </w:tcPr>
                <w:p w14:paraId="1F9801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3FA09E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28D6FBE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2.严控钢铁、水泥、平板玻璃等产能过剩行业新增产能，新增产能应实施产能等量或减量置换。</w:t>
                  </w:r>
                </w:p>
              </w:tc>
              <w:tc>
                <w:tcPr>
                  <w:tcW w:w="1560" w:type="pct"/>
                  <w:vMerge w:val="continue"/>
                  <w:tcBorders>
                    <w:tl2br w:val="nil"/>
                    <w:tr2bl w:val="nil"/>
                  </w:tcBorders>
                  <w:noWrap w:val="0"/>
                  <w:vAlign w:val="center"/>
                </w:tcPr>
                <w:p w14:paraId="349D2C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u w:val="none"/>
                      <w:vertAlign w:val="baseline"/>
                      <w14:textFill>
                        <w14:solidFill>
                          <w14:schemeClr w14:val="tx1"/>
                        </w14:solidFill>
                      </w14:textFill>
                    </w:rPr>
                  </w:pPr>
                </w:p>
              </w:tc>
              <w:tc>
                <w:tcPr>
                  <w:tcW w:w="349" w:type="pct"/>
                  <w:vMerge w:val="continue"/>
                  <w:tcBorders>
                    <w:tl2br w:val="nil"/>
                    <w:tr2bl w:val="nil"/>
                  </w:tcBorders>
                  <w:noWrap w:val="0"/>
                  <w:vAlign w:val="center"/>
                </w:tcPr>
                <w:p w14:paraId="06B101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56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4" w:type="pct"/>
                  <w:vMerge w:val="continue"/>
                  <w:tcBorders>
                    <w:tl2br w:val="nil"/>
                    <w:tr2bl w:val="nil"/>
                  </w:tcBorders>
                  <w:noWrap w:val="0"/>
                  <w:vAlign w:val="center"/>
                </w:tcPr>
                <w:p w14:paraId="1C4C72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517AE9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0D9A1D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560" w:type="pct"/>
                  <w:vMerge w:val="continue"/>
                  <w:tcBorders>
                    <w:tl2br w:val="nil"/>
                    <w:tr2bl w:val="nil"/>
                  </w:tcBorders>
                  <w:noWrap w:val="0"/>
                  <w:vAlign w:val="center"/>
                </w:tcPr>
                <w:p w14:paraId="7E909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9" w:type="pct"/>
                  <w:vMerge w:val="continue"/>
                  <w:tcBorders>
                    <w:tl2br w:val="nil"/>
                    <w:tr2bl w:val="nil"/>
                  </w:tcBorders>
                  <w:noWrap w:val="0"/>
                  <w:vAlign w:val="center"/>
                </w:tcPr>
                <w:p w14:paraId="31B2B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69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74" w:type="pct"/>
                  <w:vMerge w:val="continue"/>
                  <w:tcBorders>
                    <w:tl2br w:val="nil"/>
                    <w:tr2bl w:val="nil"/>
                  </w:tcBorders>
                  <w:noWrap w:val="0"/>
                  <w:vAlign w:val="center"/>
                </w:tcPr>
                <w:p w14:paraId="2A603B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361119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1840EE1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560" w:type="pct"/>
                  <w:vMerge w:val="continue"/>
                  <w:tcBorders>
                    <w:tl2br w:val="nil"/>
                    <w:tr2bl w:val="nil"/>
                  </w:tcBorders>
                  <w:noWrap w:val="0"/>
                  <w:vAlign w:val="center"/>
                </w:tcPr>
                <w:p w14:paraId="17D4C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9" w:type="pct"/>
                  <w:vMerge w:val="continue"/>
                  <w:tcBorders>
                    <w:tl2br w:val="nil"/>
                    <w:tr2bl w:val="nil"/>
                  </w:tcBorders>
                  <w:noWrap w:val="0"/>
                  <w:vAlign w:val="center"/>
                </w:tcPr>
                <w:p w14:paraId="35D538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CA17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74" w:type="pct"/>
                  <w:vMerge w:val="continue"/>
                  <w:tcBorders>
                    <w:tl2br w:val="nil"/>
                    <w:tr2bl w:val="nil"/>
                  </w:tcBorders>
                  <w:noWrap w:val="0"/>
                  <w:vAlign w:val="center"/>
                </w:tcPr>
                <w:p w14:paraId="28A5A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0D02C77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6FB6792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560" w:type="pct"/>
                  <w:vMerge w:val="continue"/>
                  <w:tcBorders>
                    <w:tl2br w:val="nil"/>
                    <w:tr2bl w:val="nil"/>
                  </w:tcBorders>
                  <w:noWrap w:val="0"/>
                  <w:vAlign w:val="center"/>
                </w:tcPr>
                <w:p w14:paraId="00E16F2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9" w:type="pct"/>
                  <w:vMerge w:val="continue"/>
                  <w:tcBorders>
                    <w:tl2br w:val="nil"/>
                    <w:tr2bl w:val="nil"/>
                  </w:tcBorders>
                  <w:noWrap w:val="0"/>
                  <w:vAlign w:val="center"/>
                </w:tcPr>
                <w:p w14:paraId="417ABF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1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65" w:hRule="atLeast"/>
              </w:trPr>
              <w:tc>
                <w:tcPr>
                  <w:tcW w:w="474" w:type="pct"/>
                  <w:vMerge w:val="continue"/>
                  <w:tcBorders>
                    <w:tl2br w:val="nil"/>
                    <w:tr2bl w:val="nil"/>
                  </w:tcBorders>
                  <w:noWrap w:val="0"/>
                  <w:vAlign w:val="center"/>
                </w:tcPr>
                <w:p w14:paraId="5F1C24C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322078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1B1EAC8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560" w:type="pct"/>
                  <w:vMerge w:val="continue"/>
                  <w:tcBorders>
                    <w:tl2br w:val="nil"/>
                    <w:tr2bl w:val="nil"/>
                  </w:tcBorders>
                  <w:noWrap w:val="0"/>
                  <w:vAlign w:val="center"/>
                </w:tcPr>
                <w:p w14:paraId="20BC1FA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49" w:type="pct"/>
                  <w:vMerge w:val="continue"/>
                  <w:tcBorders>
                    <w:tl2br w:val="nil"/>
                    <w:tr2bl w:val="nil"/>
                  </w:tcBorders>
                  <w:noWrap w:val="0"/>
                  <w:vAlign w:val="center"/>
                </w:tcPr>
                <w:p w14:paraId="128C58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BDBC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474" w:type="pct"/>
                  <w:vMerge w:val="continue"/>
                  <w:tcBorders>
                    <w:tl2br w:val="nil"/>
                    <w:tr2bl w:val="nil"/>
                  </w:tcBorders>
                  <w:noWrap w:val="0"/>
                  <w:vAlign w:val="center"/>
                </w:tcPr>
                <w:p w14:paraId="3B58DA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58C6D8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6F521F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560" w:type="pct"/>
                  <w:vMerge w:val="continue"/>
                  <w:tcBorders>
                    <w:tl2br w:val="nil"/>
                    <w:tr2bl w:val="nil"/>
                  </w:tcBorders>
                  <w:noWrap w:val="0"/>
                  <w:vAlign w:val="center"/>
                </w:tcPr>
                <w:p w14:paraId="7BDC0EA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49" w:type="pct"/>
                  <w:vMerge w:val="continue"/>
                  <w:tcBorders>
                    <w:tl2br w:val="nil"/>
                    <w:tr2bl w:val="nil"/>
                  </w:tcBorders>
                  <w:noWrap w:val="0"/>
                  <w:vAlign w:val="center"/>
                </w:tcPr>
                <w:p w14:paraId="16958E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5A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474" w:type="pct"/>
                  <w:vMerge w:val="continue"/>
                  <w:tcBorders>
                    <w:tl2br w:val="nil"/>
                    <w:tr2bl w:val="nil"/>
                  </w:tcBorders>
                  <w:noWrap w:val="0"/>
                  <w:vAlign w:val="center"/>
                </w:tcPr>
                <w:p w14:paraId="548F85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restart"/>
                  <w:tcBorders>
                    <w:tl2br w:val="nil"/>
                    <w:tr2bl w:val="nil"/>
                  </w:tcBorders>
                  <w:noWrap w:val="0"/>
                  <w:vAlign w:val="center"/>
                </w:tcPr>
                <w:p w14:paraId="70B23E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370" w:type="pct"/>
                  <w:tcBorders>
                    <w:tl2br w:val="nil"/>
                    <w:tr2bl w:val="nil"/>
                  </w:tcBorders>
                  <w:noWrap w:val="0"/>
                  <w:vAlign w:val="center"/>
                </w:tcPr>
                <w:p w14:paraId="7DBFF7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vertAlign w:val="baseline"/>
                      <w:lang w:val="en-US" w:eastAsia="zh-CN"/>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tc>
              <w:tc>
                <w:tcPr>
                  <w:tcW w:w="1560" w:type="pct"/>
                  <w:tcBorders>
                    <w:tl2br w:val="nil"/>
                    <w:tr2bl w:val="nil"/>
                  </w:tcBorders>
                  <w:noWrap w:val="0"/>
                  <w:vAlign w:val="center"/>
                </w:tcPr>
                <w:p w14:paraId="2B0A24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349" w:type="pct"/>
                  <w:vMerge w:val="restart"/>
                  <w:tcBorders>
                    <w:tl2br w:val="nil"/>
                    <w:tr2bl w:val="nil"/>
                  </w:tcBorders>
                  <w:noWrap w:val="0"/>
                  <w:vAlign w:val="center"/>
                </w:tcPr>
                <w:p w14:paraId="10F24B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891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74" w:type="pct"/>
                  <w:vMerge w:val="continue"/>
                  <w:tcBorders>
                    <w:tl2br w:val="nil"/>
                    <w:tr2bl w:val="nil"/>
                  </w:tcBorders>
                  <w:noWrap w:val="0"/>
                  <w:vAlign w:val="center"/>
                </w:tcPr>
                <w:p w14:paraId="1DD662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0C7487B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19FACE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560" w:type="pct"/>
                  <w:tcBorders>
                    <w:tl2br w:val="nil"/>
                    <w:tr2bl w:val="nil"/>
                  </w:tcBorders>
                  <w:noWrap w:val="0"/>
                  <w:vAlign w:val="center"/>
                </w:tcPr>
                <w:p w14:paraId="0CBC9C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49" w:type="pct"/>
                  <w:vMerge w:val="continue"/>
                  <w:tcBorders>
                    <w:tl2br w:val="nil"/>
                    <w:tr2bl w:val="nil"/>
                  </w:tcBorders>
                  <w:noWrap w:val="0"/>
                  <w:vAlign w:val="center"/>
                </w:tcPr>
                <w:p w14:paraId="3ACA28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BE62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4" w:type="pct"/>
                  <w:vMerge w:val="continue"/>
                  <w:tcBorders>
                    <w:tl2br w:val="nil"/>
                    <w:tr2bl w:val="nil"/>
                  </w:tcBorders>
                  <w:noWrap w:val="0"/>
                  <w:vAlign w:val="center"/>
                </w:tcPr>
                <w:p w14:paraId="04B048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1A7727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7EA376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w:t>
                  </w:r>
                  <w:r>
                    <w:rPr>
                      <w:rFonts w:hint="default" w:ascii="Times New Roman" w:hAnsi="Times New Roman" w:eastAsia="宋体" w:cs="Times New Roman"/>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560" w:type="pct"/>
                  <w:tcBorders>
                    <w:tl2br w:val="nil"/>
                    <w:tr2bl w:val="nil"/>
                  </w:tcBorders>
                  <w:noWrap w:val="0"/>
                  <w:vAlign w:val="center"/>
                </w:tcPr>
                <w:p w14:paraId="2054E6B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w:t>
                  </w: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eastAsia" w:ascii="Times New Roman" w:hAnsi="Times New Roman" w:eastAsia="宋体" w:cs="Times New Roman"/>
                      <w:color w:val="auto"/>
                      <w:sz w:val="21"/>
                      <w:szCs w:val="21"/>
                      <w:u w:val="none"/>
                      <w:lang w:val="en-US" w:eastAsia="zh-CN"/>
                    </w:rPr>
                    <w:t>生活污水依托园区内化粪池处理达标后接入市政污水管网，纳入福清市融元污水处理厂进行集中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49" w:type="pct"/>
                  <w:vMerge w:val="continue"/>
                  <w:tcBorders>
                    <w:tl2br w:val="nil"/>
                    <w:tr2bl w:val="nil"/>
                  </w:tcBorders>
                  <w:noWrap w:val="0"/>
                  <w:vAlign w:val="center"/>
                </w:tcPr>
                <w:p w14:paraId="21496A3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F98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4" w:type="pct"/>
                  <w:vMerge w:val="continue"/>
                  <w:tcBorders>
                    <w:tl2br w:val="nil"/>
                    <w:tr2bl w:val="nil"/>
                  </w:tcBorders>
                  <w:noWrap w:val="0"/>
                  <w:vAlign w:val="center"/>
                </w:tcPr>
                <w:p w14:paraId="72DCFE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5F4EF3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17353F6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default" w:ascii="Times New Roman" w:hAnsi="Times New Roman" w:eastAsia="宋体" w:cs="Times New Roman"/>
                      <w:vertAlign w:val="baseline"/>
                      <w:lang w:val="en-US" w:eastAsia="zh-CN"/>
                    </w:rPr>
                    <w:t>4.优化调整货物运输方式，提升铁路货运比例，推进钢铁、电力、电解铝、焦化等重点工业企业和工业园区货物由公路运输转向铁路运输。</w:t>
                  </w:r>
                </w:p>
              </w:tc>
              <w:tc>
                <w:tcPr>
                  <w:tcW w:w="1560" w:type="pct"/>
                  <w:vMerge w:val="restart"/>
                  <w:tcBorders>
                    <w:tl2br w:val="nil"/>
                    <w:tr2bl w:val="nil"/>
                  </w:tcBorders>
                  <w:noWrap w:val="0"/>
                  <w:vAlign w:val="center"/>
                </w:tcPr>
                <w:p w14:paraId="5782FBA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49" w:type="pct"/>
                  <w:vMerge w:val="continue"/>
                  <w:tcBorders>
                    <w:tl2br w:val="nil"/>
                    <w:tr2bl w:val="nil"/>
                  </w:tcBorders>
                  <w:noWrap w:val="0"/>
                  <w:vAlign w:val="center"/>
                </w:tcPr>
                <w:p w14:paraId="70A615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0A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4" w:type="pct"/>
                  <w:vMerge w:val="continue"/>
                  <w:tcBorders>
                    <w:tl2br w:val="nil"/>
                    <w:tr2bl w:val="nil"/>
                  </w:tcBorders>
                  <w:noWrap w:val="0"/>
                  <w:vAlign w:val="center"/>
                </w:tcPr>
                <w:p w14:paraId="266108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53A00C2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370" w:type="pct"/>
                  <w:tcBorders>
                    <w:tl2br w:val="nil"/>
                    <w:tr2bl w:val="nil"/>
                  </w:tcBorders>
                  <w:noWrap w:val="0"/>
                  <w:vAlign w:val="center"/>
                </w:tcPr>
                <w:p w14:paraId="5F7E16D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560" w:type="pct"/>
                  <w:vMerge w:val="continue"/>
                  <w:tcBorders>
                    <w:tl2br w:val="nil"/>
                    <w:tr2bl w:val="nil"/>
                  </w:tcBorders>
                  <w:noWrap w:val="0"/>
                  <w:vAlign w:val="center"/>
                </w:tcPr>
                <w:p w14:paraId="278156D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9" w:type="pct"/>
                  <w:vMerge w:val="continue"/>
                  <w:tcBorders>
                    <w:tl2br w:val="nil"/>
                    <w:tr2bl w:val="nil"/>
                  </w:tcBorders>
                  <w:noWrap w:val="0"/>
                  <w:vAlign w:val="center"/>
                </w:tcPr>
                <w:p w14:paraId="66BB95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CAA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4" w:type="pct"/>
                  <w:vMerge w:val="continue"/>
                  <w:tcBorders>
                    <w:tl2br w:val="nil"/>
                    <w:tr2bl w:val="nil"/>
                  </w:tcBorders>
                  <w:noWrap w:val="0"/>
                  <w:vAlign w:val="center"/>
                </w:tcPr>
                <w:p w14:paraId="60E778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restart"/>
                  <w:tcBorders>
                    <w:tl2br w:val="nil"/>
                    <w:tr2bl w:val="nil"/>
                  </w:tcBorders>
                  <w:noWrap w:val="0"/>
                  <w:vAlign w:val="center"/>
                </w:tcPr>
                <w:p w14:paraId="78218D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140406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370" w:type="pct"/>
                  <w:tcBorders>
                    <w:tl2br w:val="nil"/>
                    <w:tr2bl w:val="nil"/>
                  </w:tcBorders>
                  <w:noWrap w:val="0"/>
                  <w:vAlign w:val="center"/>
                </w:tcPr>
                <w:p w14:paraId="29E10A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560" w:type="pct"/>
                  <w:vMerge w:val="restart"/>
                  <w:tcBorders>
                    <w:tl2br w:val="nil"/>
                    <w:tr2bl w:val="nil"/>
                  </w:tcBorders>
                  <w:noWrap w:val="0"/>
                  <w:vAlign w:val="center"/>
                </w:tcPr>
                <w:p w14:paraId="50072C3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p>
              </w:tc>
              <w:tc>
                <w:tcPr>
                  <w:tcW w:w="349" w:type="pct"/>
                  <w:vMerge w:val="restart"/>
                  <w:tcBorders>
                    <w:tl2br w:val="nil"/>
                    <w:tr2bl w:val="nil"/>
                  </w:tcBorders>
                  <w:noWrap w:val="0"/>
                  <w:vAlign w:val="center"/>
                </w:tcPr>
                <w:p w14:paraId="1D595F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15F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4" w:type="pct"/>
                  <w:vMerge w:val="continue"/>
                  <w:tcBorders>
                    <w:tl2br w:val="nil"/>
                    <w:tr2bl w:val="nil"/>
                  </w:tcBorders>
                  <w:noWrap w:val="0"/>
                  <w:vAlign w:val="center"/>
                </w:tcPr>
                <w:p w14:paraId="7DB774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4126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370" w:type="pct"/>
                  <w:tcBorders>
                    <w:tl2br w:val="nil"/>
                    <w:tr2bl w:val="nil"/>
                  </w:tcBorders>
                  <w:noWrap w:val="0"/>
                  <w:vAlign w:val="center"/>
                </w:tcPr>
                <w:p w14:paraId="0C93860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560" w:type="pct"/>
                  <w:vMerge w:val="continue"/>
                  <w:tcBorders>
                    <w:tl2br w:val="nil"/>
                    <w:tr2bl w:val="nil"/>
                  </w:tcBorders>
                  <w:noWrap w:val="0"/>
                  <w:vAlign w:val="center"/>
                </w:tcPr>
                <w:p w14:paraId="2E428EC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9" w:type="pct"/>
                  <w:vMerge w:val="continue"/>
                  <w:tcBorders>
                    <w:tl2br w:val="nil"/>
                    <w:tr2bl w:val="nil"/>
                  </w:tcBorders>
                  <w:noWrap w:val="0"/>
                  <w:vAlign w:val="center"/>
                </w:tcPr>
                <w:p w14:paraId="49969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AEE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74" w:type="pct"/>
                  <w:vMerge w:val="continue"/>
                  <w:tcBorders>
                    <w:tl2br w:val="nil"/>
                    <w:tr2bl w:val="nil"/>
                  </w:tcBorders>
                  <w:noWrap w:val="0"/>
                  <w:vAlign w:val="center"/>
                </w:tcPr>
                <w:p w14:paraId="4C612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120CBFA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370" w:type="pct"/>
                  <w:tcBorders>
                    <w:tl2br w:val="nil"/>
                    <w:tr2bl w:val="nil"/>
                  </w:tcBorders>
                  <w:noWrap w:val="0"/>
                  <w:vAlign w:val="center"/>
                </w:tcPr>
                <w:p w14:paraId="6DF5A66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560" w:type="pct"/>
                  <w:vMerge w:val="continue"/>
                  <w:tcBorders>
                    <w:tl2br w:val="nil"/>
                    <w:tr2bl w:val="nil"/>
                  </w:tcBorders>
                  <w:noWrap w:val="0"/>
                  <w:vAlign w:val="center"/>
                </w:tcPr>
                <w:p w14:paraId="1DA93D9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9" w:type="pct"/>
                  <w:vMerge w:val="continue"/>
                  <w:tcBorders>
                    <w:tl2br w:val="nil"/>
                    <w:tr2bl w:val="nil"/>
                  </w:tcBorders>
                  <w:noWrap w:val="0"/>
                  <w:vAlign w:val="center"/>
                </w:tcPr>
                <w:p w14:paraId="40F5F6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987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4" w:type="pct"/>
                  <w:vMerge w:val="continue"/>
                  <w:tcBorders>
                    <w:tl2br w:val="nil"/>
                    <w:tr2bl w:val="nil"/>
                  </w:tcBorders>
                  <w:noWrap w:val="0"/>
                  <w:vAlign w:val="center"/>
                </w:tcPr>
                <w:p w14:paraId="3B3C13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133DE9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370" w:type="pct"/>
                  <w:tcBorders>
                    <w:tl2br w:val="nil"/>
                    <w:tr2bl w:val="nil"/>
                  </w:tcBorders>
                  <w:noWrap w:val="0"/>
                  <w:vAlign w:val="center"/>
                </w:tcPr>
                <w:p w14:paraId="41D483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560" w:type="pct"/>
                  <w:vMerge w:val="continue"/>
                  <w:tcBorders>
                    <w:tl2br w:val="nil"/>
                    <w:tr2bl w:val="nil"/>
                  </w:tcBorders>
                  <w:noWrap w:val="0"/>
                  <w:vAlign w:val="center"/>
                </w:tcPr>
                <w:p w14:paraId="3624FB5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9" w:type="pct"/>
                  <w:vMerge w:val="continue"/>
                  <w:tcBorders>
                    <w:tl2br w:val="nil"/>
                    <w:tr2bl w:val="nil"/>
                  </w:tcBorders>
                  <w:noWrap w:val="0"/>
                  <w:vAlign w:val="center"/>
                </w:tcPr>
                <w:p w14:paraId="54D49B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AC3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4" w:type="pct"/>
                  <w:vMerge w:val="continue"/>
                  <w:tcBorders>
                    <w:tl2br w:val="nil"/>
                    <w:tr2bl w:val="nil"/>
                  </w:tcBorders>
                  <w:noWrap w:val="0"/>
                  <w:vAlign w:val="center"/>
                </w:tcPr>
                <w:p w14:paraId="527CAAE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6" w:type="pct"/>
                  <w:vMerge w:val="continue"/>
                  <w:tcBorders>
                    <w:tl2br w:val="nil"/>
                    <w:tr2bl w:val="nil"/>
                  </w:tcBorders>
                  <w:noWrap w:val="0"/>
                  <w:vAlign w:val="center"/>
                </w:tcPr>
                <w:p w14:paraId="0095B4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370" w:type="pct"/>
                  <w:tcBorders>
                    <w:tl2br w:val="nil"/>
                    <w:tr2bl w:val="nil"/>
                  </w:tcBorders>
                  <w:noWrap w:val="0"/>
                  <w:vAlign w:val="center"/>
                </w:tcPr>
                <w:p w14:paraId="157641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560" w:type="pct"/>
                  <w:vMerge w:val="continue"/>
                  <w:tcBorders>
                    <w:tl2br w:val="nil"/>
                    <w:tr2bl w:val="nil"/>
                  </w:tcBorders>
                  <w:noWrap w:val="0"/>
                  <w:vAlign w:val="center"/>
                </w:tcPr>
                <w:p w14:paraId="7B94A557">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9" w:type="pct"/>
                  <w:vMerge w:val="continue"/>
                  <w:tcBorders>
                    <w:tl2br w:val="nil"/>
                    <w:tr2bl w:val="nil"/>
                  </w:tcBorders>
                  <w:noWrap w:val="0"/>
                  <w:vAlign w:val="center"/>
                </w:tcPr>
                <w:p w14:paraId="2C1FB6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7B50405">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 xml:space="preserve"> </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1"/>
              <w:gridCol w:w="7390"/>
              <w:gridCol w:w="2716"/>
              <w:gridCol w:w="891"/>
            </w:tblGrid>
            <w:tr w14:paraId="33B1B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85" w:type="pct"/>
                  <w:tcBorders>
                    <w:tl2br w:val="nil"/>
                    <w:tr2bl w:val="nil"/>
                  </w:tcBorders>
                  <w:vAlign w:val="center"/>
                </w:tcPr>
                <w:p w14:paraId="60A570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3284" w:type="pct"/>
                  <w:gridSpan w:val="2"/>
                  <w:tcBorders>
                    <w:tl2br w:val="nil"/>
                    <w:tr2bl w:val="nil"/>
                  </w:tcBorders>
                  <w:vAlign w:val="center"/>
                </w:tcPr>
                <w:p w14:paraId="27707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076" w:type="pct"/>
                  <w:tcBorders>
                    <w:tl2br w:val="nil"/>
                    <w:tr2bl w:val="nil"/>
                  </w:tcBorders>
                  <w:vAlign w:val="center"/>
                </w:tcPr>
                <w:p w14:paraId="797B60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353" w:type="pct"/>
                  <w:tcBorders>
                    <w:tl2br w:val="nil"/>
                    <w:tr2bl w:val="nil"/>
                  </w:tcBorders>
                  <w:vAlign w:val="center"/>
                </w:tcPr>
                <w:p w14:paraId="744A70B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E7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64332B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7" w:type="pct"/>
                  <w:tcBorders>
                    <w:tl2br w:val="nil"/>
                    <w:tr2bl w:val="nil"/>
                  </w:tcBorders>
                  <w:vAlign w:val="center"/>
                </w:tcPr>
                <w:p w14:paraId="4C545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40CF5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6" w:type="pct"/>
                  <w:tcBorders>
                    <w:tl2br w:val="nil"/>
                    <w:tr2bl w:val="nil"/>
                  </w:tcBorders>
                  <w:vAlign w:val="center"/>
                </w:tcPr>
                <w:p w14:paraId="29447E8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本项目不属于危险化学品生产企业，不属于印染、原料药制造、化工等企业；本项目位于</w:t>
                  </w:r>
                  <w:r>
                    <w:rPr>
                      <w:rFonts w:hint="eastAsia"/>
                      <w:color w:val="auto"/>
                      <w:sz w:val="21"/>
                      <w:szCs w:val="21"/>
                      <w:u w:val="none"/>
                      <w:lang w:eastAsia="zh-CN"/>
                    </w:rPr>
                    <w:t>福清融侨经济技术开发区内。</w:t>
                  </w:r>
                </w:p>
              </w:tc>
              <w:tc>
                <w:tcPr>
                  <w:tcW w:w="353" w:type="pct"/>
                  <w:tcBorders>
                    <w:tl2br w:val="nil"/>
                    <w:tr2bl w:val="nil"/>
                  </w:tcBorders>
                  <w:vAlign w:val="center"/>
                </w:tcPr>
                <w:p w14:paraId="7A1E4F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515C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1FF9D6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7" w:type="pct"/>
                  <w:tcBorders>
                    <w:tl2br w:val="nil"/>
                    <w:tr2bl w:val="nil"/>
                  </w:tcBorders>
                  <w:vAlign w:val="center"/>
                </w:tcPr>
                <w:p w14:paraId="296E34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927" w:type="pct"/>
                  <w:tcBorders>
                    <w:tl2br w:val="nil"/>
                    <w:tr2bl w:val="nil"/>
                  </w:tcBorders>
                  <w:vAlign w:val="center"/>
                </w:tcPr>
                <w:p w14:paraId="43DCE24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1076" w:type="pct"/>
                  <w:tcBorders>
                    <w:tl2br w:val="nil"/>
                    <w:tr2bl w:val="nil"/>
                  </w:tcBorders>
                  <w:vAlign w:val="center"/>
                </w:tcPr>
                <w:p w14:paraId="61D60F5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u w:val="none"/>
                      <w:lang w:val="en-US" w:eastAsia="zh-CN" w:bidi="ar"/>
                    </w:rPr>
                    <w:t>本项目不涉及</w:t>
                  </w:r>
                  <w:r>
                    <w:rPr>
                      <w:rFonts w:hint="eastAsia"/>
                      <w:color w:val="auto"/>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eastAsia" w:ascii="Times New Roman" w:hAnsi="Times New Roman" w:cs="Times New Roman"/>
                      <w:color w:val="auto"/>
                      <w:sz w:val="21"/>
                      <w:szCs w:val="21"/>
                      <w:u w:val="none"/>
                      <w:lang w:eastAsia="zh-CN"/>
                    </w:rPr>
                    <w:t>。</w:t>
                  </w:r>
                </w:p>
              </w:tc>
              <w:tc>
                <w:tcPr>
                  <w:tcW w:w="353" w:type="pct"/>
                  <w:tcBorders>
                    <w:tl2br w:val="nil"/>
                    <w:tr2bl w:val="nil"/>
                  </w:tcBorders>
                  <w:vAlign w:val="center"/>
                </w:tcPr>
                <w:p w14:paraId="21F04CD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1E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5EF61F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7" w:type="pct"/>
                  <w:vMerge w:val="restart"/>
                  <w:tcBorders>
                    <w:tl2br w:val="nil"/>
                    <w:tr2bl w:val="nil"/>
                  </w:tcBorders>
                  <w:vAlign w:val="center"/>
                </w:tcPr>
                <w:p w14:paraId="552061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5703E36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542568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00D0D9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4B49BC2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8C9DA0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34D9AF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5F4776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37790C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82A5A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C9A78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7B1C7B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4C2C95A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573A93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700C2B4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2E1B79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2E128D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6A30897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6031F0D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w:t>
                  </w:r>
                  <w:r>
                    <w:rPr>
                      <w:rFonts w:hint="eastAsia" w:cs="Times New Roman"/>
                      <w:vertAlign w:val="baseline"/>
                      <w:lang w:val="en-US" w:eastAsia="zh-CN"/>
                    </w:rPr>
                    <w:t>和改革委员会</w:t>
                  </w:r>
                  <w:r>
                    <w:rPr>
                      <w:rFonts w:hint="eastAsia" w:ascii="Times New Roman" w:hAnsi="Times New Roman" w:eastAsia="宋体" w:cs="Times New Roman"/>
                      <w:vertAlign w:val="baseline"/>
                      <w:lang w:val="en-US" w:eastAsia="zh-CN"/>
                    </w:rPr>
                    <w:t>同有关部门确认的需中央加大建设用地保障力度，确实难以避让的国家重大项目。</w:t>
                  </w:r>
                </w:p>
              </w:tc>
              <w:tc>
                <w:tcPr>
                  <w:tcW w:w="1076" w:type="pct"/>
                  <w:tcBorders>
                    <w:tl2br w:val="nil"/>
                    <w:tr2bl w:val="nil"/>
                  </w:tcBorders>
                  <w:vAlign w:val="center"/>
                </w:tcPr>
                <w:p w14:paraId="3C616159">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4CEFC4B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F7AC9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3" w:type="pct"/>
                  <w:tcBorders>
                    <w:tl2br w:val="nil"/>
                    <w:tr2bl w:val="nil"/>
                  </w:tcBorders>
                  <w:vAlign w:val="center"/>
                </w:tcPr>
                <w:p w14:paraId="4593DB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09E82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FF06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720B7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7A4933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27BC9D9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4B3711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2C7081B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076" w:type="pct"/>
                  <w:tcBorders>
                    <w:tl2br w:val="nil"/>
                    <w:tr2bl w:val="nil"/>
                  </w:tcBorders>
                  <w:vAlign w:val="center"/>
                </w:tcPr>
                <w:p w14:paraId="038E080A">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本项目位于福清市重点管控单元1</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755A666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5043375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353" w:type="pct"/>
                  <w:tcBorders>
                    <w:tl2br w:val="nil"/>
                    <w:tr2bl w:val="nil"/>
                  </w:tcBorders>
                  <w:vAlign w:val="center"/>
                </w:tcPr>
                <w:p w14:paraId="3AE632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41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207FB1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4EFB1BB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631FAAE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三、其它要求</w:t>
                  </w:r>
                </w:p>
                <w:p w14:paraId="57F0DD3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2A761F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2C578E2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315984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764A3DC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3D5DE4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0C2CA1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1D67BF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重要敏感水体及富营养化湖库生态缓冲带除相关政府部门批准的科学研究活动外，禁止其它可能对保护区构成危害或不良影响的大规模生产、建设活动。</w:t>
                  </w:r>
                </w:p>
                <w:p w14:paraId="5D98F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0018FA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76" w:type="pct"/>
                  <w:tcBorders>
                    <w:tl2br w:val="nil"/>
                    <w:tr2bl w:val="nil"/>
                  </w:tcBorders>
                  <w:vAlign w:val="center"/>
                </w:tcPr>
                <w:p w14:paraId="43A48B5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本项目不属于石化植物制浆、印染、合成革及人造革、电镀项目，不涉及油墨、涂料、胶粘剂的使用，不属于陶瓷企业。不属于煤电、钢铁、建材、石化、化工等“两高”项目；</w:t>
                  </w:r>
                </w:p>
                <w:p w14:paraId="06400ED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780A967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353" w:type="pct"/>
                  <w:tcBorders>
                    <w:tl2br w:val="nil"/>
                    <w:tr2bl w:val="nil"/>
                  </w:tcBorders>
                  <w:vAlign w:val="center"/>
                </w:tcPr>
                <w:p w14:paraId="7C950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6D1E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E7C07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4A5193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2927" w:type="pct"/>
                  <w:tcBorders>
                    <w:tl2br w:val="nil"/>
                    <w:tr2bl w:val="nil"/>
                  </w:tcBorders>
                  <w:vAlign w:val="center"/>
                </w:tcPr>
                <w:p w14:paraId="7AA93DE8">
                  <w:pPr>
                    <w:keepNext w:val="0"/>
                    <w:keepLines w:val="0"/>
                    <w:pageBreakBefore w:val="0"/>
                    <w:widowControl w:val="0"/>
                    <w:numPr>
                      <w:ilvl w:val="0"/>
                      <w:numId w:val="5"/>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0066DB96">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49399F1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w:t>
                  </w:r>
                  <w:r>
                    <w:rPr>
                      <w:rFonts w:hint="eastAsia" w:cs="Times New Roman"/>
                      <w:b w:val="0"/>
                      <w:bCs w:val="0"/>
                      <w:vertAlign w:val="baseline"/>
                      <w:lang w:val="en-US" w:eastAsia="zh-CN"/>
                    </w:rPr>
                    <w:t>应当</w:t>
                  </w:r>
                  <w:r>
                    <w:rPr>
                      <w:rFonts w:hint="default" w:ascii="Times New Roman" w:hAnsi="Times New Roman" w:eastAsia="宋体" w:cs="Times New Roman"/>
                      <w:b w:val="0"/>
                      <w:bCs w:val="0"/>
                      <w:vertAlign w:val="baseline"/>
                      <w:lang w:val="en-US" w:eastAsia="zh-CN"/>
                    </w:rPr>
                    <w:t>执行超低排放限值，有色项目应当执行大气污染物特别排放限值。重点控制区新建化工、石化应当执行大气污染物特别排放限值。</w:t>
                  </w:r>
                </w:p>
                <w:p w14:paraId="1BD30C4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34B90F8F">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4EF0F2">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04CDC0E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0059D56A">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76" w:type="pct"/>
                  <w:tcBorders>
                    <w:tl2br w:val="nil"/>
                    <w:tr2bl w:val="nil"/>
                  </w:tcBorders>
                  <w:vAlign w:val="center"/>
                </w:tcPr>
                <w:p w14:paraId="1598D140">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1E36DD3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2.本项目新增VOCs排放，在区域内实行倍量替代；</w:t>
                  </w:r>
                </w:p>
                <w:p w14:paraId="54CDA67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3588B8C2">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3CE534AC">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34ECAE8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6.本项目采用电阻炉进行加工，不使用燃煤、燃油、生物质和其他使用高污染燃料的锅炉；</w:t>
                  </w:r>
                </w:p>
                <w:p w14:paraId="24FDDC7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7BF712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353" w:type="pct"/>
                  <w:tcBorders>
                    <w:tl2br w:val="nil"/>
                    <w:tr2bl w:val="nil"/>
                  </w:tcBorders>
                  <w:vAlign w:val="center"/>
                </w:tcPr>
                <w:p w14:paraId="60844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6C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7AA404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6EA46B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资源开发效率要求</w:t>
                  </w:r>
                </w:p>
              </w:tc>
              <w:tc>
                <w:tcPr>
                  <w:tcW w:w="2927" w:type="pct"/>
                  <w:tcBorders>
                    <w:tl2br w:val="nil"/>
                    <w:tr2bl w:val="nil"/>
                  </w:tcBorders>
                  <w:vAlign w:val="center"/>
                </w:tcPr>
                <w:p w14:paraId="0AFA832F">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9E28B3B">
                  <w:pPr>
                    <w:keepNext w:val="0"/>
                    <w:keepLines w:val="0"/>
                    <w:pageBreakBefore w:val="0"/>
                    <w:widowControl w:val="0"/>
                    <w:numPr>
                      <w:ilvl w:val="0"/>
                      <w:numId w:val="6"/>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按照</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提气、转电、控煤</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的发展思路，推动陶瓷行业进一步优化用能结构，实现能源消费清洁低碳化。</w:t>
                  </w:r>
                </w:p>
              </w:tc>
              <w:tc>
                <w:tcPr>
                  <w:tcW w:w="1076" w:type="pct"/>
                  <w:tcBorders>
                    <w:tl2br w:val="nil"/>
                    <w:tr2bl w:val="nil"/>
                  </w:tcBorders>
                  <w:vAlign w:val="center"/>
                </w:tcPr>
                <w:p w14:paraId="62BAD3C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本项目设置锅炉为电阻炉，不燃煤、燃油、生物质和其他使用高污染燃料的锅炉；</w:t>
                  </w:r>
                </w:p>
                <w:p w14:paraId="519C2EE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353" w:type="pct"/>
                  <w:tcBorders>
                    <w:tl2br w:val="nil"/>
                    <w:tr2bl w:val="nil"/>
                  </w:tcBorders>
                  <w:vAlign w:val="center"/>
                </w:tcPr>
                <w:p w14:paraId="267077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736E1AE2">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083"/>
              <w:gridCol w:w="755"/>
              <w:gridCol w:w="692"/>
              <w:gridCol w:w="5050"/>
              <w:gridCol w:w="2636"/>
              <w:gridCol w:w="725"/>
            </w:tblGrid>
            <w:tr w14:paraId="2CDE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083D63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29" w:type="pct"/>
                  <w:tcBorders>
                    <w:tl2br w:val="nil"/>
                    <w:tr2bl w:val="nil"/>
                  </w:tcBorders>
                  <w:vAlign w:val="center"/>
                </w:tcPr>
                <w:p w14:paraId="491F8F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299" w:type="pct"/>
                  <w:tcBorders>
                    <w:tl2br w:val="nil"/>
                    <w:tr2bl w:val="nil"/>
                  </w:tcBorders>
                  <w:vAlign w:val="center"/>
                </w:tcPr>
                <w:p w14:paraId="3DCFEC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274" w:type="pct"/>
                  <w:gridSpan w:val="2"/>
                  <w:tcBorders>
                    <w:tl2br w:val="nil"/>
                    <w:tr2bl w:val="nil"/>
                  </w:tcBorders>
                  <w:vAlign w:val="center"/>
                </w:tcPr>
                <w:p w14:paraId="081502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1044" w:type="pct"/>
                  <w:tcBorders>
                    <w:tl2br w:val="nil"/>
                    <w:tr2bl w:val="nil"/>
                  </w:tcBorders>
                  <w:vAlign w:val="center"/>
                </w:tcPr>
                <w:p w14:paraId="45CF0E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1151C59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6CF2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405D34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ZH35018120008</w:t>
                  </w:r>
                </w:p>
              </w:tc>
              <w:tc>
                <w:tcPr>
                  <w:tcW w:w="429" w:type="pct"/>
                  <w:vMerge w:val="restart"/>
                  <w:tcBorders>
                    <w:tl2br w:val="nil"/>
                    <w:tr2bl w:val="nil"/>
                  </w:tcBorders>
                  <w:vAlign w:val="center"/>
                </w:tcPr>
                <w:p w14:paraId="6CE4D8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福清市重点管控单元1</w:t>
                  </w:r>
                </w:p>
              </w:tc>
              <w:tc>
                <w:tcPr>
                  <w:tcW w:w="299" w:type="pct"/>
                  <w:vMerge w:val="restart"/>
                  <w:tcBorders>
                    <w:tl2br w:val="nil"/>
                    <w:tr2bl w:val="nil"/>
                  </w:tcBorders>
                  <w:vAlign w:val="center"/>
                </w:tcPr>
                <w:p w14:paraId="5D1256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16B9F2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000" w:type="pct"/>
                  <w:tcBorders>
                    <w:tl2br w:val="nil"/>
                    <w:tr2bl w:val="nil"/>
                  </w:tcBorders>
                  <w:vAlign w:val="center"/>
                </w:tcPr>
                <w:p w14:paraId="3B263182">
                  <w:pPr>
                    <w:keepNext w:val="0"/>
                    <w:keepLines w:val="0"/>
                    <w:pageBreakBefore w:val="0"/>
                    <w:widowControl w:val="0"/>
                    <w:numPr>
                      <w:ilvl w:val="0"/>
                      <w:numId w:val="7"/>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405676AF">
                  <w:pPr>
                    <w:keepNext w:val="0"/>
                    <w:keepLines w:val="0"/>
                    <w:pageBreakBefore w:val="0"/>
                    <w:widowControl w:val="0"/>
                    <w:numPr>
                      <w:ilvl w:val="0"/>
                      <w:numId w:val="7"/>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5301D5BE">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1044" w:type="pct"/>
                  <w:tcBorders>
                    <w:tl2br w:val="nil"/>
                    <w:tr2bl w:val="nil"/>
                  </w:tcBorders>
                  <w:vAlign w:val="center"/>
                </w:tcPr>
                <w:p w14:paraId="4F116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w:t>
                  </w:r>
                  <w:r>
                    <w:rPr>
                      <w:rFonts w:hint="default" w:ascii="Times New Roman" w:hAnsi="Times New Roman" w:eastAsia="宋体" w:cs="Times New Roman"/>
                      <w:color w:val="auto"/>
                      <w:sz w:val="21"/>
                      <w:szCs w:val="21"/>
                      <w:u w:val="none"/>
                      <w:vertAlign w:val="baseline"/>
                      <w:lang w:val="en-US" w:eastAsia="zh-CN"/>
                    </w:rPr>
                    <w:t>本项目不属于危险化学品生产企业，不属于印染、原料药制造、化工等企业；</w:t>
                  </w:r>
                </w:p>
                <w:p w14:paraId="70EDDC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2、本项目不属于包装印刷、工业涂装、制鞋等高VOCs排放的项目；</w:t>
                  </w:r>
                </w:p>
                <w:p w14:paraId="14D93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3、</w:t>
                  </w:r>
                  <w:r>
                    <w:rPr>
                      <w:rFonts w:hint="default" w:ascii="Times New Roman" w:hAnsi="Times New Roman" w:eastAsia="宋体" w:cs="Times New Roman"/>
                      <w:color w:val="auto"/>
                      <w:sz w:val="21"/>
                      <w:szCs w:val="21"/>
                      <w:u w:val="none"/>
                      <w:vertAlign w:val="baseline"/>
                      <w:lang w:val="en-US" w:eastAsia="zh-CN"/>
                    </w:rPr>
                    <w:t>本项目位于</w:t>
                  </w:r>
                  <w:r>
                    <w:rPr>
                      <w:rFonts w:hint="default" w:ascii="Times New Roman" w:hAnsi="Times New Roman" w:eastAsia="宋体" w:cs="Times New Roman"/>
                      <w:color w:val="auto"/>
                      <w:sz w:val="21"/>
                      <w:szCs w:val="21"/>
                      <w:u w:val="none"/>
                      <w:lang w:eastAsia="zh-CN"/>
                    </w:rPr>
                    <w:t>福清融侨经济技术开发区内</w:t>
                  </w:r>
                  <w:r>
                    <w:rPr>
                      <w:rFonts w:hint="eastAsia" w:cs="Times New Roman"/>
                      <w:color w:val="auto"/>
                      <w:sz w:val="21"/>
                      <w:szCs w:val="21"/>
                      <w:u w:val="none"/>
                      <w:lang w:eastAsia="zh-CN"/>
                    </w:rPr>
                    <w:t>，</w:t>
                  </w:r>
                  <w:r>
                    <w:rPr>
                      <w:rFonts w:hint="eastAsia" w:cs="Times New Roman"/>
                      <w:color w:val="auto"/>
                      <w:sz w:val="21"/>
                      <w:szCs w:val="21"/>
                      <w:u w:val="none"/>
                      <w:lang w:val="en-US" w:eastAsia="zh-CN"/>
                    </w:rPr>
                    <w:t>不涉及</w:t>
                  </w:r>
                  <w:r>
                    <w:rPr>
                      <w:rFonts w:hint="default" w:ascii="Times New Roman" w:hAnsi="Times New Roman" w:eastAsia="宋体" w:cs="Times New Roman"/>
                      <w:b w:val="0"/>
                      <w:bCs w:val="0"/>
                      <w:color w:val="auto"/>
                      <w:sz w:val="21"/>
                      <w:szCs w:val="21"/>
                      <w:vertAlign w:val="baseline"/>
                      <w:lang w:val="en-US" w:eastAsia="zh-CN"/>
                    </w:rPr>
                    <w:t>开发利用未经评估和无害化处理的列入建设用地污染地块名录及开发利用负面清单的土地</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D981B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FFC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63B401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301C7A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0B9500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6A8AF7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000" w:type="pct"/>
                  <w:tcBorders>
                    <w:tl2br w:val="nil"/>
                    <w:tr2bl w:val="nil"/>
                  </w:tcBorders>
                  <w:vAlign w:val="center"/>
                </w:tcPr>
                <w:p w14:paraId="1F7AE86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1044" w:type="pct"/>
                  <w:tcBorders>
                    <w:tl2br w:val="nil"/>
                    <w:tr2bl w:val="nil"/>
                  </w:tcBorders>
                  <w:vAlign w:val="center"/>
                </w:tcPr>
                <w:p w14:paraId="662FC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50CD76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100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27758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574F30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2824B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054D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000" w:type="pct"/>
                  <w:tcBorders>
                    <w:tl2br w:val="nil"/>
                    <w:tr2bl w:val="nil"/>
                  </w:tcBorders>
                  <w:vAlign w:val="center"/>
                </w:tcPr>
                <w:p w14:paraId="28F5F62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044" w:type="pct"/>
                  <w:tcBorders>
                    <w:tl2br w:val="nil"/>
                    <w:tr2bl w:val="nil"/>
                  </w:tcBorders>
                  <w:vAlign w:val="center"/>
                </w:tcPr>
                <w:p w14:paraId="5987F4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287" w:type="pct"/>
                  <w:tcBorders>
                    <w:tl2br w:val="nil"/>
                    <w:tr2bl w:val="nil"/>
                  </w:tcBorders>
                  <w:vAlign w:val="center"/>
                </w:tcPr>
                <w:p w14:paraId="5B0181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50165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44279F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6D0D91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36FDCF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BA001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000" w:type="pct"/>
                  <w:tcBorders>
                    <w:tl2br w:val="nil"/>
                    <w:tr2bl w:val="nil"/>
                  </w:tcBorders>
                  <w:vAlign w:val="center"/>
                </w:tcPr>
                <w:p w14:paraId="0B58FAB4">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1044" w:type="pct"/>
                  <w:tcBorders>
                    <w:tl2br w:val="nil"/>
                    <w:tr2bl w:val="nil"/>
                  </w:tcBorders>
                  <w:vAlign w:val="center"/>
                </w:tcPr>
                <w:p w14:paraId="52BD2B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t>项目用电作为能源，未使用高污染燃料</w:t>
                  </w:r>
                </w:p>
              </w:tc>
              <w:tc>
                <w:tcPr>
                  <w:tcW w:w="287" w:type="pct"/>
                  <w:tcBorders>
                    <w:tl2br w:val="nil"/>
                    <w:tr2bl w:val="nil"/>
                  </w:tcBorders>
                  <w:vAlign w:val="center"/>
                </w:tcPr>
                <w:p w14:paraId="0A7360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744776BC">
            <w:pPr>
              <w:pStyle w:val="22"/>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5C3C36A5">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690"/>
      </w:tblGrid>
      <w:tr w14:paraId="2D0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tcPr>
          <w:p w14:paraId="594F6A01">
            <w:pPr>
              <w:pStyle w:val="11"/>
              <w:rPr>
                <w:rFonts w:hint="eastAsia"/>
                <w:color w:val="000000" w:themeColor="text1"/>
                <w:highlight w:val="none"/>
                <w:vertAlign w:val="baseline"/>
                <w:lang w:eastAsia="zh-CN"/>
                <w14:textFill>
                  <w14:solidFill>
                    <w14:schemeClr w14:val="tx1"/>
                  </w14:solidFill>
                </w14:textFill>
              </w:rPr>
            </w:pPr>
          </w:p>
        </w:tc>
        <w:tc>
          <w:tcPr>
            <w:tcW w:w="4678" w:type="pct"/>
          </w:tcPr>
          <w:p w14:paraId="6590BE9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color w:val="FF0000"/>
                <w:sz w:val="24"/>
                <w:szCs w:val="24"/>
                <w:highlight w:val="none"/>
                <w:u w:val="none"/>
              </w:rPr>
            </w:pP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综</w:t>
            </w:r>
            <w:r>
              <w:rPr>
                <w:rFonts w:hint="default" w:ascii="Times New Roman" w:hAnsi="Times New Roman" w:eastAsia="宋体" w:cs="Times New Roman"/>
                <w:color w:val="auto"/>
                <w:sz w:val="24"/>
                <w:szCs w:val="24"/>
                <w:highlight w:val="none"/>
                <w:u w:val="none"/>
              </w:rPr>
              <w:t>上所述，项目建设符合《福州市人民政府办公厅关于印发〈福州市生态环境分区管控方案（2023年更新）〉的通知》（榕政办规〔2024〕20号）及《福州市生态环境局关于发布福州市2024年生态环境分区管控动态更新成果的通知》（榕环保综〔2025〕1号）中相关要求。</w:t>
            </w:r>
          </w:p>
          <w:p w14:paraId="4442B9EA">
            <w:pPr>
              <w:pStyle w:val="34"/>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平面布局合理性分析</w:t>
            </w:r>
          </w:p>
          <w:p w14:paraId="304689A3">
            <w:pPr>
              <w:pStyle w:val="35"/>
              <w:keepNext w:val="0"/>
              <w:keepLines w:val="0"/>
              <w:pageBreakBefore w:val="0"/>
              <w:kinsoku/>
              <w:wordWrap/>
              <w:overflowPunct/>
              <w:topLinePunct w:val="0"/>
              <w:bidi w:val="0"/>
              <w:spacing w:line="360" w:lineRule="auto"/>
              <w:ind w:firstLine="480"/>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购置</w:t>
            </w:r>
            <w:r>
              <w:rPr>
                <w:rFonts w:hint="default" w:ascii="Times New Roman" w:hAnsi="Times New Roman" w:eastAsia="宋体" w:cs="Times New Roman"/>
                <w:color w:val="auto"/>
                <w:sz w:val="24"/>
                <w:szCs w:val="24"/>
                <w:highlight w:val="none"/>
                <w:u w:val="none"/>
                <w:lang w:val="en-US" w:eastAsia="zh-CN"/>
              </w:rPr>
              <w:t>均和云谷·福清科技港3</w:t>
            </w:r>
            <w:r>
              <w:rPr>
                <w:rFonts w:hint="default" w:ascii="Times New Roman" w:hAnsi="Times New Roman"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栋厂房</w:t>
            </w:r>
            <w:r>
              <w:rPr>
                <w:rFonts w:hint="default" w:ascii="Times New Roman" w:hAnsi="Times New Roman" w:cs="Times New Roman"/>
                <w:color w:val="auto"/>
                <w:sz w:val="24"/>
                <w:szCs w:val="24"/>
                <w:highlight w:val="none"/>
                <w:u w:val="none"/>
                <w:lang w:val="en-US" w:eastAsia="zh-CN"/>
              </w:rPr>
              <w:t>1-4</w:t>
            </w:r>
            <w:r>
              <w:rPr>
                <w:rFonts w:hint="default" w:ascii="Times New Roman" w:hAnsi="Times New Roman" w:eastAsia="宋体" w:cs="Times New Roman"/>
                <w:color w:val="auto"/>
                <w:sz w:val="24"/>
                <w:szCs w:val="24"/>
                <w:highlight w:val="none"/>
                <w:u w:val="none"/>
                <w:lang w:val="en-US" w:eastAsia="zh-CN"/>
              </w:rPr>
              <w:t>层作为生</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产场所，合计面积</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4188.94</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cs="宋体"/>
                <w:color w:val="000000" w:themeColor="text1"/>
                <w:sz w:val="24"/>
                <w:szCs w:val="24"/>
                <w:highlight w:val="none"/>
                <w:u w:val="none"/>
                <w:lang w:val="en-US" w:eastAsia="zh-CN"/>
                <w14:textFill>
                  <w14:solidFill>
                    <w14:schemeClr w14:val="tx1"/>
                  </w14:solidFill>
                </w14:textFill>
              </w:rPr>
              <w:t>厂房</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购置合同详见</w:t>
            </w:r>
            <w:r>
              <w:rPr>
                <w:rFonts w:hint="eastAsia" w:ascii="宋体" w:hAnsi="宋体" w:eastAsia="宋体" w:cs="宋体"/>
                <w:b/>
                <w:bCs/>
                <w:color w:val="000000" w:themeColor="text1"/>
                <w:sz w:val="24"/>
                <w:szCs w:val="24"/>
                <w:highlight w:val="none"/>
                <w:u w:val="none"/>
                <w:lang w:val="en-US" w:eastAsia="zh-CN"/>
                <w14:textFill>
                  <w14:solidFill>
                    <w14:schemeClr w14:val="tx1"/>
                  </w14:solidFill>
                </w14:textFill>
              </w:rPr>
              <w:t>附件</w:t>
            </w:r>
            <w:r>
              <w:rPr>
                <w:rFonts w:hint="eastAsia" w:ascii="宋体" w:hAnsi="宋体" w:cs="宋体"/>
                <w:b/>
                <w:bCs/>
                <w:color w:val="000000" w:themeColor="text1"/>
                <w:sz w:val="24"/>
                <w:szCs w:val="24"/>
                <w:highlight w:val="none"/>
                <w:u w:val="none"/>
                <w:lang w:val="en-US" w:eastAsia="zh-CN"/>
                <w14:textFill>
                  <w14:solidFill>
                    <w14:schemeClr w14:val="tx1"/>
                  </w14:solidFill>
                </w14:textFill>
              </w:rPr>
              <w:t>七</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auto"/>
                <w:sz w:val="24"/>
                <w:szCs w:val="24"/>
                <w:highlight w:val="none"/>
              </w:rPr>
              <w:t>厂区内厂房布置简单，</w:t>
            </w:r>
            <w:r>
              <w:rPr>
                <w:rFonts w:hint="eastAsia" w:cs="Times New Roman"/>
                <w:color w:val="auto"/>
                <w:sz w:val="24"/>
                <w:szCs w:val="24"/>
                <w:highlight w:val="none"/>
                <w:lang w:val="en-US" w:eastAsia="zh-CN"/>
              </w:rPr>
              <w:t>一层为电阻炉、压铸机、空压机房、布袋除尘器及周边辅助设备（循环水处理设施、切削液回收装置）、危险废物贮存间；二层为抛光、打磨、钻孔、攻牙等设备；三层为原料与成品存放区；将活性炭吸附装置及风机安装在三层顶楼。冷却塔安装于厂房一层。熔融、压铸脱模时所产生的VOCs、颗粒物通过“布袋除尘器+活性炭吸附装置”处理后接入生产废气管道，由排气筒（DA001）排放，排气筒位于厂房三层楼顶。产品水洗产生废水、研磨冷却水经循环水处理设施处理后循环使用不外排。攻牙机、多轴攻牙机、数控机床等工作时产生的废切削液通过切削液回收装置处理后循环使用。生活污水通过污水管网流入位于厂区22#楼旁的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w:t>
            </w:r>
            <w:r>
              <w:rPr>
                <w:rFonts w:hint="default" w:ascii="Times New Roman" w:hAnsi="Times New Roman" w:eastAsia="宋体" w:cs="Times New Roman"/>
                <w:color w:val="000000" w:themeColor="text1"/>
                <w:sz w:val="24"/>
                <w:szCs w:val="24"/>
                <w:highlight w:val="none"/>
                <w14:textFill>
                  <w14:solidFill>
                    <w14:schemeClr w14:val="tx1"/>
                  </w14:solidFill>
                </w14:textFill>
              </w:rPr>
              <w:t>要和物料流向，各工序布置间距较近，便于生产操作，同时也避免物料来回运输消耗能源，厂区总平面布置基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本合理</w:t>
            </w:r>
            <w:r>
              <w:rPr>
                <w:rFonts w:hint="eastAsia" w:cs="Times New Roman"/>
                <w:color w:val="000000" w:themeColor="text1"/>
                <w:sz w:val="24"/>
                <w:szCs w:val="24"/>
                <w:highlight w:val="none"/>
                <w:lang w:val="en-US" w:eastAsia="zh-CN"/>
                <w14:textFill>
                  <w14:solidFill>
                    <w14:schemeClr w14:val="tx1"/>
                  </w14:solidFill>
                </w14:textFill>
              </w:rPr>
              <w:t>（厂区总平面布置图详见</w:t>
            </w:r>
            <w:r>
              <w:rPr>
                <w:rFonts w:hint="eastAsia" w:cs="Times New Roman"/>
                <w:b/>
                <w:bCs/>
                <w:color w:val="000000" w:themeColor="text1"/>
                <w:sz w:val="24"/>
                <w:szCs w:val="24"/>
                <w:highlight w:val="none"/>
                <w:lang w:val="en-US" w:eastAsia="zh-CN"/>
                <w14:textFill>
                  <w14:solidFill>
                    <w14:schemeClr w14:val="tx1"/>
                  </w14:solidFill>
                </w14:textFill>
              </w:rPr>
              <w:t>附图五</w:t>
            </w:r>
            <w:r>
              <w:rPr>
                <w:rFonts w:hint="eastAsia" w:cs="Times New Roman"/>
                <w:color w:val="000000" w:themeColor="text1"/>
                <w:sz w:val="24"/>
                <w:szCs w:val="24"/>
                <w:highlight w:val="none"/>
                <w:lang w:val="en-US" w:eastAsia="zh-CN"/>
                <w14:textFill>
                  <w14:solidFill>
                    <w14:schemeClr w14:val="tx1"/>
                  </w14:solidFill>
                </w14:textFill>
              </w:rPr>
              <w:t>、项目平面布置图详见</w:t>
            </w:r>
            <w:r>
              <w:rPr>
                <w:rFonts w:hint="eastAsia" w:cs="Times New Roman"/>
                <w:b/>
                <w:bCs/>
                <w:color w:val="000000" w:themeColor="text1"/>
                <w:sz w:val="24"/>
                <w:szCs w:val="24"/>
                <w:highlight w:val="none"/>
                <w:lang w:val="en-US" w:eastAsia="zh-CN"/>
                <w14:textFill>
                  <w14:solidFill>
                    <w14:schemeClr w14:val="tx1"/>
                  </w14:solidFill>
                </w14:textFill>
              </w:rPr>
              <w:t>附图六</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7AFA48C">
            <w:pPr>
              <w:pStyle w:val="34"/>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red"/>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6.项目选址合理性分析</w:t>
            </w:r>
          </w:p>
          <w:p w14:paraId="16E485B4">
            <w:pPr>
              <w:widowControl/>
              <w:spacing w:line="360" w:lineRule="auto"/>
              <w:ind w:firstLine="480" w:firstLineChars="200"/>
              <w:jc w:val="left"/>
              <w:rPr>
                <w:rFonts w:hint="eastAsia"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本项目位</w:t>
            </w:r>
            <w:r>
              <w:rPr>
                <w:rFonts w:hint="default" w:ascii="Times New Roman" w:hAnsi="Times New Roman" w:eastAsia="宋体" w:cs="Times New Roman"/>
                <w:color w:val="auto"/>
                <w:sz w:val="24"/>
                <w:szCs w:val="24"/>
                <w:highlight w:val="none"/>
                <w:u w:val="none"/>
                <w:lang w:eastAsia="zh-CN"/>
              </w:rPr>
              <w:t>于</w:t>
            </w:r>
            <w:r>
              <w:rPr>
                <w:rFonts w:hint="eastAsia" w:cs="Times New Roman"/>
                <w:color w:val="auto"/>
                <w:sz w:val="24"/>
                <w:szCs w:val="24"/>
                <w:highlight w:val="none"/>
                <w:lang w:eastAsia="zh-CN"/>
              </w:rPr>
              <w:t>福清融侨经济技术开发区（均和云谷·福清科技港33#厂房）</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根据调查项目厂址不位于自然保护区、风景名胜区、饮用水水源保护区和其他需要特别保护等法律法规禁止开发建设的区域，与区域内土地利用规划不冲突。</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业主</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提供的</w:t>
            </w:r>
            <w:r>
              <w:rPr>
                <w:rFonts w:hint="eastAsia"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均和产业发展（福清）有限公司不动产权证（闽（2022）福清市不动产权第0015820号）</w:t>
            </w:r>
            <w:r>
              <w:rPr>
                <w:rFonts w:hint="eastAsia" w:cs="Times New Roman"/>
                <w:color w:val="000000" w:themeColor="text1"/>
                <w:spacing w:val="0"/>
                <w:sz w:val="24"/>
                <w:szCs w:val="24"/>
                <w:highlight w:val="none"/>
                <w:u w:val="none"/>
                <w:lang w:val="en-US" w:eastAsia="zh-CN"/>
                <w14:textFill>
                  <w14:solidFill>
                    <w14:schemeClr w14:val="tx1"/>
                  </w14:solidFill>
                </w14:textFill>
              </w:rPr>
              <w:t>（厂房购置合同</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详见</w:t>
            </w:r>
            <w:r>
              <w:rPr>
                <w:rFonts w:hint="default" w:ascii="Times New Roman" w:hAnsi="Times New Roman" w:eastAsia="宋体" w:cs="Times New Roman"/>
                <w:b/>
                <w:bCs/>
                <w:color w:val="000000" w:themeColor="text1"/>
                <w:spacing w:val="0"/>
                <w:sz w:val="24"/>
                <w:szCs w:val="24"/>
                <w:highlight w:val="none"/>
                <w:u w:val="none"/>
                <w:lang w:val="en-US" w:eastAsia="zh-CN"/>
                <w14:textFill>
                  <w14:solidFill>
                    <w14:schemeClr w14:val="tx1"/>
                  </w14:solidFill>
                </w14:textFill>
              </w:rPr>
              <w:t>附件</w:t>
            </w:r>
            <w:r>
              <w:rPr>
                <w:rFonts w:hint="eastAsia" w:cs="Times New Roman"/>
                <w:b/>
                <w:bCs/>
                <w:color w:val="000000" w:themeColor="text1"/>
                <w:spacing w:val="0"/>
                <w:sz w:val="24"/>
                <w:szCs w:val="24"/>
                <w:highlight w:val="none"/>
                <w:u w:val="none"/>
                <w:lang w:val="en-US" w:eastAsia="zh-CN"/>
                <w14:textFill>
                  <w14:solidFill>
                    <w14:schemeClr w14:val="tx1"/>
                  </w14:solidFill>
                </w14:textFill>
              </w:rPr>
              <w:t>七</w:t>
            </w:r>
            <w:r>
              <w:rPr>
                <w:rFonts w:hint="eastAsia" w:cs="Times New Roman"/>
                <w:b w:val="0"/>
                <w:bCs w:val="0"/>
                <w:color w:val="000000" w:themeColor="text1"/>
                <w:spacing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val="en-US" w:eastAsia="zh-CN"/>
                <w14:textFill>
                  <w14:solidFill>
                    <w14:schemeClr w14:val="tx1"/>
                  </w14:solidFill>
                </w14:textFill>
              </w:rPr>
              <w:t>，该厂区用地为工业用地，厂房为工业厂房</w:t>
            </w:r>
            <w:r>
              <w:rPr>
                <w:rFonts w:hint="default" w:ascii="Times New Roman" w:hAnsi="Times New Roman" w:eastAsia="宋体" w:cs="Times New Roman"/>
                <w:color w:val="000000" w:themeColor="text1"/>
                <w:sz w:val="24"/>
                <w:szCs w:val="24"/>
                <w:highlight w:val="none"/>
                <w14:textFill>
                  <w14:solidFill>
                    <w14:schemeClr w14:val="tx1"/>
                  </w14:solidFill>
                </w14:textFill>
              </w:rPr>
              <w:t>。根据福清市自然资源和规划局审定的均和云谷福清科技港总平面</w:t>
            </w:r>
            <w:r>
              <w:rPr>
                <w:rFonts w:hint="eastAsia" w:cs="Times New Roman"/>
                <w:color w:val="000000" w:themeColor="text1"/>
                <w:sz w:val="24"/>
                <w:szCs w:val="24"/>
                <w:highlight w:val="none"/>
                <w:lang w:eastAsia="zh-CN"/>
                <w14:textFill>
                  <w14:solidFill>
                    <w14:schemeClr w14:val="tx1"/>
                  </w14:solidFill>
                </w14:textFill>
              </w:rPr>
              <w:t>布置</w:t>
            </w:r>
            <w:r>
              <w:rPr>
                <w:rFonts w:hint="default" w:ascii="Times New Roman" w:hAnsi="Times New Roman" w:eastAsia="宋体" w:cs="Times New Roman"/>
                <w:color w:val="000000" w:themeColor="text1"/>
                <w:sz w:val="24"/>
                <w:szCs w:val="24"/>
                <w:highlight w:val="none"/>
                <w14:textFill>
                  <w14:solidFill>
                    <w14:schemeClr w14:val="tx1"/>
                  </w14:solidFill>
                </w14:textFill>
              </w:rPr>
              <w:t>图及均和产业发展（福清）有限公司规划条件核实意见书（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整区</w:t>
            </w:r>
            <w:r>
              <w:rPr>
                <w:rFonts w:hint="default" w:ascii="Times New Roman" w:hAnsi="Times New Roman" w:eastAsia="宋体" w:cs="Times New Roman"/>
                <w:color w:val="000000" w:themeColor="text1"/>
                <w:sz w:val="24"/>
                <w:szCs w:val="24"/>
                <w:highlight w:val="none"/>
                <w14:textFill>
                  <w14:solidFill>
                    <w14:schemeClr w14:val="tx1"/>
                  </w14:solidFill>
                </w14:textFill>
              </w:rPr>
              <w:t>）（编号：融规核〔202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112</w:t>
            </w:r>
            <w:r>
              <w:rPr>
                <w:rFonts w:hint="default" w:ascii="Times New Roman" w:hAnsi="Times New Roman" w:eastAsia="宋体" w:cs="Times New Roman"/>
                <w:color w:val="000000" w:themeColor="text1"/>
                <w:sz w:val="24"/>
                <w:szCs w:val="24"/>
                <w:highlight w:val="none"/>
                <w14:textFill>
                  <w14:solidFill>
                    <w14:schemeClr w14:val="tx1"/>
                  </w14:solidFill>
                </w14:textFill>
              </w:rPr>
              <w:t>号）可知，项目位于均和云谷福清科技港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#厂房，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#厂房构筑物主要经济技术指标均通过规划部门审核审定。</w:t>
            </w:r>
          </w:p>
          <w:p w14:paraId="72C61243">
            <w:pPr>
              <w:widowControl/>
              <w:spacing w:line="360" w:lineRule="auto"/>
              <w:ind w:firstLine="480" w:firstLineChars="200"/>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根据现场勘查，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厂界外50米范围内不存在声环境保护目标，厂界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外500米范围内距离项目最近的西南侧约</w:t>
            </w:r>
            <w:r>
              <w:rPr>
                <w:rFonts w:hint="eastAsia" w:cs="Times New Roman"/>
                <w:color w:val="000000" w:themeColor="text1"/>
                <w:sz w:val="24"/>
                <w:highlight w:val="none"/>
                <w:lang w:val="en-US" w:eastAsia="zh-CN"/>
                <w14:textFill>
                  <w14:solidFill>
                    <w14:schemeClr w14:val="tx1"/>
                  </w14:solidFill>
                </w14:textFill>
              </w:rPr>
              <w:t>287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m的下田村居民点，</w:t>
            </w:r>
            <w:r>
              <w:rPr>
                <w:rFonts w:hint="eastAsia" w:cs="Times New Roman"/>
                <w:color w:val="000000" w:themeColor="text1"/>
                <w:sz w:val="24"/>
                <w:highlight w:val="none"/>
                <w:lang w:val="en-US" w:eastAsia="zh-CN"/>
                <w14:textFill>
                  <w14:solidFill>
                    <w14:schemeClr w14:val="tx1"/>
                  </w14:solidFill>
                </w14:textFill>
              </w:rPr>
              <w:t>水环境保护目标为厂界西北侧300m的溪畔河</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Ⅲ类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水体</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周边</w:t>
            </w:r>
            <w:r>
              <w:rPr>
                <w:rFonts w:hint="eastAsia" w:cs="Times New Roman"/>
                <w:color w:val="000000" w:themeColor="text1"/>
                <w:sz w:val="24"/>
                <w:highlight w:val="none"/>
                <w:lang w:eastAsia="zh-CN"/>
                <w14:textFill>
                  <w14:solidFill>
                    <w14:schemeClr w14:val="tx1"/>
                  </w14:solidFill>
                </w14:textFill>
              </w:rPr>
              <w:t>分布以工业企业为主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，项目周边环境示意图</w:t>
            </w:r>
            <w:r>
              <w:rPr>
                <w:rFonts w:hint="eastAsia" w:cs="Times New Roman"/>
                <w:color w:val="000000" w:themeColor="text1"/>
                <w:sz w:val="24"/>
                <w:highlight w:val="none"/>
                <w:lang w:val="en-US" w:eastAsia="zh-CN"/>
                <w14:textFill>
                  <w14:solidFill>
                    <w14:schemeClr w14:val="tx1"/>
                  </w14:solidFill>
                </w14:textFill>
              </w:rPr>
              <w:t>及保护目标</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附图</w:t>
            </w:r>
            <w:r>
              <w:rPr>
                <w:rFonts w:hint="eastAsia" w:cs="Times New Roman"/>
                <w:b/>
                <w:bCs/>
                <w:color w:val="000000" w:themeColor="text1"/>
                <w:sz w:val="24"/>
                <w:highlight w:val="none"/>
                <w:lang w:val="en-US" w:eastAsia="zh-CN"/>
                <w14:textFill>
                  <w14:solidFill>
                    <w14:schemeClr w14:val="tx1"/>
                  </w14:solidFill>
                </w14:textFill>
              </w:rPr>
              <w:t>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项目周边环境现状拍摄图详</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附图</w:t>
            </w:r>
            <w:r>
              <w:rPr>
                <w:rFonts w:hint="eastAsia" w:cs="Times New Roman"/>
                <w:b/>
                <w:bCs/>
                <w:color w:val="000000" w:themeColor="text1"/>
                <w:sz w:val="24"/>
                <w:highlight w:val="none"/>
                <w:lang w:val="en-US" w:eastAsia="zh-CN"/>
                <w14:textFill>
                  <w14:solidFill>
                    <w14:schemeClr w14:val="tx1"/>
                  </w14:solidFill>
                </w14:textFill>
              </w:rPr>
              <w:t>四</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建设单位在</w:t>
            </w:r>
            <w:r>
              <w:rPr>
                <w:rFonts w:hint="eastAsia" w:cs="Times New Roman"/>
                <w:color w:val="000000" w:themeColor="text1"/>
                <w:sz w:val="24"/>
                <w:highlight w:val="none"/>
                <w:lang w:eastAsia="zh-CN"/>
                <w14:textFill>
                  <w14:solidFill>
                    <w14:schemeClr w14:val="tx1"/>
                  </w14:solidFill>
                </w14:textFill>
              </w:rPr>
              <w:t>切实落实</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本评价提出的各项污染治理措施的前提下，可实现污染物达标排放</w:t>
            </w:r>
            <w:r>
              <w:rPr>
                <w:rFonts w:hint="eastAsia" w:cs="Times New Roman"/>
                <w:color w:val="000000" w:themeColor="text1"/>
                <w:sz w:val="24"/>
                <w:highlight w:val="none"/>
                <w:lang w:eastAsia="zh-CN"/>
                <w14:textFill>
                  <w14:solidFill>
                    <w14:schemeClr w14:val="tx1"/>
                  </w14:solidFill>
                </w14:textFill>
              </w:rPr>
              <w:t>且</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各污染物排放源强较低，运营期产生的</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三废</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及噪声对周边环境影响不明显，因此，项目</w:t>
            </w:r>
            <w:r>
              <w:rPr>
                <w:rFonts w:hint="eastAsia" w:cs="Times New Roman"/>
                <w:color w:val="000000" w:themeColor="text1"/>
                <w:sz w:val="24"/>
                <w:highlight w:val="none"/>
                <w:lang w:val="en-US" w:eastAsia="zh-CN"/>
                <w14:textFill>
                  <w14:solidFill>
                    <w14:schemeClr w14:val="tx1"/>
                  </w14:solidFill>
                </w14:textFill>
              </w:rPr>
              <w:t>建设选址可行。</w:t>
            </w:r>
          </w:p>
          <w:p w14:paraId="33CA0927">
            <w:pPr>
              <w:widowControl/>
              <w:numPr>
                <w:ilvl w:val="0"/>
                <w:numId w:val="0"/>
              </w:numPr>
              <w:spacing w:line="360" w:lineRule="auto"/>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w:t>
            </w:r>
            <w:r>
              <w:rPr>
                <w:b/>
                <w:bCs/>
                <w:color w:val="000000" w:themeColor="text1"/>
                <w:sz w:val="24"/>
                <w:highlight w:val="none"/>
                <w14:textFill>
                  <w14:solidFill>
                    <w14:schemeClr w14:val="tx1"/>
                  </w14:solidFill>
                </w14:textFill>
              </w:rPr>
              <w:t>与挥发性有机物污染防治相关政策符合性分析</w:t>
            </w:r>
          </w:p>
          <w:p w14:paraId="68FDA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000000" w:themeColor="text1"/>
                <w:sz w:val="24"/>
                <w:szCs w:val="24"/>
                <w:highlight w:val="none"/>
                <w:u w:val="none"/>
                <w:lang w:val="en-US" w:eastAsia="zh-CN" w:bidi="ar"/>
                <w14:textFill>
                  <w14:solidFill>
                    <w14:schemeClr w14:val="tx1"/>
                  </w14:solidFill>
                </w14:textFill>
              </w:rPr>
            </w:pPr>
            <w:r>
              <w:rPr>
                <w:rFonts w:hint="eastAsia" w:cs="宋体"/>
                <w:color w:val="000000" w:themeColor="text1"/>
                <w:sz w:val="24"/>
                <w:szCs w:val="24"/>
                <w:highlight w:val="none"/>
                <w:u w:val="none"/>
                <w:lang w:bidi="ar"/>
                <w14:textFill>
                  <w14:solidFill>
                    <w14:schemeClr w14:val="tx1"/>
                  </w14:solidFill>
                </w14:textFill>
              </w:rPr>
              <w:t>本项目与挥发性有机物污染防治政策相关内容符合性分析，符合性分析详见表</w:t>
            </w:r>
            <w:r>
              <w:rPr>
                <w:rFonts w:hint="eastAsia" w:cs="宋体"/>
                <w:color w:val="000000" w:themeColor="text1"/>
                <w:sz w:val="24"/>
                <w:szCs w:val="24"/>
                <w:highlight w:val="none"/>
                <w:u w:val="none"/>
                <w:lang w:val="en-US" w:eastAsia="zh-CN" w:bidi="ar"/>
                <w14:textFill>
                  <w14:solidFill>
                    <w14:schemeClr w14:val="tx1"/>
                  </w14:solidFill>
                </w14:textFill>
              </w:rPr>
              <w:t>1.1-5</w:t>
            </w:r>
            <w:r>
              <w:rPr>
                <w:rFonts w:hint="eastAsia" w:cs="宋体"/>
                <w:color w:val="000000" w:themeColor="text1"/>
                <w:sz w:val="24"/>
                <w:szCs w:val="24"/>
                <w:highlight w:val="none"/>
                <w:u w:val="none"/>
                <w:lang w:bidi="ar"/>
                <w14:textFill>
                  <w14:solidFill>
                    <w14:schemeClr w14:val="tx1"/>
                  </w14:solidFill>
                </w14:textFill>
              </w:rPr>
              <w:t>。</w:t>
            </w:r>
            <w:r>
              <w:rPr>
                <w:rFonts w:hint="eastAsia" w:cs="宋体"/>
                <w:color w:val="000000" w:themeColor="text1"/>
                <w:sz w:val="24"/>
                <w:szCs w:val="24"/>
                <w:highlight w:val="none"/>
                <w:u w:val="none"/>
                <w:lang w:eastAsia="zh-CN" w:bidi="ar"/>
                <w14:textFill>
                  <w14:solidFill>
                    <w14:schemeClr w14:val="tx1"/>
                  </w14:solidFill>
                </w14:textFill>
              </w:rPr>
              <w:t>根据表</w:t>
            </w:r>
            <w:r>
              <w:rPr>
                <w:rFonts w:hint="eastAsia" w:cs="宋体"/>
                <w:color w:val="000000" w:themeColor="text1"/>
                <w:sz w:val="24"/>
                <w:szCs w:val="24"/>
                <w:highlight w:val="none"/>
                <w:u w:val="none"/>
                <w:lang w:val="en-US" w:eastAsia="zh-CN" w:bidi="ar"/>
                <w14:textFill>
                  <w14:solidFill>
                    <w14:schemeClr w14:val="tx1"/>
                  </w14:solidFill>
                </w14:textFill>
              </w:rPr>
              <w:t>1.1-5的分析可知，本项目建设符合国家及地方的</w:t>
            </w:r>
            <w:r>
              <w:rPr>
                <w:rFonts w:hint="eastAsia" w:cs="宋体"/>
                <w:color w:val="000000" w:themeColor="text1"/>
                <w:sz w:val="24"/>
                <w:szCs w:val="24"/>
                <w:highlight w:val="none"/>
                <w:u w:val="none"/>
                <w:lang w:bidi="ar"/>
                <w14:textFill>
                  <w14:solidFill>
                    <w14:schemeClr w14:val="tx1"/>
                  </w14:solidFill>
                </w14:textFill>
              </w:rPr>
              <w:t>挥发性有机物污染防治政策相关内容</w:t>
            </w:r>
            <w:r>
              <w:rPr>
                <w:rFonts w:hint="eastAsia" w:cs="宋体"/>
                <w:color w:val="000000" w:themeColor="text1"/>
                <w:sz w:val="24"/>
                <w:szCs w:val="24"/>
                <w:highlight w:val="none"/>
                <w:u w:val="none"/>
                <w:lang w:eastAsia="zh-CN" w:bidi="ar"/>
                <w14:textFill>
                  <w14:solidFill>
                    <w14:schemeClr w14:val="tx1"/>
                  </w14:solidFill>
                </w14:textFill>
              </w:rPr>
              <w:t>的要求。</w:t>
            </w:r>
          </w:p>
          <w:p w14:paraId="2D00FFE7">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黑体" w:cs="Times New Roman"/>
                <w:color w:val="000000" w:themeColor="text1"/>
                <w:sz w:val="24"/>
                <w:highlight w:val="none"/>
                <w:u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表1.1-5 挥发性有机物污染防治政策相关内容</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4163"/>
              <w:gridCol w:w="2532"/>
              <w:gridCol w:w="451"/>
            </w:tblGrid>
            <w:tr w14:paraId="5BA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79" w:type="pct"/>
                  <w:tcBorders>
                    <w:tl2br w:val="nil"/>
                    <w:tr2bl w:val="nil"/>
                  </w:tcBorders>
                  <w:vAlign w:val="center"/>
                </w:tcPr>
                <w:p w14:paraId="1B598B6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相关文件名称</w:t>
                  </w:r>
                </w:p>
              </w:tc>
              <w:tc>
                <w:tcPr>
                  <w:tcW w:w="2458" w:type="pct"/>
                  <w:tcBorders>
                    <w:tl2br w:val="nil"/>
                    <w:tr2bl w:val="nil"/>
                  </w:tcBorders>
                  <w:vAlign w:val="center"/>
                </w:tcPr>
                <w:p w14:paraId="537A018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相关内容</w:t>
                  </w:r>
                </w:p>
              </w:tc>
              <w:tc>
                <w:tcPr>
                  <w:tcW w:w="1495" w:type="pct"/>
                  <w:tcBorders>
                    <w:tl2br w:val="nil"/>
                    <w:tr2bl w:val="nil"/>
                  </w:tcBorders>
                  <w:vAlign w:val="center"/>
                </w:tcPr>
                <w:p w14:paraId="586BCE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本项目内容</w:t>
                  </w:r>
                </w:p>
              </w:tc>
              <w:tc>
                <w:tcPr>
                  <w:tcW w:w="266" w:type="pct"/>
                  <w:tcBorders>
                    <w:tl2br w:val="nil"/>
                    <w:tr2bl w:val="nil"/>
                  </w:tcBorders>
                  <w:vAlign w:val="center"/>
                </w:tcPr>
                <w:p w14:paraId="74124BE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符合性</w:t>
                  </w:r>
                </w:p>
              </w:tc>
            </w:tr>
            <w:tr w14:paraId="7794E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shd w:val="clear" w:color="auto" w:fill="auto"/>
                  <w:vAlign w:val="center"/>
                </w:tcPr>
                <w:p w14:paraId="6768FAEE">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福建省“十四五”空气质量改善规划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5FD37625">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2022年1月</w:t>
                  </w:r>
                  <w:r>
                    <w:rPr>
                      <w:rFonts w:hint="eastAsia" w:cs="Times New Roman"/>
                      <w:color w:val="000000" w:themeColor="text1"/>
                      <w:sz w:val="21"/>
                      <w:szCs w:val="21"/>
                      <w:highlight w:val="none"/>
                      <w:lang w:val="en-US" w:eastAsia="zh-CN"/>
                      <w14:textFill>
                        <w14:solidFill>
                          <w14:schemeClr w14:val="tx1"/>
                        </w14:solidFill>
                      </w14:textFill>
                    </w:rPr>
                    <w:t>）</w:t>
                  </w:r>
                </w:p>
              </w:tc>
              <w:tc>
                <w:tcPr>
                  <w:tcW w:w="2458" w:type="pct"/>
                  <w:tcBorders>
                    <w:tl2br w:val="nil"/>
                    <w:tr2bl w:val="nil"/>
                  </w:tcBorders>
                  <w:shd w:val="clear" w:color="auto" w:fill="auto"/>
                  <w:vAlign w:val="center"/>
                </w:tcPr>
                <w:p w14:paraId="489BAEBA">
                  <w:pPr>
                    <w:pStyle w:val="36"/>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推广使用水性、高固体分、无溶剂、粉末等低VOCs含量涂料，</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电缆桥架</w:t>
                  </w:r>
                  <w:r>
                    <w:rPr>
                      <w:rFonts w:hint="eastAsia" w:ascii="Times New Roman" w:hAnsi="Times New Roman" w:eastAsia="宋体" w:cs="Times New Roman"/>
                      <w:color w:val="000000" w:themeColor="text1"/>
                      <w:sz w:val="21"/>
                      <w:szCs w:val="21"/>
                      <w:highlight w:val="none"/>
                      <w14:textFill>
                        <w14:solidFill>
                          <w14:schemeClr w14:val="tx1"/>
                        </w14:solidFill>
                      </w14:textFill>
                    </w:rPr>
                    <w:t>制造、</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汽车零部件</w:t>
                  </w:r>
                  <w:r>
                    <w:rPr>
                      <w:rFonts w:hint="eastAsia" w:ascii="Times New Roman" w:hAnsi="Times New Roman" w:eastAsia="宋体" w:cs="Times New Roman"/>
                      <w:color w:val="000000" w:themeColor="text1"/>
                      <w:sz w:val="21"/>
                      <w:szCs w:val="21"/>
                      <w:highlight w:val="none"/>
                      <w14:textFill>
                        <w14:solidFill>
                          <w14:schemeClr w14:val="tx1"/>
                        </w14:solidFill>
                      </w14:textFill>
                    </w:rPr>
                    <w:t>、工程机械使用比例达到50%以上；</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福州</w:t>
                  </w:r>
                  <w:r>
                    <w:rPr>
                      <w:rFonts w:hint="eastAsia" w:ascii="Times New Roman" w:hAnsi="Times New Roman" w:eastAsia="宋体" w:cs="Times New Roman"/>
                      <w:color w:val="000000" w:themeColor="text1"/>
                      <w:sz w:val="21"/>
                      <w:szCs w:val="21"/>
                      <w:highlight w:val="none"/>
                      <w14:textFill>
                        <w14:solidFill>
                          <w14:schemeClr w14:val="tx1"/>
                        </w14:solidFill>
                      </w14:textFill>
                    </w:rPr>
                    <w:t>、厦门、漳州、泉州、莆田、宁德实施VOCs倍量替代。</w:t>
                  </w:r>
                </w:p>
              </w:tc>
              <w:tc>
                <w:tcPr>
                  <w:tcW w:w="1495" w:type="pct"/>
                  <w:vMerge w:val="restart"/>
                  <w:tcBorders>
                    <w:tl2br w:val="nil"/>
                    <w:tr2bl w:val="nil"/>
                  </w:tcBorders>
                  <w:vAlign w:val="center"/>
                </w:tcPr>
                <w:p w14:paraId="33BB7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cs="Times New Roman"/>
                      <w:b w:val="0"/>
                      <w:bCs w:val="0"/>
                      <w:color w:val="auto"/>
                      <w:sz w:val="21"/>
                      <w:szCs w:val="21"/>
                      <w:highlight w:val="none"/>
                      <w:vertAlign w:val="baseline"/>
                      <w:lang w:val="en-US" w:eastAsia="zh-CN"/>
                    </w:rPr>
                    <w:t>属于</w:t>
                  </w:r>
                  <w:r>
                    <w:rPr>
                      <w:rFonts w:hint="eastAsia" w:ascii="Times New Roman" w:hAnsi="Times New Roman" w:eastAsia="宋体" w:cs="Times New Roman"/>
                      <w:color w:val="auto"/>
                      <w:spacing w:val="0"/>
                      <w:sz w:val="21"/>
                      <w:szCs w:val="21"/>
                      <w:highlight w:val="none"/>
                      <w:u w:val="none"/>
                      <w:lang w:val="en-US" w:eastAsia="zh-CN"/>
                    </w:rPr>
                    <w:t>五金配件（铝铸件）</w:t>
                  </w:r>
                  <w:r>
                    <w:rPr>
                      <w:rFonts w:hint="default" w:ascii="Times New Roman" w:hAnsi="Times New Roman" w:eastAsia="宋体" w:cs="Times New Roman"/>
                      <w:color w:val="auto"/>
                      <w:spacing w:val="0"/>
                      <w:sz w:val="21"/>
                      <w:szCs w:val="21"/>
                      <w:highlight w:val="none"/>
                      <w:u w:val="none"/>
                      <w:lang w:val="en-US" w:eastAsia="zh-CN"/>
                    </w:rPr>
                    <w:t>加工</w:t>
                  </w:r>
                  <w:r>
                    <w:rPr>
                      <w:rFonts w:hint="default" w:ascii="Times New Roman" w:hAnsi="Times New Roman" w:eastAsia="宋体" w:cs="Times New Roman"/>
                      <w:color w:val="auto"/>
                      <w:sz w:val="21"/>
                      <w:szCs w:val="21"/>
                      <w:highlight w:val="none"/>
                      <w:u w:val="none"/>
                      <w:lang w:val="en-US" w:eastAsia="zh-CN"/>
                    </w:rPr>
                    <w:t>制</w:t>
                  </w:r>
                  <w:r>
                    <w:rPr>
                      <w:rFonts w:hint="default" w:ascii="Times New Roman" w:hAnsi="Times New Roman" w:eastAsia="宋体" w:cs="Times New Roman"/>
                      <w:b w:val="0"/>
                      <w:bCs w:val="0"/>
                      <w:color w:val="auto"/>
                      <w:sz w:val="21"/>
                      <w:szCs w:val="21"/>
                      <w:highlight w:val="none"/>
                      <w:u w:val="none"/>
                      <w:lang w:val="en-US" w:eastAsia="zh-CN"/>
                    </w:rPr>
                    <w:t>造</w:t>
                  </w:r>
                  <w:r>
                    <w:rPr>
                      <w:rFonts w:hint="eastAsia" w:ascii="Times New Roman" w:hAnsi="Times New Roman" w:cs="Times New Roman"/>
                      <w:b w:val="0"/>
                      <w:bCs w:val="0"/>
                      <w:color w:val="auto"/>
                      <w:sz w:val="21"/>
                      <w:szCs w:val="21"/>
                      <w:highlight w:val="none"/>
                      <w:vertAlign w:val="baseline"/>
                      <w:lang w:val="en-US" w:eastAsia="zh-CN"/>
                    </w:rPr>
                    <w:t>。生产过程中不涉及涂料使用，</w:t>
                  </w:r>
                  <w:r>
                    <w:rPr>
                      <w:rFonts w:hint="eastAsia" w:cs="Times New Roman"/>
                      <w:b w:val="0"/>
                      <w:bCs w:val="0"/>
                      <w:color w:val="auto"/>
                      <w:sz w:val="21"/>
                      <w:szCs w:val="21"/>
                      <w:highlight w:val="none"/>
                      <w:vertAlign w:val="baseline"/>
                      <w:lang w:val="en-US" w:eastAsia="zh-CN"/>
                    </w:rPr>
                    <w:t>压铸脱</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模</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所产生VOCs的排放量较小，</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不需</w:t>
                  </w:r>
                  <w:r>
                    <w:rPr>
                      <w:rFonts w:hint="default" w:ascii="Times New Roman" w:hAnsi="Times New Roman" w:cs="Times New Roman"/>
                      <w:b w:val="0"/>
                      <w:bCs w:val="0"/>
                      <w:color w:val="000000" w:themeColor="text1"/>
                      <w:sz w:val="21"/>
                      <w:szCs w:val="21"/>
                      <w:highlight w:val="none"/>
                      <w14:textFill>
                        <w14:solidFill>
                          <w14:schemeClr w14:val="tx1"/>
                        </w14:solidFill>
                      </w14:textFill>
                    </w:rPr>
                    <w:t>安装VOCs在线监控设备</w:t>
                  </w:r>
                  <w:r>
                    <w:rPr>
                      <w:rFonts w:hint="eastAsia" w:ascii="Times New Roman" w:hAnsi="Times New Roman" w:cs="Times New Roman"/>
                      <w:b w:val="0"/>
                      <w:bCs w:val="0"/>
                      <w:color w:val="000000" w:themeColor="text1"/>
                      <w:sz w:val="21"/>
                      <w:szCs w:val="21"/>
                      <w:highlight w:val="none"/>
                      <w:lang w:eastAsia="zh-CN"/>
                      <w14:textFill>
                        <w14:solidFill>
                          <w14:schemeClr w14:val="tx1"/>
                        </w14:solidFill>
                      </w14:textFill>
                    </w:rPr>
                    <w:t>；</w:t>
                  </w:r>
                </w:p>
                <w:p w14:paraId="28D9A1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项目建设</w:t>
                  </w:r>
                  <w:r>
                    <w:rPr>
                      <w:rFonts w:hint="eastAsia" w:ascii="Times New Roman" w:hAnsi="Times New Roman" w:cs="Times New Roman"/>
                      <w:b w:val="0"/>
                      <w:bCs w:val="0"/>
                      <w:color w:val="auto"/>
                      <w:sz w:val="21"/>
                      <w:szCs w:val="21"/>
                      <w:highlight w:val="none"/>
                      <w:lang w:val="en-US" w:eastAsia="zh-CN"/>
                    </w:rPr>
                    <w:t>位置位于</w:t>
                  </w:r>
                  <w:r>
                    <w:rPr>
                      <w:rFonts w:hint="eastAsia" w:cs="Times New Roman"/>
                      <w:color w:val="auto"/>
                      <w:sz w:val="21"/>
                      <w:szCs w:val="21"/>
                      <w:highlight w:val="none"/>
                      <w:lang w:eastAsia="zh-CN"/>
                    </w:rPr>
                    <w:t>福清融侨经济技术开发区（均和云谷·福清科技港33#厂房）</w:t>
                  </w:r>
                  <w:r>
                    <w:rPr>
                      <w:rFonts w:hint="eastAsia" w:ascii="Times New Roman" w:hAnsi="Times New Roman" w:eastAsia="宋体" w:cs="Times New Roman"/>
                      <w:b w:val="0"/>
                      <w:bCs w:val="0"/>
                      <w:color w:val="auto"/>
                      <w:sz w:val="21"/>
                      <w:szCs w:val="21"/>
                      <w:highlight w:val="none"/>
                      <w:lang w:val="en-US" w:eastAsia="zh-CN"/>
                    </w:rPr>
                    <w:t>，生产过</w:t>
                  </w:r>
                  <w:r>
                    <w:rPr>
                      <w:rFonts w:hint="eastAsia" w:cs="Times New Roman"/>
                      <w:b w:val="0"/>
                      <w:bCs w:val="0"/>
                      <w:color w:val="auto"/>
                      <w:sz w:val="21"/>
                      <w:szCs w:val="21"/>
                      <w:highlight w:val="none"/>
                      <w:lang w:val="en-US" w:eastAsia="zh-CN"/>
                    </w:rPr>
                    <w:t>程中</w:t>
                  </w:r>
                  <w:r>
                    <w:rPr>
                      <w:rFonts w:hint="default" w:ascii="Times New Roman" w:hAnsi="Times New Roman" w:cs="Times New Roman"/>
                      <w:color w:val="auto"/>
                      <w:sz w:val="21"/>
                      <w:szCs w:val="21"/>
                      <w:highlight w:val="none"/>
                    </w:rPr>
                    <w:t>排放的VOC</w:t>
                  </w:r>
                  <w:r>
                    <w:rPr>
                      <w:rFonts w:hint="eastAsia" w:ascii="Times New Roman" w:hAnsi="Times New Roman" w:cs="Times New Roman"/>
                      <w:color w:val="auto"/>
                      <w:sz w:val="21"/>
                      <w:szCs w:val="21"/>
                      <w:highlight w:val="none"/>
                      <w:vertAlign w:val="subscript"/>
                      <w:lang w:val="en-US" w:eastAsia="zh-CN"/>
                    </w:rPr>
                    <w:t>s</w:t>
                  </w:r>
                  <w:r>
                    <w:rPr>
                      <w:rFonts w:hint="default" w:ascii="Times New Roman" w:hAnsi="Times New Roman" w:cs="Times New Roman"/>
                      <w:color w:val="auto"/>
                      <w:sz w:val="21"/>
                      <w:szCs w:val="21"/>
                      <w:highlight w:val="none"/>
                    </w:rPr>
                    <w:t>由</w:t>
                  </w:r>
                  <w:r>
                    <w:rPr>
                      <w:rFonts w:hint="default" w:ascii="Times New Roman" w:hAnsi="Times New Roman" w:cs="Times New Roman"/>
                      <w:color w:val="000000" w:themeColor="text1"/>
                      <w:sz w:val="21"/>
                      <w:szCs w:val="21"/>
                      <w:highlight w:val="none"/>
                      <w14:textFill>
                        <w14:solidFill>
                          <w14:schemeClr w14:val="tx1"/>
                        </w14:solidFill>
                      </w14:textFill>
                    </w:rPr>
                    <w:t>建设单位向生态环境主管部门申请倍量削减替代</w:t>
                  </w:r>
                </w:p>
              </w:tc>
              <w:tc>
                <w:tcPr>
                  <w:tcW w:w="266" w:type="pct"/>
                  <w:vMerge w:val="restart"/>
                  <w:tcBorders>
                    <w:tl2br w:val="nil"/>
                    <w:tr2bl w:val="nil"/>
                  </w:tcBorders>
                  <w:vAlign w:val="center"/>
                </w:tcPr>
                <w:p w14:paraId="0B33423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8FE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shd w:val="clear" w:color="auto" w:fill="auto"/>
                  <w:vAlign w:val="center"/>
                </w:tcPr>
                <w:p w14:paraId="310DF726">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2022年度福州市蓝天碧海净土保卫战行动计划通知</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榕环委办</w:t>
                  </w:r>
                  <w:r>
                    <w:rPr>
                      <w:rFonts w:hint="eastAsia" w:ascii="Times New Roman" w:hAnsi="Times New Roman" w:cs="Times New Roman"/>
                      <w:color w:val="000000" w:themeColor="text1"/>
                      <w:sz w:val="21"/>
                      <w:szCs w:val="21"/>
                      <w:highlight w:val="none"/>
                      <w:lang w:eastAsia="zh-CN"/>
                      <w14:textFill>
                        <w14:solidFill>
                          <w14:schemeClr w14:val="tx1"/>
                        </w14:solidFill>
                      </w14:textFill>
                    </w:rPr>
                    <w:t>〔2022〕49号</w:t>
                  </w:r>
                  <w:r>
                    <w:rPr>
                      <w:rFonts w:hint="eastAsia" w:cs="Times New Roman"/>
                      <w:color w:val="000000" w:themeColor="text1"/>
                      <w:sz w:val="21"/>
                      <w:szCs w:val="21"/>
                      <w:highlight w:val="none"/>
                      <w:lang w:eastAsia="zh-CN"/>
                      <w14:textFill>
                        <w14:solidFill>
                          <w14:schemeClr w14:val="tx1"/>
                        </w14:solidFill>
                      </w14:textFill>
                    </w:rPr>
                    <w:t>）</w:t>
                  </w:r>
                </w:p>
              </w:tc>
              <w:tc>
                <w:tcPr>
                  <w:tcW w:w="2458" w:type="pct"/>
                  <w:tcBorders>
                    <w:tl2br w:val="nil"/>
                    <w:tr2bl w:val="nil"/>
                  </w:tcBorders>
                  <w:shd w:val="clear" w:color="auto" w:fill="auto"/>
                  <w:vAlign w:val="center"/>
                </w:tcPr>
                <w:p w14:paraId="11112126">
                  <w:pPr>
                    <w:pStyle w:val="36"/>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四是严格涉VOCs建设项目环境影响评价审批。新、改、扩建涉VOCs排放项目，应使用低</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VOCs涂料、粘胶剂等，实施新建项目VOCs排放区域内1.2及以上倍量替代。VOCs年排放量大于5吨的新建项目投运前应安装VOCs在线监控设备，并接入市生态云平台。</w:t>
                  </w:r>
                </w:p>
              </w:tc>
              <w:tc>
                <w:tcPr>
                  <w:tcW w:w="1495" w:type="pct"/>
                  <w:vMerge w:val="continue"/>
                  <w:tcBorders>
                    <w:tl2br w:val="nil"/>
                    <w:tr2bl w:val="nil"/>
                  </w:tcBorders>
                  <w:vAlign w:val="center"/>
                </w:tcPr>
                <w:p w14:paraId="66DA2B8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66" w:type="pct"/>
                  <w:vMerge w:val="continue"/>
                  <w:tcBorders>
                    <w:tl2br w:val="nil"/>
                    <w:tr2bl w:val="nil"/>
                  </w:tcBorders>
                  <w:vAlign w:val="center"/>
                </w:tcPr>
                <w:p w14:paraId="78B39C7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4CDD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shd w:val="clear" w:color="auto" w:fill="auto"/>
                  <w:vAlign w:val="center"/>
                </w:tcPr>
                <w:p w14:paraId="093771CC">
                  <w:pPr>
                    <w:pStyle w:val="36"/>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福州市“十四五”生态环境保护规划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榕政办〔2021〕123 号</w:t>
                  </w:r>
                  <w:r>
                    <w:rPr>
                      <w:rFonts w:hint="eastAsia" w:cs="Times New Roman"/>
                      <w:color w:val="000000" w:themeColor="text1"/>
                      <w:sz w:val="21"/>
                      <w:szCs w:val="21"/>
                      <w:highlight w:val="none"/>
                      <w:lang w:eastAsia="zh-CN"/>
                      <w14:textFill>
                        <w14:solidFill>
                          <w14:schemeClr w14:val="tx1"/>
                        </w14:solidFill>
                      </w14:textFill>
                    </w:rPr>
                    <w:t>）</w:t>
                  </w:r>
                </w:p>
              </w:tc>
              <w:tc>
                <w:tcPr>
                  <w:tcW w:w="2458" w:type="pct"/>
                  <w:tcBorders>
                    <w:tl2br w:val="nil"/>
                    <w:tr2bl w:val="nil"/>
                  </w:tcBorders>
                  <w:shd w:val="clear" w:color="auto" w:fill="auto"/>
                  <w:vAlign w:val="center"/>
                </w:tcPr>
                <w:p w14:paraId="686B29C0">
                  <w:pPr>
                    <w:pStyle w:val="36"/>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强化挥发性有机物整治。</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实行挥发性有机物排放倍量替代。加大涉VOCs企业源头替代力度，推广使用低</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无</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VOCs原辅材料替代，禁止生产高VOCs含量有机溶剂型涂料、油墨和胶黏剂的新、改、扩建项目，推进重点企业“油改水”治理，提高有机溶剂回收率。”</w:t>
                  </w:r>
                </w:p>
              </w:tc>
              <w:tc>
                <w:tcPr>
                  <w:tcW w:w="1495" w:type="pct"/>
                  <w:vMerge w:val="continue"/>
                  <w:tcBorders>
                    <w:tl2br w:val="nil"/>
                    <w:tr2bl w:val="nil"/>
                  </w:tcBorders>
                  <w:vAlign w:val="center"/>
                </w:tcPr>
                <w:p w14:paraId="248E3FB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66" w:type="pct"/>
                  <w:vMerge w:val="continue"/>
                  <w:tcBorders>
                    <w:tl2br w:val="nil"/>
                    <w:tr2bl w:val="nil"/>
                  </w:tcBorders>
                  <w:vAlign w:val="center"/>
                </w:tcPr>
                <w:p w14:paraId="45D9DC4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72B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79" w:type="pct"/>
                  <w:tcBorders>
                    <w:tl2br w:val="nil"/>
                    <w:tr2bl w:val="nil"/>
                  </w:tcBorders>
                  <w:shd w:val="clear" w:color="auto" w:fill="auto"/>
                  <w:vAlign w:val="center"/>
                </w:tcPr>
                <w:p w14:paraId="299361A2">
                  <w:pPr>
                    <w:pStyle w:val="36"/>
                    <w:adjustRightInd w:val="0"/>
                    <w:snapToGrid w:val="0"/>
                    <w:spacing w:line="340" w:lineRule="exact"/>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榕环保综</w:t>
                  </w:r>
                  <w:r>
                    <w:rPr>
                      <w:rFonts w:hint="eastAsia"/>
                      <w:color w:val="000000" w:themeColor="text1"/>
                      <w:highlight w:val="none"/>
                      <w:lang w:eastAsia="zh-CN"/>
                      <w14:textFill>
                        <w14:solidFill>
                          <w14:schemeClr w14:val="tx1"/>
                        </w14:solidFill>
                      </w14:textFill>
                    </w:rPr>
                    <w:t>〔2021〕100号</w:t>
                  </w:r>
                  <w:r>
                    <w:rPr>
                      <w:rFonts w:hint="eastAsia"/>
                      <w:color w:val="000000" w:themeColor="text1"/>
                      <w:highlight w:val="none"/>
                      <w14:textFill>
                        <w14:solidFill>
                          <w14:schemeClr w14:val="tx1"/>
                        </w14:solidFill>
                      </w14:textFill>
                    </w:rPr>
                    <w:t>《关于开展福州市重点行业挥发性有机物综合治理工作（VOCs2.0）》</w:t>
                  </w:r>
                </w:p>
              </w:tc>
              <w:tc>
                <w:tcPr>
                  <w:tcW w:w="2458" w:type="pct"/>
                  <w:tcBorders>
                    <w:tl2br w:val="nil"/>
                    <w:tr2bl w:val="nil"/>
                  </w:tcBorders>
                  <w:shd w:val="clear" w:color="auto" w:fill="auto"/>
                  <w:vAlign w:val="center"/>
                </w:tcPr>
                <w:p w14:paraId="547C5F36">
                  <w:pPr>
                    <w:pStyle w:val="37"/>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（三）严格审批，加强管控</w:t>
                  </w:r>
                </w:p>
                <w:p w14:paraId="276BCCE5">
                  <w:pPr>
                    <w:pStyle w:val="36"/>
                    <w:adjustRightInd w:val="0"/>
                    <w:snapToGrid w:val="0"/>
                    <w:spacing w:line="340" w:lineRule="exact"/>
                    <w:jc w:val="both"/>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1.严格涉挥发性有机物建设项目环境影响评价审批。新、改、扩建排放挥发性有机物的建设项目实行</w:t>
                  </w:r>
                  <w:r>
                    <w:rPr>
                      <w:rFonts w:hint="eastAsia"/>
                      <w:color w:val="000000" w:themeColor="text1"/>
                      <w:highlight w:val="none"/>
                      <w:shd w:val="clear" w:color="auto" w:fill="FFFFFF"/>
                      <w14:textFill>
                        <w14:solidFill>
                          <w14:schemeClr w14:val="tx1"/>
                        </w14:solidFill>
                      </w14:textFill>
                    </w:rPr>
                    <w:t>倍量</w:t>
                  </w:r>
                  <w:r>
                    <w:rPr>
                      <w:rFonts w:hint="eastAsia"/>
                      <w:color w:val="000000" w:themeColor="text1"/>
                      <w:highlight w:val="none"/>
                      <w14:textFill>
                        <w14:solidFill>
                          <w14:schemeClr w14:val="tx1"/>
                        </w14:solidFill>
                      </w14:textFill>
                    </w:rPr>
                    <w:t>替代。鼓励使用低（无）挥发性有机物含量的原辅材料</w:t>
                  </w:r>
                </w:p>
              </w:tc>
              <w:tc>
                <w:tcPr>
                  <w:tcW w:w="1495" w:type="pct"/>
                  <w:vMerge w:val="continue"/>
                  <w:tcBorders>
                    <w:tl2br w:val="nil"/>
                    <w:tr2bl w:val="nil"/>
                  </w:tcBorders>
                  <w:vAlign w:val="center"/>
                </w:tcPr>
                <w:p w14:paraId="30F1810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66" w:type="pct"/>
                  <w:vMerge w:val="continue"/>
                  <w:tcBorders>
                    <w:tl2br w:val="nil"/>
                    <w:tr2bl w:val="nil"/>
                  </w:tcBorders>
                  <w:vAlign w:val="center"/>
                </w:tcPr>
                <w:p w14:paraId="0CF520A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7B6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vAlign w:val="center"/>
                </w:tcPr>
                <w:p w14:paraId="73F0C9D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highlight w:val="none"/>
                      <w14:textFill>
                        <w14:solidFill>
                          <w14:schemeClr w14:val="tx1"/>
                        </w14:solidFill>
                      </w14:textFill>
                    </w:rPr>
                    <w:t>《福建省2020年挥发性有机物治理攻坚实施方案》的通知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闽环保大气〔2020〕6号</w:t>
                  </w:r>
                  <w:r>
                    <w:rPr>
                      <w:rFonts w:hint="eastAsia"/>
                      <w:color w:val="000000" w:themeColor="text1"/>
                      <w:highlight w:val="none"/>
                      <w14:textFill>
                        <w14:solidFill>
                          <w14:schemeClr w14:val="tx1"/>
                        </w14:solidFill>
                      </w14:textFill>
                    </w:rPr>
                    <w:t>）</w:t>
                  </w:r>
                </w:p>
              </w:tc>
              <w:tc>
                <w:tcPr>
                  <w:tcW w:w="2458" w:type="pct"/>
                  <w:tcBorders>
                    <w:tl2br w:val="nil"/>
                    <w:tr2bl w:val="nil"/>
                  </w:tcBorders>
                  <w:shd w:val="clear" w:color="auto" w:fill="auto"/>
                  <w:vAlign w:val="center"/>
                </w:tcPr>
                <w:p w14:paraId="28CE4856">
                  <w:pPr>
                    <w:pStyle w:val="37"/>
                    <w:jc w:val="both"/>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大力推进源头替代，有效减少VOCs产生；</w:t>
                  </w:r>
                </w:p>
                <w:p w14:paraId="0F2D6DE3">
                  <w:pPr>
                    <w:pStyle w:val="37"/>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渣、液</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、废吸附剂等通过加盖、封装等方式密闭，妥善存放，集中清运，交有资质的单位处置，不得随意丢弃；</w:t>
                  </w:r>
                </w:p>
                <w:p w14:paraId="6CBE8DF8">
                  <w:pPr>
                    <w:pStyle w:val="37"/>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聚焦治污设施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，提升综合治理效率</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w:t>
                  </w:r>
                  <w:r>
                    <w:rPr>
                      <w:color w:val="000000" w:themeColor="text1"/>
                      <w:highlight w:val="none"/>
                      <w:shd w:val="clear" w:color="auto" w:fill="FFFFFF"/>
                      <w14:textFill>
                        <w14:solidFill>
                          <w14:schemeClr w14:val="tx1"/>
                        </w14:solidFill>
                      </w14:textFill>
                    </w:rPr>
                    <w:t>.</w:t>
                  </w:r>
                  <w:r>
                    <w:rPr>
                      <w:color w:val="000000" w:themeColor="text1"/>
                      <w:highlight w:val="none"/>
                      <w14:textFill>
                        <w14:solidFill>
                          <w14:schemeClr w14:val="tx1"/>
                        </w14:solidFill>
                      </w14:textFill>
                    </w:rPr>
                    <w:t>除恶臭异味治理外，一般不采用低温等离子、光催化、光氧化等技术。优先采用密闭设备、在密闭空间中操作或采用全密闭集气罩收集方式；</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采用活性炭吸附技术的，应选择碘值不低于800毫克/克的活性炭，并按设计要求足量添加</w:t>
                  </w:r>
                  <w:r>
                    <w:rPr>
                      <w:rFonts w:hint="eastAsia"/>
                      <w:color w:val="000000" w:themeColor="text1"/>
                      <w:highlight w:val="none"/>
                      <w:lang w:eastAsia="zh-CN"/>
                      <w14:textFill>
                        <w14:solidFill>
                          <w14:schemeClr w14:val="tx1"/>
                        </w14:solidFill>
                      </w14:textFill>
                    </w:rPr>
                    <w:t>及</w:t>
                  </w:r>
                  <w:r>
                    <w:rPr>
                      <w:color w:val="000000" w:themeColor="text1"/>
                      <w:highlight w:val="none"/>
                      <w14:textFill>
                        <w14:solidFill>
                          <w14:schemeClr w14:val="tx1"/>
                        </w14:solidFill>
                      </w14:textFill>
                    </w:rPr>
                    <w:t>时更换。</w:t>
                  </w:r>
                </w:p>
              </w:tc>
              <w:tc>
                <w:tcPr>
                  <w:tcW w:w="1495" w:type="pct"/>
                  <w:tcBorders>
                    <w:tl2br w:val="nil"/>
                    <w:tr2bl w:val="nil"/>
                  </w:tcBorders>
                  <w:shd w:val="clear" w:color="auto" w:fill="auto"/>
                  <w:vAlign w:val="center"/>
                </w:tcPr>
                <w:p w14:paraId="21B903FF">
                  <w:pPr>
                    <w:pStyle w:val="36"/>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压铸成型工序使用的脱模剂会产生少量的VOCs，在脱模过程中，设备</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配套顶吸式半密闭集气罩收集有机废气，收集效率80%，拟将更换的废活性炭当作危险废物，</w:t>
                  </w:r>
                  <w:r>
                    <w:rPr>
                      <w:rFonts w:hint="eastAsia" w:cs="Times New Roman"/>
                      <w:color w:val="000000" w:themeColor="text1"/>
                      <w:kern w:val="2"/>
                      <w:sz w:val="21"/>
                      <w:szCs w:val="21"/>
                      <w:highlight w:val="none"/>
                      <w:lang w:val="en-US" w:eastAsia="zh-CN" w:bidi="ar-SA"/>
                      <w14:textFill>
                        <w14:solidFill>
                          <w14:schemeClr w14:val="tx1"/>
                        </w14:solidFill>
                      </w14:textFill>
                    </w:rPr>
                    <w:t>暂存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危险废物贮存库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，定期委托有资质单位统一处置；（3）本项目将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产生的VOCs收集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后通过1套活性炭吸附装置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处理后排放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color w:val="000000" w:themeColor="text1"/>
                      <w:szCs w:val="21"/>
                      <w:highlight w:val="none"/>
                      <w14:textFill>
                        <w14:solidFill>
                          <w14:schemeClr w14:val="tx1"/>
                        </w14:solidFill>
                      </w14:textFill>
                    </w:rPr>
                    <w:t>项目生产设备除进出料口全部密闭，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VOCs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采用集气罩收集，采用碘值不低于800毫克/克的活性炭，并定期更换</w:t>
                  </w:r>
                  <w:r>
                    <w:rPr>
                      <w:color w:val="000000" w:themeColor="text1"/>
                      <w:highlight w:val="none"/>
                      <w14:textFill>
                        <w14:solidFill>
                          <w14:schemeClr w14:val="tx1"/>
                        </w14:solidFill>
                      </w14:textFill>
                    </w:rPr>
                    <w:t>。</w:t>
                  </w:r>
                </w:p>
              </w:tc>
              <w:tc>
                <w:tcPr>
                  <w:tcW w:w="266" w:type="pct"/>
                  <w:tcBorders>
                    <w:tl2br w:val="nil"/>
                    <w:tr2bl w:val="nil"/>
                  </w:tcBorders>
                  <w:vAlign w:val="center"/>
                </w:tcPr>
                <w:p w14:paraId="49AE23C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2E99F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vAlign w:val="center"/>
                </w:tcPr>
                <w:p w14:paraId="37E2F7C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《福建省重点行业挥发性有机物排放控制要求</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试行</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的通知》</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闽环保大气〔2017〕9号</w:t>
                  </w:r>
                  <w:r>
                    <w:rPr>
                      <w:rFonts w:hint="eastAsia" w:cs="Times New Roman"/>
                      <w:color w:val="000000" w:themeColor="text1"/>
                      <w:sz w:val="21"/>
                      <w:szCs w:val="21"/>
                      <w:highlight w:val="none"/>
                      <w:lang w:val="en-US" w:eastAsia="zh-CN"/>
                      <w14:textFill>
                        <w14:solidFill>
                          <w14:schemeClr w14:val="tx1"/>
                        </w14:solidFill>
                      </w14:textFill>
                    </w:rPr>
                    <w:t>）</w:t>
                  </w:r>
                </w:p>
              </w:tc>
              <w:tc>
                <w:tcPr>
                  <w:tcW w:w="2458" w:type="pct"/>
                  <w:tcBorders>
                    <w:tl2br w:val="nil"/>
                    <w:tr2bl w:val="nil"/>
                  </w:tcBorders>
                  <w:vAlign w:val="center"/>
                </w:tcPr>
                <w:p w14:paraId="0D84D1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工艺过程控制要求</w:t>
                  </w:r>
                </w:p>
                <w:p w14:paraId="408669A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含VOCs物料应储存于密闭容器中。盛装含VOCs物料的容器应存放于储存室内，或至少设置遮阳挡雨等设施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453075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其他控制要求</w:t>
                  </w:r>
                </w:p>
                <w:p w14:paraId="31A78B1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产生有废气</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生产工艺和装置均设有收集系统和净化处理装置；所有产生VOCs的生产车间</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或生产设施</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495" w:type="pct"/>
                  <w:tcBorders>
                    <w:tl2br w:val="nil"/>
                    <w:tr2bl w:val="nil"/>
                  </w:tcBorders>
                  <w:vAlign w:val="center"/>
                </w:tcPr>
                <w:p w14:paraId="18FC9D36">
                  <w:pPr>
                    <w:keepNext w:val="0"/>
                    <w:keepLines w:val="0"/>
                    <w:pageBreakBefore w:val="0"/>
                    <w:widowControl/>
                    <w:numPr>
                      <w:ilvl w:val="0"/>
                      <w:numId w:val="8"/>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项目含</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的原辅料均放置在原辅料仓库。</w:t>
                  </w:r>
                </w:p>
                <w:p w14:paraId="4EF6F29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（2）项目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压铸成型</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过程中所产生</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挥发性有机废气</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经集气罩收集后通过“</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集气罩+布袋除尘器+</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活性炭吸附装置”</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处理后通过</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m高</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（DA001）</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排放，拟将更换的废活性炭</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属于危险废物</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袋装密闭暂存于</w:t>
                  </w:r>
                  <w:r>
                    <w:rPr>
                      <w:rFonts w:hint="eastAsia" w:ascii="Times New Roman" w:hAnsi="Times New Roman" w:cs="Times New Roman"/>
                      <w:color w:val="000000" w:themeColor="text1"/>
                      <w:sz w:val="21"/>
                      <w:szCs w:val="21"/>
                      <w:highlight w:val="none"/>
                      <w:lang w:eastAsia="zh-CN"/>
                      <w14:textFill>
                        <w14:solidFill>
                          <w14:schemeClr w14:val="tx1"/>
                        </w14:solidFill>
                      </w14:textFill>
                    </w:rPr>
                    <w:t>危险废物贮存</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间</w:t>
                  </w:r>
                  <w:r>
                    <w:rPr>
                      <w:rFonts w:hint="default" w:ascii="Times New Roman" w:hAnsi="Times New Roman" w:cs="Times New Roman"/>
                      <w:color w:val="000000" w:themeColor="text1"/>
                      <w:sz w:val="21"/>
                      <w:szCs w:val="21"/>
                      <w:highlight w:val="none"/>
                      <w14:textFill>
                        <w14:solidFill>
                          <w14:schemeClr w14:val="tx1"/>
                        </w14:solidFill>
                      </w14:textFill>
                    </w:rPr>
                    <w:t>内</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，委托有资质的单位定期处置；</w:t>
                  </w:r>
                  <w:r>
                    <w:rPr>
                      <w:rFonts w:hint="eastAsia" w:cs="Times New Roman"/>
                      <w:color w:val="000000" w:themeColor="text1"/>
                      <w:sz w:val="21"/>
                      <w:szCs w:val="21"/>
                      <w:highlight w:val="none"/>
                      <w:lang w:val="en-US" w:eastAsia="zh-CN"/>
                      <w14:textFill>
                        <w14:solidFill>
                          <w14:schemeClr w14:val="tx1"/>
                        </w14:solidFill>
                      </w14:textFill>
                    </w:rPr>
                    <w:t>非甲烷总烃</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采用密闭车间集气罩收集，集气效率为</w:t>
                  </w:r>
                  <w:r>
                    <w:rPr>
                      <w:rFonts w:hint="eastAsia"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0%左右≥</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color w:val="000000" w:themeColor="text1"/>
                      <w:sz w:val="21"/>
                      <w:szCs w:val="21"/>
                      <w:highlight w:val="none"/>
                      <w14:textFill>
                        <w14:solidFill>
                          <w14:schemeClr w14:val="tx1"/>
                        </w14:solidFill>
                      </w14:textFill>
                    </w:rPr>
                    <w:t>0%</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266" w:type="pct"/>
                  <w:tcBorders>
                    <w:tl2br w:val="nil"/>
                    <w:tr2bl w:val="nil"/>
                  </w:tcBorders>
                  <w:vAlign w:val="center"/>
                </w:tcPr>
                <w:p w14:paraId="19AA04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479D5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tcBorders>
                    <w:tl2br w:val="nil"/>
                    <w:tr2bl w:val="nil"/>
                  </w:tcBorders>
                  <w:vAlign w:val="center"/>
                </w:tcPr>
                <w:p w14:paraId="3ACC1DB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福建省重点行业挥发性有机物污染防治工作方案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闽环保大气〔2017〕6号</w:t>
                  </w:r>
                  <w:r>
                    <w:rPr>
                      <w:rFonts w:hint="eastAsia" w:cs="Times New Roman"/>
                      <w:color w:val="000000" w:themeColor="text1"/>
                      <w:sz w:val="21"/>
                      <w:szCs w:val="21"/>
                      <w:highlight w:val="none"/>
                      <w:lang w:eastAsia="zh-CN"/>
                      <w14:textFill>
                        <w14:solidFill>
                          <w14:schemeClr w14:val="tx1"/>
                        </w14:solidFill>
                      </w14:textFill>
                    </w:rPr>
                    <w:t>）</w:t>
                  </w:r>
                </w:p>
              </w:tc>
              <w:tc>
                <w:tcPr>
                  <w:tcW w:w="2458" w:type="pct"/>
                  <w:tcBorders>
                    <w:tl2br w:val="nil"/>
                    <w:tr2bl w:val="nil"/>
                  </w:tcBorders>
                  <w:vAlign w:val="center"/>
                </w:tcPr>
                <w:p w14:paraId="1073739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二、主要任务</w:t>
                  </w:r>
                </w:p>
                <w:p w14:paraId="17EF1B77">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（一）严格环境准入</w:t>
                  </w:r>
                </w:p>
                <w:p w14:paraId="68506BE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6F600E6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（二）大力推进清洁生产</w:t>
                  </w:r>
                </w:p>
                <w:p w14:paraId="1BC3987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在重点行业大力倡导环境标志产品生产及使用，尤其是水性涂料的生产和使用，从源头控制VOCs排放。</w:t>
                  </w:r>
                </w:p>
                <w:p w14:paraId="77F4CC3F">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（三）加快推进重点行业VOCs专项整治</w:t>
                  </w:r>
                </w:p>
                <w:p w14:paraId="46F01B6C">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（2）加强化工企业污染综合整治</w:t>
                  </w:r>
                </w:p>
                <w:p w14:paraId="16B0E5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color w:val="000000" w:themeColor="text1"/>
                      <w:szCs w:val="21"/>
                      <w:highlight w:val="none"/>
                      <w:u w:val="none"/>
                      <w14:textFill>
                        <w14:solidFill>
                          <w14:schemeClr w14:val="tx1"/>
                        </w14:solidFill>
                      </w14:textFill>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495" w:type="pct"/>
                  <w:tcBorders>
                    <w:tl2br w:val="nil"/>
                    <w:tr2bl w:val="nil"/>
                  </w:tcBorders>
                  <w:vAlign w:val="center"/>
                </w:tcPr>
                <w:p w14:paraId="38642AB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000000" w:themeColor="text1"/>
                      <w:szCs w:val="21"/>
                      <w:highlight w:val="none"/>
                      <w:u w:val="none"/>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1.本项目从事</w:t>
                  </w:r>
                  <w:r>
                    <w:rPr>
                      <w:rFonts w:hint="eastAsia" w:ascii="Times New Roman" w:hAnsi="Times New Roman" w:eastAsia="宋体" w:cs="Times New Roman"/>
                      <w:color w:val="auto"/>
                      <w:spacing w:val="0"/>
                      <w:sz w:val="21"/>
                      <w:szCs w:val="21"/>
                      <w:highlight w:val="none"/>
                      <w:u w:val="none"/>
                      <w:lang w:val="en-US" w:eastAsia="zh-CN"/>
                    </w:rPr>
                    <w:t>五金配件（铝铸件）</w:t>
                  </w:r>
                  <w:r>
                    <w:rPr>
                      <w:rFonts w:hint="default" w:ascii="Times New Roman" w:hAnsi="Times New Roman" w:eastAsia="宋体" w:cs="Times New Roman"/>
                      <w:color w:val="auto"/>
                      <w:spacing w:val="0"/>
                      <w:sz w:val="21"/>
                      <w:szCs w:val="21"/>
                      <w:highlight w:val="none"/>
                      <w:u w:val="none"/>
                      <w:lang w:val="en-US" w:eastAsia="zh-CN"/>
                    </w:rPr>
                    <w:t>加工</w:t>
                  </w:r>
                  <w:r>
                    <w:rPr>
                      <w:rFonts w:hint="default" w:ascii="Times New Roman" w:hAnsi="Times New Roman" w:eastAsia="宋体" w:cs="Times New Roman"/>
                      <w:color w:val="auto"/>
                      <w:sz w:val="21"/>
                      <w:szCs w:val="21"/>
                      <w:highlight w:val="none"/>
                      <w:u w:val="none"/>
                      <w:lang w:val="en-US" w:eastAsia="zh-CN"/>
                    </w:rPr>
                    <w:t>制</w:t>
                  </w:r>
                  <w:r>
                    <w:rPr>
                      <w:rFonts w:hint="default" w:ascii="Times New Roman" w:hAnsi="Times New Roman" w:eastAsia="宋体" w:cs="Times New Roman"/>
                      <w:b w:val="0"/>
                      <w:bCs w:val="0"/>
                      <w:color w:val="auto"/>
                      <w:sz w:val="21"/>
                      <w:szCs w:val="21"/>
                      <w:highlight w:val="none"/>
                      <w:u w:val="none"/>
                      <w:lang w:val="en-US" w:eastAsia="zh-CN"/>
                    </w:rPr>
                    <w:t>造</w:t>
                  </w:r>
                  <w:r>
                    <w:rPr>
                      <w:rFonts w:hint="eastAsia"/>
                      <w:color w:val="auto"/>
                      <w:sz w:val="21"/>
                      <w:szCs w:val="21"/>
                      <w:highlight w:val="none"/>
                      <w:u w:val="none"/>
                      <w:lang w:val="en-US" w:eastAsia="zh-CN"/>
                    </w:rPr>
                    <w:t>，属于有色金属</w:t>
                  </w:r>
                  <w:r>
                    <w:rPr>
                      <w:rFonts w:hint="eastAsia"/>
                      <w:color w:val="auto"/>
                      <w:szCs w:val="21"/>
                      <w:highlight w:val="none"/>
                      <w:u w:val="none"/>
                      <w:lang w:val="en-US" w:eastAsia="zh-CN"/>
                    </w:rPr>
                    <w:t>铸造业，</w:t>
                  </w:r>
                  <w:r>
                    <w:rPr>
                      <w:rFonts w:hint="eastAsia"/>
                      <w:color w:val="000000" w:themeColor="text1"/>
                      <w:szCs w:val="21"/>
                      <w:highlight w:val="none"/>
                      <w:u w:val="none"/>
                      <w:lang w:val="en-US" w:eastAsia="zh-CN"/>
                      <w14:textFill>
                        <w14:solidFill>
                          <w14:schemeClr w14:val="tx1"/>
                        </w14:solidFill>
                      </w14:textFill>
                    </w:rPr>
                    <w:t>不属于文件中限制的</w:t>
                  </w:r>
                  <w:r>
                    <w:rPr>
                      <w:rFonts w:hint="default"/>
                      <w:color w:val="000000" w:themeColor="text1"/>
                      <w:szCs w:val="21"/>
                      <w:highlight w:val="none"/>
                      <w:u w:val="none"/>
                      <w:lang w:val="en-US" w:eastAsia="zh-CN"/>
                      <w14:textFill>
                        <w14:solidFill>
                          <w14:schemeClr w14:val="tx1"/>
                        </w14:solidFill>
                      </w14:textFill>
                    </w:rPr>
                    <w:t>高VOCs排放建设项目</w:t>
                  </w:r>
                  <w:r>
                    <w:rPr>
                      <w:rFonts w:hint="eastAsia"/>
                      <w:color w:val="000000" w:themeColor="text1"/>
                      <w:szCs w:val="21"/>
                      <w:highlight w:val="none"/>
                      <w:u w:val="none"/>
                      <w:lang w:val="en-US" w:eastAsia="zh-CN"/>
                      <w14:textFill>
                        <w14:solidFill>
                          <w14:schemeClr w14:val="tx1"/>
                        </w14:solidFill>
                      </w14:textFill>
                    </w:rPr>
                    <w:t>，本项目原辅材料为铝锭、压铸脱模剂等，不涉及高</w:t>
                  </w:r>
                  <w:r>
                    <w:rPr>
                      <w:rFonts w:hint="default"/>
                      <w:color w:val="000000" w:themeColor="text1"/>
                      <w:szCs w:val="21"/>
                      <w:highlight w:val="none"/>
                      <w:u w:val="none"/>
                      <w:lang w:val="en-US" w:eastAsia="zh-CN"/>
                      <w14:textFill>
                        <w14:solidFill>
                          <w14:schemeClr w14:val="tx1"/>
                        </w14:solidFill>
                      </w14:textFill>
                    </w:rPr>
                    <w:t>VOCs</w:t>
                  </w:r>
                  <w:r>
                    <w:rPr>
                      <w:rFonts w:hint="default"/>
                      <w:color w:val="000000" w:themeColor="text1"/>
                      <w:szCs w:val="21"/>
                      <w:highlight w:val="none"/>
                      <w:u w:val="none"/>
                      <w14:textFill>
                        <w14:solidFill>
                          <w14:schemeClr w14:val="tx1"/>
                        </w14:solidFill>
                      </w14:textFill>
                    </w:rPr>
                    <w:t>含量原辅材料</w:t>
                  </w:r>
                  <w:r>
                    <w:rPr>
                      <w:rFonts w:hint="eastAsia"/>
                      <w:color w:val="000000" w:themeColor="text1"/>
                      <w:szCs w:val="21"/>
                      <w:highlight w:val="none"/>
                      <w:u w:val="none"/>
                      <w:lang w:eastAsia="zh-CN"/>
                      <w14:textFill>
                        <w14:solidFill>
                          <w14:schemeClr w14:val="tx1"/>
                        </w14:solidFill>
                      </w14:textFill>
                    </w:rPr>
                    <w:t>且在采取有效的收集措施和治理措施后，通过排气筒达标排放。本项目不涉及</w:t>
                  </w:r>
                  <w:r>
                    <w:rPr>
                      <w:rFonts w:hint="default"/>
                      <w:color w:val="000000" w:themeColor="text1"/>
                      <w:szCs w:val="21"/>
                      <w:highlight w:val="none"/>
                      <w:u w:val="none"/>
                      <w14:textFill>
                        <w14:solidFill>
                          <w14:schemeClr w14:val="tx1"/>
                        </w14:solidFill>
                      </w14:textFill>
                    </w:rPr>
                    <w:t>国家及地方明令禁止的落后工艺和设备。</w:t>
                  </w:r>
                </w:p>
                <w:p w14:paraId="2627F77D">
                  <w:pPr>
                    <w:pStyle w:val="36"/>
                    <w:widowControl/>
                    <w:numPr>
                      <w:ilvl w:val="0"/>
                      <w:numId w:val="0"/>
                    </w:numPr>
                    <w:adjustRightInd w:val="0"/>
                    <w:spacing w:line="340" w:lineRule="exact"/>
                    <w:jc w:val="both"/>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本项目使用低VOCs含量原辅材料，</w:t>
                  </w:r>
                  <w:r>
                    <w:rPr>
                      <w:rFonts w:hint="eastAsia"/>
                      <w:bCs/>
                      <w:color w:val="000000" w:themeColor="text1"/>
                      <w:highlight w:val="none"/>
                      <w14:textFill>
                        <w14:solidFill>
                          <w14:schemeClr w14:val="tx1"/>
                        </w14:solidFill>
                      </w14:textFill>
                    </w:rPr>
                    <w:t>项目废气经集气装置收集后通过废气处理设施处理后达标排放</w:t>
                  </w:r>
                  <w:r>
                    <w:rPr>
                      <w:rFonts w:hint="eastAsia"/>
                      <w:color w:val="000000" w:themeColor="text1"/>
                      <w:highlight w:val="none"/>
                      <w14:textFill>
                        <w14:solidFill>
                          <w14:schemeClr w14:val="tx1"/>
                        </w14:solidFill>
                      </w14:textFill>
                    </w:rPr>
                    <w:t>。</w:t>
                  </w:r>
                </w:p>
                <w:p w14:paraId="19CABAA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本项目废气产生点设备上方设置集气罩，拟将产生的VOCs收集后通过1套“二级活性炭吸附装置”处理后排放，设计净化效率</w:t>
                  </w:r>
                  <w:r>
                    <w:rPr>
                      <w:rFonts w:hint="eastAsia"/>
                      <w:color w:val="000000" w:themeColor="text1"/>
                      <w:highlight w:val="none"/>
                      <w:lang w:val="en-US" w:eastAsia="zh-CN"/>
                      <w14:textFill>
                        <w14:solidFill>
                          <w14:schemeClr w14:val="tx1"/>
                        </w14:solidFill>
                      </w14:textFill>
                    </w:rPr>
                    <w:t>为75</w:t>
                  </w:r>
                  <w:r>
                    <w:rPr>
                      <w:rFonts w:hint="eastAsia"/>
                      <w:color w:val="000000" w:themeColor="text1"/>
                      <w:highlight w:val="none"/>
                      <w14:textFill>
                        <w14:solidFill>
                          <w14:schemeClr w14:val="tx1"/>
                        </w14:solidFill>
                      </w14:textFill>
                    </w:rPr>
                    <w:t>%。</w:t>
                  </w:r>
                </w:p>
              </w:tc>
              <w:tc>
                <w:tcPr>
                  <w:tcW w:w="266" w:type="pct"/>
                  <w:tcBorders>
                    <w:tl2br w:val="nil"/>
                    <w:tr2bl w:val="nil"/>
                  </w:tcBorders>
                  <w:vAlign w:val="center"/>
                </w:tcPr>
                <w:p w14:paraId="0AFA5AE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03B6B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restart"/>
                  <w:tcBorders>
                    <w:tl2br w:val="nil"/>
                    <w:tr2bl w:val="nil"/>
                  </w:tcBorders>
                  <w:vAlign w:val="center"/>
                </w:tcPr>
                <w:p w14:paraId="3C50FC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《挥发性有机物无组织排放控制标准》</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GB37822-2019</w:t>
                  </w:r>
                  <w:r>
                    <w:rPr>
                      <w:rFonts w:hint="eastAsia" w:cs="Times New Roman"/>
                      <w:color w:val="000000" w:themeColor="text1"/>
                      <w:highlight w:val="none"/>
                      <w:lang w:val="en-US" w:eastAsia="zh-CN"/>
                      <w14:textFill>
                        <w14:solidFill>
                          <w14:schemeClr w14:val="tx1"/>
                        </w14:solidFill>
                      </w14:textFill>
                    </w:rPr>
                    <w:t>）</w:t>
                  </w:r>
                </w:p>
              </w:tc>
              <w:tc>
                <w:tcPr>
                  <w:tcW w:w="2458" w:type="pct"/>
                  <w:tcBorders>
                    <w:tl2br w:val="nil"/>
                    <w:tr2bl w:val="nil"/>
                  </w:tcBorders>
                  <w:vAlign w:val="center"/>
                </w:tcPr>
                <w:p w14:paraId="2CFF3639">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lang w:val="en-US" w:eastAsia="zh-CN"/>
                      <w14:textFill>
                        <w14:solidFill>
                          <w14:schemeClr w14:val="tx1"/>
                        </w14:solidFill>
                      </w14:textFill>
                    </w:rPr>
                    <w:t>VOCs物料应储存于密闭的容器、包装袋、储罐、储库、料仓中。</w:t>
                  </w:r>
                </w:p>
                <w:p w14:paraId="44B3FD9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5.1.2 盛装VOCs物料的容器或包装袋应存放于室内，或存放于设置有雨棚、遮阳和防渗设施的专用场地。盛装VOCs物料的容器或包装袋在非取用状态时应加盖、封口，保持密闭。</w:t>
                  </w:r>
                </w:p>
              </w:tc>
              <w:tc>
                <w:tcPr>
                  <w:tcW w:w="1495" w:type="pct"/>
                  <w:tcBorders>
                    <w:tl2br w:val="nil"/>
                    <w:tr2bl w:val="nil"/>
                  </w:tcBorders>
                  <w:vAlign w:val="center"/>
                </w:tcPr>
                <w:p w14:paraId="13176CD4">
                  <w:pPr>
                    <w:pStyle w:val="36"/>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cs="Times New Roman"/>
                      <w:color w:val="000000" w:themeColor="text1"/>
                      <w:kern w:val="2"/>
                      <w:sz w:val="21"/>
                      <w:szCs w:val="21"/>
                      <w:highlight w:val="none"/>
                      <w:lang w:val="en-US" w:eastAsia="zh-CN" w:bidi="ar-SA"/>
                      <w14:textFill>
                        <w14:solidFill>
                          <w14:schemeClr w14:val="tx1"/>
                        </w14:solidFill>
                      </w14:textFill>
                    </w:rPr>
                    <w:t>压铸成型工序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使用</w:t>
                  </w:r>
                  <w:r>
                    <w:rPr>
                      <w:rFonts w:hint="eastAsia" w:cs="Times New Roman"/>
                      <w:color w:val="000000" w:themeColor="text1"/>
                      <w:kern w:val="2"/>
                      <w:sz w:val="21"/>
                      <w:szCs w:val="21"/>
                      <w:highlight w:val="none"/>
                      <w:lang w:val="en-US" w:eastAsia="zh-CN" w:bidi="ar-SA"/>
                      <w14:textFill>
                        <w14:solidFill>
                          <w14:schemeClr w14:val="tx1"/>
                        </w14:solidFill>
                      </w14:textFill>
                    </w:rPr>
                    <w:t>脱模剂进行脱模，脱模剂采用塑料桶进行盛装</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暂存在</w:t>
                  </w:r>
                  <w:r>
                    <w:rPr>
                      <w:rFonts w:hint="eastAsia" w:cs="Times New Roman"/>
                      <w:color w:val="000000" w:themeColor="text1"/>
                      <w:kern w:val="2"/>
                      <w:sz w:val="21"/>
                      <w:szCs w:val="21"/>
                      <w:highlight w:val="none"/>
                      <w:lang w:val="en-US" w:eastAsia="zh-CN" w:bidi="ar-SA"/>
                      <w14:textFill>
                        <w14:solidFill>
                          <w14:schemeClr w14:val="tx1"/>
                        </w14:solidFill>
                      </w14:textFill>
                    </w:rPr>
                    <w:t>化学品仓库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含量低；常温下不产生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266" w:type="pct"/>
                  <w:tcBorders>
                    <w:tl2br w:val="nil"/>
                    <w:tr2bl w:val="nil"/>
                  </w:tcBorders>
                  <w:vAlign w:val="center"/>
                </w:tcPr>
                <w:p w14:paraId="4022ADF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58580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continue"/>
                  <w:tcBorders>
                    <w:tl2br w:val="nil"/>
                    <w:tr2bl w:val="nil"/>
                  </w:tcBorders>
                  <w:vAlign w:val="center"/>
                </w:tcPr>
                <w:p w14:paraId="389F432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58" w:type="pct"/>
                  <w:tcBorders>
                    <w:tl2br w:val="nil"/>
                    <w:tr2bl w:val="nil"/>
                  </w:tcBorders>
                  <w:vAlign w:val="center"/>
                </w:tcPr>
                <w:p w14:paraId="74999520">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 液态VOC物料应采用密闭管道输送。采用非管道输送方式转移液态VOC物料时，应采用密闭容器、罐车。</w:t>
                  </w:r>
                </w:p>
                <w:p w14:paraId="47BACC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6.1.2 粉状、粒状VOCs物料应采用气力输送设备、管状带式输送机、螺旋输送机等密闭输送方式或者采用密闭的包装袋、容器或罐车进行物料转移。</w:t>
                  </w:r>
                </w:p>
              </w:tc>
              <w:tc>
                <w:tcPr>
                  <w:tcW w:w="1495" w:type="pct"/>
                  <w:tcBorders>
                    <w:tl2br w:val="nil"/>
                    <w:tr2bl w:val="nil"/>
                  </w:tcBorders>
                  <w:vAlign w:val="center"/>
                </w:tcPr>
                <w:p w14:paraId="252DA4A3">
                  <w:pPr>
                    <w:pStyle w:val="37"/>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项目涉及液态</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物料</w:t>
                  </w:r>
                  <w:r>
                    <w:rPr>
                      <w:rFonts w:hint="eastAsia" w:cs="Times New Roman"/>
                      <w:color w:val="000000" w:themeColor="text1"/>
                      <w:highlight w:val="none"/>
                      <w:lang w:val="en-US" w:eastAsia="zh-CN"/>
                      <w14:textFill>
                        <w14:solidFill>
                          <w14:schemeClr w14:val="tx1"/>
                        </w14:solidFill>
                      </w14:textFill>
                    </w:rPr>
                    <w:t>（压铸脱模剂）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采用密闭容器进厂运输、储存于化学品仓库</w:t>
                  </w:r>
                </w:p>
              </w:tc>
              <w:tc>
                <w:tcPr>
                  <w:tcW w:w="266" w:type="pct"/>
                  <w:tcBorders>
                    <w:tl2br w:val="nil"/>
                    <w:tr2bl w:val="nil"/>
                  </w:tcBorders>
                  <w:vAlign w:val="center"/>
                </w:tcPr>
                <w:p w14:paraId="1066A70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6C04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continue"/>
                  <w:tcBorders>
                    <w:tl2br w:val="nil"/>
                    <w:tr2bl w:val="nil"/>
                  </w:tcBorders>
                  <w:vAlign w:val="center"/>
                </w:tcPr>
                <w:p w14:paraId="57133E0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58" w:type="pct"/>
                  <w:tcBorders>
                    <w:tl2br w:val="nil"/>
                    <w:tr2bl w:val="nil"/>
                  </w:tcBorders>
                  <w:shd w:val="clear" w:color="auto" w:fill="auto"/>
                  <w:vAlign w:val="center"/>
                </w:tcPr>
                <w:p w14:paraId="6E3C02E0">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7.3.1 企业应建立台账，记录含VOCs原辅材料和含VOCs产品的名称、使用量、回收量、废弃量、去向以及VOCs含量等信息。台账保存期限不少于3年。</w:t>
                  </w:r>
                </w:p>
                <w:p w14:paraId="4914082E">
                  <w:pPr>
                    <w:pStyle w:val="37"/>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清洗及吹扫过程排气应排至VOCs废气收集处理系统。</w:t>
                  </w:r>
                </w:p>
              </w:tc>
              <w:tc>
                <w:tcPr>
                  <w:tcW w:w="1495" w:type="pct"/>
                  <w:tcBorders>
                    <w:tl2br w:val="nil"/>
                    <w:tr2bl w:val="nil"/>
                  </w:tcBorders>
                  <w:vAlign w:val="center"/>
                </w:tcPr>
                <w:p w14:paraId="597626BB">
                  <w:pPr>
                    <w:pStyle w:val="37"/>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原辅材料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购买台账，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66" w:type="pct"/>
                  <w:tcBorders>
                    <w:tl2br w:val="nil"/>
                    <w:tr2bl w:val="nil"/>
                  </w:tcBorders>
                  <w:vAlign w:val="center"/>
                </w:tcPr>
                <w:p w14:paraId="7AB5471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r w14:paraId="35E3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pct"/>
                  <w:vMerge w:val="continue"/>
                  <w:vAlign w:val="center"/>
                </w:tcPr>
                <w:p w14:paraId="44F9066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2458" w:type="pct"/>
                  <w:shd w:val="clear" w:color="auto" w:fill="auto"/>
                  <w:vAlign w:val="center"/>
                </w:tcPr>
                <w:p w14:paraId="69E3E474">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生产工艺设备不能停止运行或不能及时停止运行的，应设置废气应急处理设施或采取其他替代措施。</w:t>
                  </w:r>
                </w:p>
                <w:p w14:paraId="51DB84FB">
                  <w:pPr>
                    <w:pStyle w:val="37"/>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10.2.1 企业应考虑生产工艺、操作方式、废气性质、处理方法等因素，对VOCs废气进行分类收集。</w:t>
                  </w:r>
                </w:p>
                <w:p w14:paraId="30B21C4F">
                  <w:pPr>
                    <w:pStyle w:val="37"/>
                    <w:ind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10.4 记录要求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495" w:type="pct"/>
                  <w:vAlign w:val="center"/>
                </w:tcPr>
                <w:p w14:paraId="08C5ED38">
                  <w:pPr>
                    <w:pStyle w:val="37"/>
                    <w:jc w:val="both"/>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与生产工艺设备同步运行。</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废气收集处理系统发生故障或检修时，对应的生产工艺设备应停止运行，待检修完毕后同步投入使用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cs="Times New Roman"/>
                      <w:color w:val="000000" w:themeColor="text1"/>
                      <w:highlight w:val="none"/>
                      <w:lang w:val="en-US" w:eastAsia="zh-CN"/>
                      <w14:textFill>
                        <w14:solidFill>
                          <w14:schemeClr w14:val="tx1"/>
                        </w14:solidFill>
                      </w14:textFill>
                    </w:rPr>
                    <w:t>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废气拟收集后统一通过1套</w:t>
                  </w:r>
                  <w:r>
                    <w:rPr>
                      <w:rFonts w:hint="eastAsia" w:cs="Times New Roman"/>
                      <w:color w:val="000000" w:themeColor="text1"/>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活性炭吸附装置处理后排放。项目将严格按照要求制定</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废气收集系统、</w:t>
                  </w:r>
                  <w:r>
                    <w:rPr>
                      <w:rFonts w:hint="eastAsia" w:cs="Times New Roman"/>
                      <w:color w:val="000000" w:themeColor="text1"/>
                      <w:kern w:val="2"/>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处理设施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运行台账，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台账保存期限不少于3年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266" w:type="pct"/>
                  <w:vAlign w:val="center"/>
                </w:tcPr>
                <w:p w14:paraId="5E288F8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符合</w:t>
                  </w:r>
                </w:p>
              </w:tc>
            </w:tr>
          </w:tbl>
          <w:p w14:paraId="52CBDF25">
            <w:pPr>
              <w:spacing w:line="360" w:lineRule="auto"/>
              <w:ind w:firstLine="480" w:firstLineChars="200"/>
              <w:jc w:val="left"/>
              <w:rPr>
                <w:rFonts w:hint="eastAsia"/>
                <w:color w:val="000000" w:themeColor="text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根据以上分析，项目产生挥发性有机物可以得到有效</w:t>
            </w:r>
            <w:r>
              <w:rPr>
                <w:rFonts w:hint="eastAsia" w:cs="Times New Roman"/>
                <w:color w:val="000000" w:themeColor="text1"/>
                <w:kern w:val="2"/>
                <w:sz w:val="24"/>
                <w:szCs w:val="24"/>
                <w:highlight w:val="none"/>
                <w:lang w:val="en-US" w:eastAsia="zh-CN" w:bidi="ar"/>
                <w14:textFill>
                  <w14:solidFill>
                    <w14:schemeClr w14:val="tx1"/>
                  </w14:solidFill>
                </w14:textFill>
              </w:rPr>
              <w:t>地</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控制，采取有效治理措施后，符合挥发性有机物污染防治相关政策的要求。</w:t>
            </w:r>
          </w:p>
        </w:tc>
      </w:tr>
    </w:tbl>
    <w:p w14:paraId="5F644830">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118067D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pPr>
      <w:bookmarkStart w:id="14" w:name="_Toc2805"/>
      <w:bookmarkStart w:id="15" w:name="_Toc28315"/>
      <w:r>
        <w:rPr>
          <w:rFonts w:hint="default" w:ascii="Times New Roman" w:hAnsi="Times New Roman" w:eastAsia="黑体" w:cs="Times New Roman"/>
          <w:snapToGrid w:val="0"/>
          <w:color w:val="000000" w:themeColor="text1"/>
          <w:sz w:val="30"/>
          <w:szCs w:val="30"/>
          <w:highlight w:val="none"/>
          <w:u w:val="none"/>
          <w:lang w:val="en-US" w:eastAsia="zh-CN"/>
          <w14:textFill>
            <w14:solidFill>
              <w14:schemeClr w14:val="tx1"/>
            </w14:solidFill>
          </w14:textFill>
        </w:rPr>
        <w:t>二、建设项目工程分析</w:t>
      </w:r>
      <w:bookmarkEnd w:id="14"/>
      <w:bookmarkEnd w:id="15"/>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797"/>
      </w:tblGrid>
      <w:tr w14:paraId="041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4" w:hRule="atLeast"/>
        </w:trPr>
        <w:tc>
          <w:tcPr>
            <w:tcW w:w="260" w:type="pct"/>
            <w:vAlign w:val="center"/>
          </w:tcPr>
          <w:p w14:paraId="251E5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建设内容</w:t>
            </w:r>
          </w:p>
        </w:tc>
        <w:tc>
          <w:tcPr>
            <w:tcW w:w="4739" w:type="pct"/>
            <w:vAlign w:val="center"/>
          </w:tcPr>
          <w:p w14:paraId="622FDA22">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16" w:name="_Toc26578"/>
            <w:bookmarkStart w:id="17" w:name="_Toc17663"/>
            <w:bookmarkStart w:id="18" w:name="_Toc2901"/>
            <w:bookmarkStart w:id="19" w:name="_Toc9428"/>
            <w:bookmarkStart w:id="20" w:name="_Toc2247"/>
            <w:r>
              <w:rPr>
                <w:rFonts w:hint="default"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2.1 项目由来</w:t>
            </w:r>
            <w:bookmarkEnd w:id="16"/>
            <w:bookmarkEnd w:id="17"/>
            <w:bookmarkEnd w:id="18"/>
            <w:bookmarkEnd w:id="19"/>
            <w:bookmarkEnd w:id="20"/>
          </w:p>
          <w:p w14:paraId="57CE14F8">
            <w:pPr>
              <w:pStyle w:val="2"/>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福建瑞昌新能源科技开发有限公司</w:t>
            </w:r>
            <w:r>
              <w:rPr>
                <w:rFonts w:hint="eastAsia" w:ascii="Times New Roman" w:hAnsi="Times New Roman" w:eastAsia="宋体" w:cs="Times New Roman"/>
                <w:color w:val="auto"/>
                <w:sz w:val="24"/>
                <w:szCs w:val="24"/>
                <w:highlight w:val="none"/>
                <w:u w:val="none"/>
                <w:lang w:val="en-US" w:eastAsia="zh-CN"/>
              </w:rPr>
              <w:t>成立于20</w:t>
            </w:r>
            <w:r>
              <w:rPr>
                <w:rFonts w:hint="eastAsia" w:cs="Times New Roman"/>
                <w:color w:val="auto"/>
                <w:sz w:val="24"/>
                <w:szCs w:val="24"/>
                <w:highlight w:val="none"/>
                <w:u w:val="none"/>
                <w:lang w:val="en-US" w:eastAsia="zh-CN"/>
              </w:rPr>
              <w:t>12</w:t>
            </w:r>
            <w:r>
              <w:rPr>
                <w:rFonts w:hint="eastAsia"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10</w:t>
            </w:r>
            <w:r>
              <w:rPr>
                <w:rFonts w:hint="eastAsia" w:ascii="Times New Roman" w:hAnsi="Times New Roman" w:eastAsia="宋体" w:cs="Times New Roman"/>
                <w:color w:val="auto"/>
                <w:sz w:val="24"/>
                <w:szCs w:val="24"/>
                <w:highlight w:val="none"/>
                <w:u w:val="none"/>
                <w:lang w:val="en-US" w:eastAsia="zh-CN"/>
              </w:rPr>
              <w:t>月2</w:t>
            </w:r>
            <w:r>
              <w:rPr>
                <w:rFonts w:hint="eastAsia" w:cs="Times New Roman"/>
                <w:color w:val="auto"/>
                <w:sz w:val="24"/>
                <w:szCs w:val="24"/>
                <w:highlight w:val="none"/>
                <w:u w:val="none"/>
                <w:lang w:val="en-US" w:eastAsia="zh-CN"/>
              </w:rPr>
              <w:t>3</w:t>
            </w:r>
            <w:r>
              <w:rPr>
                <w:rFonts w:hint="eastAsia" w:ascii="Times New Roman" w:hAnsi="Times New Roman" w:eastAsia="宋体" w:cs="Times New Roman"/>
                <w:color w:val="auto"/>
                <w:sz w:val="24"/>
                <w:szCs w:val="24"/>
                <w:highlight w:val="none"/>
                <w:u w:val="none"/>
                <w:lang w:val="en-US" w:eastAsia="zh-CN"/>
              </w:rPr>
              <w:t>日，注册资本为</w:t>
            </w:r>
            <w:r>
              <w:rPr>
                <w:rFonts w:hint="eastAsia" w:cs="Times New Roman"/>
                <w:color w:val="auto"/>
                <w:sz w:val="24"/>
                <w:szCs w:val="24"/>
                <w:highlight w:val="none"/>
                <w:u w:val="none"/>
                <w:lang w:val="en-US" w:eastAsia="zh-CN"/>
              </w:rPr>
              <w:t>2000</w:t>
            </w:r>
            <w:r>
              <w:rPr>
                <w:rFonts w:hint="eastAsia" w:ascii="Times New Roman" w:hAnsi="Times New Roman" w:eastAsia="宋体" w:cs="Times New Roman"/>
                <w:color w:val="auto"/>
                <w:sz w:val="24"/>
                <w:szCs w:val="24"/>
                <w:highlight w:val="none"/>
                <w:u w:val="none"/>
                <w:lang w:val="en-US" w:eastAsia="zh-CN"/>
              </w:rPr>
              <w:t>万元，</w:t>
            </w:r>
            <w:r>
              <w:rPr>
                <w:rFonts w:hint="eastAsia" w:cs="Times New Roman"/>
                <w:color w:val="auto"/>
                <w:sz w:val="24"/>
                <w:szCs w:val="24"/>
                <w:highlight w:val="none"/>
                <w:u w:val="none"/>
                <w:lang w:val="en-US" w:eastAsia="zh-CN"/>
              </w:rPr>
              <w:t>注册地址福建省福州市福清市宏路街道大埔村融深工业园大埔路423-47号。</w:t>
            </w:r>
            <w:r>
              <w:rPr>
                <w:rFonts w:hint="eastAsia" w:ascii="Times New Roman" w:hAnsi="Times New Roman" w:eastAsia="宋体" w:cs="Times New Roman"/>
                <w:color w:val="auto"/>
                <w:sz w:val="24"/>
                <w:szCs w:val="24"/>
                <w:highlight w:val="none"/>
                <w:u w:val="none"/>
                <w:lang w:val="en-US" w:eastAsia="zh-CN"/>
              </w:rPr>
              <w:t>主要从事</w:t>
            </w:r>
            <w:r>
              <w:rPr>
                <w:rFonts w:hint="eastAsia" w:cs="Times New Roman"/>
                <w:color w:val="auto"/>
                <w:sz w:val="24"/>
                <w:szCs w:val="24"/>
                <w:highlight w:val="none"/>
                <w:u w:val="none"/>
                <w:lang w:val="en-US" w:eastAsia="zh-CN"/>
              </w:rPr>
              <w:t>电脑产品及配件、五金制品、模具、汽车零部件研、生产等相关业务。</w:t>
            </w:r>
            <w:r>
              <w:rPr>
                <w:rFonts w:hint="eastAsia" w:ascii="Times New Roman" w:hAnsi="Times New Roman" w:eastAsia="宋体" w:cs="Times New Roman"/>
                <w:color w:val="auto"/>
                <w:sz w:val="24"/>
                <w:szCs w:val="24"/>
                <w:highlight w:val="none"/>
                <w:u w:val="none"/>
                <w:lang w:val="en-US" w:eastAsia="zh-CN"/>
              </w:rPr>
              <w:t>统一社会信用代码为</w:t>
            </w:r>
            <w:r>
              <w:rPr>
                <w:rFonts w:hint="eastAsia" w:cs="Times New Roman"/>
                <w:color w:val="auto"/>
                <w:sz w:val="24"/>
                <w:szCs w:val="24"/>
                <w:highlight w:val="none"/>
                <w:u w:val="none"/>
                <w:lang w:val="en-US" w:eastAsia="zh-CN"/>
              </w:rPr>
              <w:t>91********731</w:t>
            </w:r>
            <w:r>
              <w:rPr>
                <w:rFonts w:hint="default" w:ascii="Times New Roman" w:hAnsi="Times New Roman" w:eastAsia="宋体" w:cs="Times New Roman"/>
                <w:color w:val="auto"/>
                <w:sz w:val="24"/>
                <w:szCs w:val="24"/>
                <w:highlight w:val="none"/>
                <w:u w:val="none"/>
                <w:lang w:eastAsia="zh-CN"/>
              </w:rPr>
              <w:t>，法人是</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w:t>
            </w:r>
            <w:r>
              <w:rPr>
                <w:rFonts w:hint="default" w:ascii="Times New Roman" w:hAnsi="Times New Roman" w:cs="Times New Roman"/>
                <w:b/>
                <w:bCs/>
                <w:color w:val="auto"/>
                <w:sz w:val="24"/>
                <w:szCs w:val="24"/>
                <w:highlight w:val="none"/>
                <w:u w:val="none"/>
              </w:rPr>
              <w:t>附件</w:t>
            </w:r>
            <w:r>
              <w:rPr>
                <w:rFonts w:hint="eastAsia" w:cs="Times New Roman"/>
                <w:b/>
                <w:bCs/>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p>
          <w:p w14:paraId="2CFAE235">
            <w:pPr>
              <w:pStyle w:val="2"/>
              <w:spacing w:line="360" w:lineRule="auto"/>
              <w:ind w:firstLine="480" w:firstLineChars="200"/>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u w:val="none"/>
                <w:lang w:val="en-US" w:eastAsia="zh-CN"/>
              </w:rPr>
              <w:t>项目拟投资2800万元，选址位于</w:t>
            </w:r>
            <w:r>
              <w:rPr>
                <w:rFonts w:hint="default" w:ascii="Times New Roman" w:hAnsi="Times New Roman" w:eastAsia="宋体" w:cs="Times New Roman"/>
                <w:color w:val="auto"/>
                <w:sz w:val="24"/>
                <w:szCs w:val="24"/>
                <w:highlight w:val="none"/>
                <w:u w:val="none"/>
                <w:lang w:val="en-US" w:eastAsia="zh-CN"/>
              </w:rPr>
              <w:t>福清融侨经济技术开发区（</w:t>
            </w:r>
            <w:r>
              <w:rPr>
                <w:rFonts w:hint="eastAsia" w:ascii="Times New Roman" w:hAnsi="Times New Roman" w:eastAsia="宋体" w:cs="Times New Roman"/>
                <w:color w:val="auto"/>
                <w:sz w:val="24"/>
                <w:szCs w:val="24"/>
                <w:highlight w:val="none"/>
                <w:u w:val="none"/>
                <w:lang w:val="en-US" w:eastAsia="zh-CN"/>
              </w:rPr>
              <w:t>购置</w:t>
            </w:r>
            <w:r>
              <w:rPr>
                <w:rFonts w:hint="default" w:ascii="Times New Roman" w:hAnsi="Times New Roman" w:eastAsia="宋体" w:cs="Times New Roman"/>
                <w:color w:val="auto"/>
                <w:sz w:val="24"/>
                <w:szCs w:val="24"/>
                <w:highlight w:val="none"/>
                <w:u w:val="none"/>
                <w:lang w:val="en-US" w:eastAsia="zh-CN"/>
              </w:rPr>
              <w:t>均和云谷·福清科技港3</w:t>
            </w:r>
            <w:r>
              <w:rPr>
                <w:rFonts w:hint="eastAsia" w:ascii="Times New Roman" w:hAnsi="Times New Roman" w:eastAsia="宋体"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val="en-US" w:eastAsia="zh-CN"/>
              </w:rPr>
              <w:t>#厂房）</w:t>
            </w:r>
            <w:r>
              <w:rPr>
                <w:rFonts w:hint="eastAsia" w:ascii="Times New Roman" w:hAnsi="Times New Roman" w:eastAsia="宋体" w:cs="Times New Roman"/>
                <w:color w:val="auto"/>
                <w:sz w:val="24"/>
                <w:szCs w:val="24"/>
                <w:highlight w:val="none"/>
                <w:u w:val="none"/>
                <w:lang w:val="en-US" w:eastAsia="zh-CN"/>
              </w:rPr>
              <w:t>作为生产经营场所，厂房面积4188.94平方米（共4层）</w:t>
            </w:r>
            <w:r>
              <w:rPr>
                <w:rFonts w:hint="eastAsia" w:cs="Times New Roman"/>
                <w:color w:val="auto"/>
                <w:sz w:val="24"/>
                <w:szCs w:val="24"/>
                <w:highlight w:val="none"/>
                <w:u w:val="none"/>
                <w:lang w:val="en-US" w:eastAsia="zh-CN"/>
              </w:rPr>
              <w:t>厂房主体已建设完成。本项目拟将厂房</w:t>
            </w:r>
            <w:r>
              <w:rPr>
                <w:rFonts w:hint="eastAsia" w:cs="Times New Roman"/>
                <w:color w:val="auto"/>
                <w:sz w:val="24"/>
                <w:szCs w:val="24"/>
                <w:highlight w:val="none"/>
                <w:lang w:val="en-US" w:eastAsia="zh-CN"/>
              </w:rPr>
              <w:t>一层设置为电阻炉、压铸机、空压机房、布袋除尘器及周边辅助设备（循环水处理设施、切削液回收装置）、危险废物贮存间；二层为抛光、打磨、钻孔、攻牙等设备；三层为原料与成品存放区；将活性炭吸附装置及风机安装在三层顶楼。冷却塔安装于生产车间一层。熔融、压铸脱模时所产生的VOCs、颗粒物通过“布袋除尘器+活性炭吸附装置”处理后接入生产废气管道，由排气筒（DA001）排放，排气筒位于厂房三层楼顶。</w:t>
            </w:r>
            <w:r>
              <w:rPr>
                <w:rFonts w:hint="eastAsia" w:ascii="Times New Roman" w:hAnsi="Times New Roman" w:eastAsia="宋体" w:cs="Times New Roman"/>
                <w:color w:val="auto"/>
                <w:sz w:val="24"/>
                <w:szCs w:val="24"/>
                <w:highlight w:val="none"/>
                <w:u w:val="none"/>
                <w:lang w:val="en-US" w:eastAsia="zh-CN"/>
              </w:rPr>
              <w:t>计</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划年加工</w:t>
            </w:r>
            <w:r>
              <w:rPr>
                <w:rFonts w:hint="eastAsia" w:ascii="Times New Roman" w:hAnsi="Times New Roman" w:eastAsia="宋体" w:cs="Times New Roman"/>
                <w:color w:val="auto"/>
                <w:spacing w:val="0"/>
                <w:sz w:val="24"/>
                <w:szCs w:val="24"/>
                <w:highlight w:val="none"/>
                <w:u w:val="none"/>
                <w:lang w:val="en-US" w:eastAsia="zh-CN"/>
              </w:rPr>
              <w:t>五金配件（铝铸件）</w:t>
            </w:r>
            <w:r>
              <w:rPr>
                <w:rFonts w:hint="eastAsia" w:cs="Times New Roman"/>
                <w:color w:val="auto"/>
                <w:spacing w:val="0"/>
                <w:sz w:val="24"/>
                <w:szCs w:val="24"/>
                <w:highlight w:val="none"/>
                <w:u w:val="none"/>
                <w:lang w:val="en-US" w:eastAsia="zh-CN"/>
              </w:rPr>
              <w:t>300万个</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。购置电</w:t>
            </w:r>
            <w:r>
              <w:rPr>
                <w:rFonts w:hint="eastAsia" w:cs="Times New Roman"/>
                <w:color w:val="000000" w:themeColor="text1"/>
                <w:sz w:val="24"/>
                <w:szCs w:val="24"/>
                <w:highlight w:val="none"/>
                <w:u w:val="none"/>
                <w:lang w:val="en-US" w:eastAsia="zh-CN"/>
                <w14:textFill>
                  <w14:solidFill>
                    <w14:schemeClr w14:val="tx1"/>
                  </w14:solidFill>
                </w14:textFill>
              </w:rPr>
              <w:t>阻</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炉、压铸机、抛光机、多轴攻牙机、研磨机等相关设备，建设五金配件生产线。该项目于2025年10月21日通过了福清市发展和改革局的备案（闽发改备</w:t>
            </w:r>
            <w:r>
              <w:rPr>
                <w:rFonts w:hint="eastAsia" w:cs="Times New Roman"/>
                <w:color w:val="000000" w:themeColor="text1"/>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A0603</w:t>
            </w:r>
            <w:r>
              <w:rPr>
                <w:rFonts w:hint="eastAsia" w:cs="Times New Roman"/>
                <w:color w:val="000000" w:themeColor="text1"/>
                <w:sz w:val="24"/>
                <w:szCs w:val="24"/>
                <w:highlight w:val="none"/>
                <w:u w:val="none"/>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号，</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附件</w:t>
            </w:r>
            <w:r>
              <w:rPr>
                <w:rFonts w:hint="eastAsia" w:cs="Times New Roman"/>
                <w:b/>
                <w:bCs/>
                <w:color w:val="000000" w:themeColor="text1"/>
                <w:sz w:val="24"/>
                <w:szCs w:val="24"/>
                <w:highlight w:val="none"/>
                <w:u w:val="none"/>
                <w:lang w:val="en-US" w:eastAsia="zh-CN"/>
                <w14:textFill>
                  <w14:solidFill>
                    <w14:schemeClr w14:val="tx1"/>
                  </w14:solidFill>
                </w14:textFill>
              </w:rPr>
              <w:t>六</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p>
          <w:p w14:paraId="0A611784">
            <w:pPr>
              <w:pStyle w:val="2"/>
              <w:spacing w:line="360" w:lineRule="auto"/>
              <w:ind w:firstLine="480" w:firstLineChars="200"/>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根据《中华人民共和国环境保护法》（2015年）、《中华人民共和国环境影响评价法》（2018年修正）、《建设项目环境保护管理条例》（2017年）以及《建设项目环境影响评价分类管理名录（2021年）》等规定</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pacing w:val="0"/>
                <w:sz w:val="24"/>
                <w:szCs w:val="24"/>
                <w:highlight w:val="none"/>
                <w:u w:val="none"/>
                <w:lang w:val="en-US" w:eastAsia="zh-CN"/>
              </w:rPr>
              <w:t>五金配件（铝铸件）</w:t>
            </w:r>
            <w:r>
              <w:rPr>
                <w:rFonts w:hint="eastAsia" w:cs="Times New Roman"/>
                <w:color w:val="auto"/>
                <w:sz w:val="24"/>
                <w:szCs w:val="24"/>
                <w:highlight w:val="none"/>
                <w:u w:val="none"/>
                <w:lang w:val="en-US" w:eastAsia="zh-CN"/>
              </w:rPr>
              <w:t>制造，涉及</w:t>
            </w:r>
            <w:r>
              <w:rPr>
                <w:rFonts w:hint="eastAsia" w:cs="Times New Roman"/>
                <w:b/>
                <w:bCs/>
                <w:color w:val="auto"/>
                <w:sz w:val="24"/>
                <w:szCs w:val="24"/>
                <w:highlight w:val="none"/>
                <w:u w:val="none"/>
                <w:lang w:val="en-US" w:eastAsia="zh-CN"/>
              </w:rPr>
              <w:t>熔化</w:t>
            </w:r>
            <w:r>
              <w:rPr>
                <w:rFonts w:hint="eastAsia" w:cs="Times New Roman"/>
                <w:color w:val="auto"/>
                <w:sz w:val="24"/>
                <w:szCs w:val="24"/>
                <w:highlight w:val="none"/>
                <w:u w:val="none"/>
                <w:lang w:val="en-US" w:eastAsia="zh-CN"/>
              </w:rPr>
              <w:t>及</w:t>
            </w:r>
            <w:r>
              <w:rPr>
                <w:rFonts w:hint="eastAsia" w:cs="Times New Roman"/>
                <w:b/>
                <w:bCs/>
                <w:color w:val="auto"/>
                <w:sz w:val="24"/>
                <w:szCs w:val="24"/>
                <w:highlight w:val="none"/>
                <w:u w:val="none"/>
                <w:lang w:val="en-US" w:eastAsia="zh-CN"/>
              </w:rPr>
              <w:t>压铸</w:t>
            </w:r>
            <w:r>
              <w:rPr>
                <w:rFonts w:hint="eastAsia" w:cs="Times New Roman"/>
                <w:color w:val="auto"/>
                <w:sz w:val="24"/>
                <w:szCs w:val="24"/>
                <w:highlight w:val="none"/>
                <w:u w:val="none"/>
                <w:lang w:val="en-US" w:eastAsia="zh-CN"/>
              </w:rPr>
              <w:t>工艺。</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属于名录中“三十、金属制品业33—68铸造及其他金属制品制造339—其他（仅分割、焊接、组装的除外）</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本项目环评类别为环境影响报告表，详见表2-1。为此，</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该公司于2025年9月委托福州朴诚至信环保科技有限公司编制《福建瑞昌新能源科技开发有限公司年加工五金配件300万个项目环</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境影响报告表》（</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委托书详见</w:t>
            </w:r>
            <w:r>
              <w:rPr>
                <w:rFonts w:hint="default" w:ascii="Times New Roman" w:hAnsi="Times New Roman" w:eastAsia="宋体" w:cs="Times New Roman"/>
                <w:b/>
                <w:bCs/>
                <w:color w:val="000000" w:themeColor="text1"/>
                <w:sz w:val="24"/>
                <w:szCs w:val="24"/>
                <w:highlight w:val="none"/>
                <w:u w:val="none"/>
                <w14:textFill>
                  <w14:solidFill>
                    <w14:schemeClr w14:val="tx1"/>
                  </w14:solidFill>
                </w14:textFill>
              </w:rPr>
              <w:t>附件一</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。本环评单位接受委托后，立即派技术人员踏勘现场和收集有关资料，按照</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建设项目环境影响报告表编制技术指南</w:t>
            </w:r>
            <w:r>
              <w:rPr>
                <w:rFonts w:hint="eastAsia" w:cs="Times New Roman"/>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14:textFill>
                  <w14:solidFill>
                    <w14:schemeClr w14:val="tx1"/>
                  </w14:solidFill>
                </w14:textFill>
              </w:rPr>
              <w:t>污染影响类</w:t>
            </w:r>
            <w:r>
              <w:rPr>
                <w:rFonts w:hint="eastAsia" w:cs="Times New Roman"/>
                <w:color w:val="000000" w:themeColor="text1"/>
                <w:sz w:val="24"/>
                <w:szCs w:val="24"/>
                <w:highlight w:val="none"/>
                <w:u w:val="none"/>
                <w:lang w:eastAsia="zh-CN"/>
                <w14:textFill>
                  <w14:solidFill>
                    <w14:schemeClr w14:val="tx1"/>
                  </w14:solidFill>
                </w14:textFill>
              </w:rPr>
              <w:t>）（试行）》</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及相关技术规范要求，</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编制了本环境影响报告表，供建设单位上报</w:t>
            </w:r>
            <w:r>
              <w:rPr>
                <w:rFonts w:hint="default" w:ascii="Times New Roman" w:hAnsi="Times New Roman" w:eastAsia="宋体" w:cs="Times New Roman"/>
                <w:color w:val="000000" w:themeColor="text1"/>
                <w:kern w:val="0"/>
                <w:sz w:val="24"/>
                <w:szCs w:val="24"/>
                <w:highlight w:val="none"/>
                <w:u w:val="none"/>
                <w:lang w:eastAsia="zh-CN"/>
                <w14:textFill>
                  <w14:solidFill>
                    <w14:schemeClr w14:val="tx1"/>
                  </w14:solidFill>
                </w14:textFill>
              </w:rPr>
              <w:t>生态环境行政主管部门</w:t>
            </w: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审批。</w:t>
            </w:r>
          </w:p>
          <w:p w14:paraId="336794FC">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表2.1-1 建设项目环境影响评价分类管理名录（摘录）</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430"/>
              <w:gridCol w:w="3387"/>
              <w:gridCol w:w="2398"/>
              <w:gridCol w:w="801"/>
            </w:tblGrid>
            <w:tr w14:paraId="39817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162" w:type="pct"/>
                  <w:gridSpan w:val="2"/>
                  <w:tcBorders>
                    <w:tl2br w:val="single" w:color="auto" w:sz="2" w:space="0"/>
                  </w:tcBorders>
                  <w:vAlign w:val="center"/>
                </w:tcPr>
                <w:p w14:paraId="57A3001B">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环评类别</w:t>
                  </w:r>
                </w:p>
                <w:p w14:paraId="3940A3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vertAlign w:val="baseline"/>
                      <w:lang w:val="en-US" w:eastAsia="zh-CN" w:bidi="ar-SA"/>
                      <w14:textFill>
                        <w14:solidFill>
                          <w14:schemeClr w14:val="tx1"/>
                        </w14:solidFill>
                      </w14:textFill>
                    </w:rPr>
                    <w:t>项目类别</w:t>
                  </w:r>
                </w:p>
              </w:tc>
              <w:tc>
                <w:tcPr>
                  <w:tcW w:w="1973" w:type="pct"/>
                  <w:tcBorders>
                    <w:tl2br w:val="nil"/>
                    <w:tr2bl w:val="nil"/>
                  </w:tcBorders>
                  <w:vAlign w:val="center"/>
                </w:tcPr>
                <w:p w14:paraId="7EEEE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报告书</w:t>
                  </w:r>
                </w:p>
              </w:tc>
              <w:tc>
                <w:tcPr>
                  <w:tcW w:w="1397" w:type="pct"/>
                  <w:tcBorders>
                    <w:tl2br w:val="nil"/>
                    <w:tr2bl w:val="nil"/>
                  </w:tcBorders>
                  <w:shd w:val="clear" w:color="auto" w:fill="D7D7D7" w:themeFill="background1" w:themeFillShade="D8"/>
                  <w:vAlign w:val="center"/>
                </w:tcPr>
                <w:p w14:paraId="455C9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报告表</w:t>
                  </w:r>
                </w:p>
              </w:tc>
              <w:tc>
                <w:tcPr>
                  <w:tcW w:w="466" w:type="pct"/>
                  <w:tcBorders>
                    <w:tl2br w:val="nil"/>
                    <w:tr2bl w:val="nil"/>
                  </w:tcBorders>
                  <w:vAlign w:val="center"/>
                </w:tcPr>
                <w:p w14:paraId="4CC9B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登记表</w:t>
                  </w:r>
                </w:p>
              </w:tc>
            </w:tr>
            <w:tr w14:paraId="1F4EE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000" w:type="pct"/>
                  <w:gridSpan w:val="5"/>
                  <w:tcBorders>
                    <w:tl2br w:val="nil"/>
                    <w:tr2bl w:val="nil"/>
                  </w:tcBorders>
                  <w:shd w:val="clear" w:color="auto" w:fill="D7D7D7" w:themeFill="background1" w:themeFillShade="D8"/>
                  <w:vAlign w:val="center"/>
                </w:tcPr>
                <w:p w14:paraId="7D08F67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三十、金属制品业 33</w:t>
                  </w:r>
                </w:p>
              </w:tc>
            </w:tr>
            <w:tr w14:paraId="50858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329" w:type="pct"/>
                  <w:tcBorders>
                    <w:tl2br w:val="nil"/>
                    <w:tr2bl w:val="nil"/>
                  </w:tcBorders>
                  <w:shd w:val="clear" w:color="auto" w:fill="auto"/>
                  <w:vAlign w:val="center"/>
                </w:tcPr>
                <w:p w14:paraId="73D274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68</w:t>
                  </w:r>
                </w:p>
              </w:tc>
              <w:tc>
                <w:tcPr>
                  <w:tcW w:w="833" w:type="pct"/>
                  <w:tcBorders>
                    <w:tl2br w:val="nil"/>
                    <w:tr2bl w:val="nil"/>
                  </w:tcBorders>
                  <w:shd w:val="clear" w:color="auto" w:fill="auto"/>
                  <w:vAlign w:val="center"/>
                </w:tcPr>
                <w:p w14:paraId="774C67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铸造及其他金属制品制造 339</w:t>
                  </w:r>
                </w:p>
              </w:tc>
              <w:tc>
                <w:tcPr>
                  <w:tcW w:w="1973" w:type="pct"/>
                  <w:tcBorders>
                    <w:tl2br w:val="nil"/>
                    <w:tr2bl w:val="nil"/>
                  </w:tcBorders>
                  <w:shd w:val="clear" w:color="auto" w:fill="auto"/>
                  <w:vAlign w:val="center"/>
                </w:tcPr>
                <w:p w14:paraId="645D8A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黑色金属铸造年产10万吨及以上的；有色金属铸造年产10万吨及以上的</w:t>
                  </w:r>
                </w:p>
              </w:tc>
              <w:tc>
                <w:tcPr>
                  <w:tcW w:w="1397" w:type="pct"/>
                  <w:tcBorders>
                    <w:tl2br w:val="nil"/>
                    <w:tr2bl w:val="nil"/>
                  </w:tcBorders>
                  <w:shd w:val="clear" w:color="auto" w:fill="D7D7D7" w:themeFill="background1" w:themeFillShade="D8"/>
                  <w:vAlign w:val="center"/>
                </w:tcPr>
                <w:p w14:paraId="4D7B57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其他（仅分割、焊接、组装的除外）</w:t>
                  </w:r>
                </w:p>
              </w:tc>
              <w:tc>
                <w:tcPr>
                  <w:tcW w:w="466" w:type="pct"/>
                  <w:tcBorders>
                    <w:tl2br w:val="nil"/>
                    <w:tr2bl w:val="nil"/>
                  </w:tcBorders>
                  <w:shd w:val="clear" w:color="auto" w:fill="auto"/>
                  <w:vAlign w:val="center"/>
                </w:tcPr>
                <w:p w14:paraId="7721F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tc>
            </w:tr>
          </w:tbl>
          <w:p w14:paraId="78EC04A2">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pPr>
            <w:bookmarkStart w:id="21" w:name="_Toc16221"/>
            <w:bookmarkStart w:id="22" w:name="_Toc8414"/>
            <w:r>
              <w:rPr>
                <w:rFonts w:hint="eastAsia" w:ascii="Times New Roman" w:hAnsi="Times New Roman" w:eastAsia="宋体" w:cs="Times New Roman"/>
                <w:color w:val="000000" w:themeColor="text1"/>
                <w:sz w:val="28"/>
                <w:szCs w:val="28"/>
                <w:highlight w:val="none"/>
                <w:u w:val="none"/>
                <w:lang w:val="en-US" w:eastAsia="zh-CN"/>
                <w14:textFill>
                  <w14:solidFill>
                    <w14:schemeClr w14:val="tx1"/>
                  </w14:solidFill>
                </w14:textFill>
              </w:rPr>
              <w:t>2.2工程概况</w:t>
            </w:r>
            <w:bookmarkEnd w:id="21"/>
            <w:bookmarkEnd w:id="22"/>
          </w:p>
          <w:p w14:paraId="3D1375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3" w:name="_Toc9404"/>
            <w:bookmarkStart w:id="24" w:name="_Toc20122"/>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2.2.1 企业基本情况</w:t>
            </w:r>
            <w:bookmarkEnd w:id="23"/>
            <w:bookmarkEnd w:id="24"/>
          </w:p>
          <w:p w14:paraId="2973D389">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建设单位购买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均和产业发展</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投资建设的均和云谷·福清科技港</w:t>
            </w:r>
            <w:r>
              <w:rPr>
                <w:rFonts w:hint="eastAsia" w:cs="Times New Roman"/>
                <w:color w:val="000000" w:themeColor="text1"/>
                <w:sz w:val="24"/>
                <w:szCs w:val="24"/>
                <w:highlight w:val="none"/>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#楼</w:t>
            </w:r>
            <w:r>
              <w:rPr>
                <w:rFonts w:hint="eastAsia" w:cs="Times New Roman"/>
                <w:color w:val="000000" w:themeColor="text1"/>
                <w:sz w:val="24"/>
                <w:szCs w:val="24"/>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层</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厂房定制合同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七</w:t>
            </w:r>
            <w:r>
              <w:rPr>
                <w:rFonts w:hint="eastAsia" w:cs="Times New Roman"/>
                <w:color w:val="000000" w:themeColor="text1"/>
                <w:sz w:val="24"/>
                <w:szCs w:val="24"/>
                <w:highlight w:val="none"/>
                <w:lang w:val="en-US" w:eastAsia="zh-CN"/>
                <w14:textFill>
                  <w14:solidFill>
                    <w14:schemeClr w14:val="tx1"/>
                  </w14:solidFill>
                </w14:textFill>
              </w:rPr>
              <w:t>）（不动产登记信息查询结果详见</w:t>
            </w:r>
            <w:r>
              <w:rPr>
                <w:rFonts w:hint="eastAsia" w:cs="Times New Roman"/>
                <w:b/>
                <w:bCs/>
                <w:color w:val="000000" w:themeColor="text1"/>
                <w:sz w:val="24"/>
                <w:szCs w:val="24"/>
                <w:highlight w:val="none"/>
                <w:lang w:val="en-US" w:eastAsia="zh-CN"/>
                <w14:textFill>
                  <w14:solidFill>
                    <w14:schemeClr w14:val="tx1"/>
                  </w14:solidFill>
                </w14:textFill>
              </w:rPr>
              <w:t>附件八</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本次评价利用</w:t>
            </w:r>
            <w:r>
              <w:rPr>
                <w:rFonts w:hint="eastAsia" w:cs="Times New Roman"/>
                <w:color w:val="000000" w:themeColor="text1"/>
                <w:sz w:val="24"/>
                <w:szCs w:val="24"/>
                <w:highlight w:val="none"/>
                <w:lang w:val="en-US" w:eastAsia="zh-CN"/>
                <w14:textFill>
                  <w14:solidFill>
                    <w14:schemeClr w14:val="tx1"/>
                  </w14:solidFill>
                </w14:textFill>
              </w:rPr>
              <w:t>一层（1200m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）、二层（1200m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作为本项目生产经营场所，</w:t>
            </w:r>
            <w:r>
              <w:rPr>
                <w:rFonts w:hint="eastAsia" w:cs="Times New Roman"/>
                <w:color w:val="000000" w:themeColor="text1"/>
                <w:sz w:val="24"/>
                <w:szCs w:val="24"/>
                <w:highlight w:val="none"/>
                <w:lang w:val="en-US" w:eastAsia="zh-CN"/>
                <w14:textFill>
                  <w14:solidFill>
                    <w14:schemeClr w14:val="tx1"/>
                  </w14:solidFill>
                </w14:textFill>
              </w:rPr>
              <w:t>三层（1200m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作为原辅材料及成品仓库，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无需分割。</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因此本评价在此简单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介绍均和云谷·福清科技港项目的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基本情况。</w:t>
            </w:r>
          </w:p>
          <w:p w14:paraId="43E1B15E">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000000" w:themeColor="text1"/>
                <w:spacing w:val="0"/>
                <w:sz w:val="24"/>
                <w:szCs w:val="24"/>
                <w:highlight w:val="none"/>
                <w:shd w:val="clear" w:color="auto" w:fill="FFFFFF"/>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均和云谷·福清科技港项目位于福清融侨经济技术开发区（福州市福清市阳下街道上亭村398号），项目总占地面积95657m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，总建筑面积约153451.80m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四期建设，主要建设41栋标准厂房、1栋综合楼及相应的配套设施；根据规划，均和云谷·福清科技港建设后拟将厂房外售或者外租给相应的企业进行生产，自身不进行生产；因此，该项目未办理相关环保审批手续，由入驻企业根据实际情况，单独办理环保相关审批手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。根据福清融侨经济技术开发区管理委员会出具的“关于协助均和云谷</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福清科技港入园企业先行办理环评手续的函”相关内容可知，同意企业办理环评手续</w:t>
            </w:r>
            <w:r>
              <w:rPr>
                <w:rFonts w:hint="eastAsia" w:cs="Times New Roman"/>
                <w:color w:val="000000" w:themeColor="text1"/>
                <w:sz w:val="24"/>
                <w:highlight w:val="none"/>
                <w:lang w:val="en-US" w:eastAsia="zh-CN"/>
                <w14:textFill>
                  <w14:solidFill>
                    <w14:schemeClr w14:val="tx1"/>
                  </w14:solidFill>
                </w14:textFill>
              </w:rPr>
              <w:t>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附件</w:t>
            </w:r>
            <w:r>
              <w:rPr>
                <w:rFonts w:hint="eastAsia" w:cs="Times New Roman"/>
                <w:b/>
                <w:bCs/>
                <w:color w:val="000000" w:themeColor="text1"/>
                <w:sz w:val="24"/>
                <w:highlight w:val="none"/>
                <w:lang w:val="en-US" w:eastAsia="zh-CN"/>
                <w14:textFill>
                  <w14:solidFill>
                    <w14:schemeClr w14:val="tx1"/>
                  </w14:solidFill>
                </w14:textFill>
              </w:rPr>
              <w:t>九</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3D658D8">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根据现场勘查</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均和云谷·福清科技港内未配套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生产废水处理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设施、废气环保设施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固废暂存间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等可</w:t>
            </w:r>
            <w:r>
              <w:rPr>
                <w:rFonts w:hint="eastAsia" w:cs="Times New Roman"/>
                <w:color w:val="000000" w:themeColor="text1"/>
                <w:sz w:val="24"/>
                <w:szCs w:val="24"/>
                <w:highlight w:val="none"/>
                <w:lang w:eastAsia="zh-CN"/>
                <w14:textFill>
                  <w14:solidFill>
                    <w14:schemeClr w14:val="tx1"/>
                  </w14:solidFill>
                </w14:textFill>
              </w:rPr>
              <w:t>提供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本项目依托的相关环保设施。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本项目废气环保设施、固废暂存间等均由本单位自行建设；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本项目可依托的设施主要为厂区内的现有给水管网、排水管网、供电管网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给水消防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及化粪池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等公用工程设施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目前均和云谷·福清科技港项目污水管网已经接入市政污水管网，将生活污水统一送往</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eastAsia" w:cs="Times New Roman"/>
                <w:color w:val="000000" w:themeColor="text1"/>
                <w:sz w:val="24"/>
                <w:szCs w:val="24"/>
                <w:highlight w:val="none"/>
                <w:lang w:val="en-US" w:eastAsia="zh-CN"/>
                <w14:textFill>
                  <w14:solidFill>
                    <w14:schemeClr w14:val="tx1"/>
                  </w14:solidFill>
                </w14:textFill>
              </w:rPr>
              <w:t>（接管证明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十一</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E6C3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5" w:name="_Toc29283"/>
            <w:bookmarkStart w:id="26" w:name="_Toc253"/>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项目基本情况</w:t>
            </w:r>
            <w:bookmarkEnd w:id="25"/>
            <w:bookmarkEnd w:id="26"/>
          </w:p>
          <w:p w14:paraId="08698F58">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（1）项目名称：</w:t>
            </w:r>
            <w:r>
              <w:rPr>
                <w:rFonts w:hint="eastAsia" w:cs="Times New Roman"/>
                <w:color w:val="000000" w:themeColor="text1"/>
                <w:sz w:val="24"/>
                <w:szCs w:val="24"/>
                <w:highlight w:val="none"/>
                <w:u w:val="none"/>
                <w:lang w:eastAsia="zh-CN"/>
                <w14:textFill>
                  <w14:solidFill>
                    <w14:schemeClr w14:val="tx1"/>
                  </w14:solidFill>
                </w14:textFill>
              </w:rPr>
              <w:t>福建瑞昌新能源科技开发有限公司年加工五金配件300万个项目</w:t>
            </w:r>
          </w:p>
          <w:p w14:paraId="3C33C5DC">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（2）建设单位：</w:t>
            </w:r>
            <w:r>
              <w:rPr>
                <w:rFonts w:hint="eastAsia" w:cs="Times New Roman"/>
                <w:color w:val="auto"/>
                <w:sz w:val="24"/>
                <w:szCs w:val="24"/>
                <w:highlight w:val="none"/>
                <w:u w:val="none"/>
                <w:lang w:eastAsia="zh-CN"/>
              </w:rPr>
              <w:t>福建瑞昌新能源科技开发有限公司</w:t>
            </w:r>
          </w:p>
          <w:p w14:paraId="1EF06C28">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（3）建设地点：</w:t>
            </w:r>
            <w:r>
              <w:rPr>
                <w:rFonts w:hint="eastAsia" w:cs="Times New Roman"/>
                <w:color w:val="auto"/>
                <w:sz w:val="24"/>
                <w:szCs w:val="24"/>
                <w:highlight w:val="none"/>
                <w:lang w:eastAsia="zh-CN"/>
              </w:rPr>
              <w:t>福清融侨经济技术开发区（均和云谷·福清科技港33#厂房）</w:t>
            </w:r>
          </w:p>
          <w:p w14:paraId="7E51690C">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（4）建设性质：新建</w:t>
            </w:r>
          </w:p>
          <w:p w14:paraId="448FBD25">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（5）总 投 资：</w:t>
            </w:r>
            <w:r>
              <w:rPr>
                <w:rFonts w:hint="eastAsia" w:cs="Times New Roman"/>
                <w:color w:val="000000" w:themeColor="text1"/>
                <w:sz w:val="24"/>
                <w:szCs w:val="24"/>
                <w:highlight w:val="none"/>
                <w:lang w:val="en-US" w:eastAsia="zh-CN"/>
                <w14:textFill>
                  <w14:solidFill>
                    <w14:schemeClr w14:val="tx1"/>
                  </w14:solidFill>
                </w14:textFill>
              </w:rPr>
              <w:t>2800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万元，其中环保投资</w:t>
            </w:r>
            <w:r>
              <w:rPr>
                <w:rFonts w:hint="eastAsia" w:cs="Times New Roman"/>
                <w:color w:val="000000" w:themeColor="text1"/>
                <w:sz w:val="24"/>
                <w:szCs w:val="24"/>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p>
          <w:p w14:paraId="2C6B6F92">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（6）建设规模：建设</w:t>
            </w:r>
            <w:r>
              <w:rPr>
                <w:rFonts w:hint="eastAsia" w:cs="Times New Roman"/>
                <w:color w:val="000000" w:themeColor="text1"/>
                <w:sz w:val="24"/>
                <w:szCs w:val="24"/>
                <w:highlight w:val="none"/>
                <w:lang w:val="en-US" w:eastAsia="zh-CN"/>
                <w14:textFill>
                  <w14:solidFill>
                    <w14:schemeClr w14:val="tx1"/>
                  </w14:solidFill>
                </w14:textFill>
              </w:rPr>
              <w:t>五金配件生产线，年加工五金配件300万个</w:t>
            </w:r>
          </w:p>
          <w:p w14:paraId="69179CA7">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（7）建筑面积：1-4层共</w:t>
            </w:r>
            <w:r>
              <w:rPr>
                <w:rFonts w:hint="eastAsia" w:cs="Times New Roman"/>
                <w:color w:val="000000" w:themeColor="text1"/>
                <w:sz w:val="24"/>
                <w:szCs w:val="24"/>
                <w:highlight w:val="none"/>
                <w:u w:val="none"/>
                <w:lang w:val="en-US" w:eastAsia="zh-CN"/>
                <w14:textFill>
                  <w14:solidFill>
                    <w14:schemeClr w14:val="tx1"/>
                  </w14:solidFill>
                </w14:textFill>
              </w:rPr>
              <w:t>4188.94</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u w:val="none"/>
                <w:vertAlign w:val="superscript"/>
                <w:lang w:val="en-US" w:eastAsia="zh-CN"/>
                <w14:textFill>
                  <w14:solidFill>
                    <w14:schemeClr w14:val="tx1"/>
                  </w14:solidFill>
                </w14:textFill>
              </w:rPr>
              <w:t>2</w:t>
            </w:r>
          </w:p>
          <w:p w14:paraId="63920DA6">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（8）工作制度：年生产300天，</w:t>
            </w:r>
            <w:r>
              <w:rPr>
                <w:rFonts w:hint="eastAsia" w:cs="Times New Roman"/>
                <w:color w:val="000000" w:themeColor="text1"/>
                <w:sz w:val="24"/>
                <w:szCs w:val="24"/>
                <w:highlight w:val="none"/>
                <w:u w:val="none"/>
                <w:vertAlign w:val="baseline"/>
                <w:lang w:val="en-US" w:eastAsia="zh-CN"/>
                <w14:textFill>
                  <w14:solidFill>
                    <w14:schemeClr w14:val="tx1"/>
                  </w14:solidFill>
                </w14:textFill>
              </w:rPr>
              <w:t>单班制</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，每班</w:t>
            </w:r>
            <w:r>
              <w:rPr>
                <w:rFonts w:hint="eastAsia" w:cs="Times New Roman"/>
                <w:color w:val="000000" w:themeColor="text1"/>
                <w:sz w:val="24"/>
                <w:szCs w:val="24"/>
                <w:highlight w:val="none"/>
                <w:u w:val="none"/>
                <w:vertAlign w:val="baseli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小时；</w:t>
            </w:r>
          </w:p>
          <w:p w14:paraId="53A3EADE">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vertAlign w:val="baseline"/>
                <w:lang w:val="en-US" w:eastAsia="zh-CN"/>
                <w14:textFill>
                  <w14:solidFill>
                    <w14:schemeClr w14:val="tx1"/>
                  </w14:solidFill>
                </w14:textFill>
              </w:rPr>
              <w:t>（9）劳动定员：职工30人</w:t>
            </w:r>
          </w:p>
          <w:p w14:paraId="4175C1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7" w:name="_Toc18841"/>
            <w:bookmarkStart w:id="28" w:name="_Toc9333"/>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27"/>
            <w:bookmarkEnd w:id="28"/>
          </w:p>
          <w:p w14:paraId="2AA979CB">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项目工程组成及建设内容详见表2.2-1。</w:t>
            </w:r>
          </w:p>
          <w:p w14:paraId="7B90496A">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表2.2-1 项目工程组成及建设内容一览表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24"/>
              <w:gridCol w:w="1480"/>
              <w:gridCol w:w="4849"/>
              <w:gridCol w:w="1114"/>
            </w:tblGrid>
            <w:tr w14:paraId="038DE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14" w:type="pct"/>
                  <w:tcBorders>
                    <w:tl2br w:val="nil"/>
                    <w:tr2bl w:val="nil"/>
                  </w:tcBorders>
                  <w:vAlign w:val="center"/>
                </w:tcPr>
                <w:p w14:paraId="56F86E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工程类别</w:t>
                  </w:r>
                </w:p>
              </w:tc>
              <w:tc>
                <w:tcPr>
                  <w:tcW w:w="1109" w:type="pct"/>
                  <w:gridSpan w:val="2"/>
                  <w:tcBorders>
                    <w:tl2br w:val="nil"/>
                    <w:tr2bl w:val="nil"/>
                  </w:tcBorders>
                  <w:vAlign w:val="center"/>
                </w:tcPr>
                <w:p w14:paraId="581762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项目组成</w:t>
                  </w:r>
                </w:p>
              </w:tc>
              <w:tc>
                <w:tcPr>
                  <w:tcW w:w="2826" w:type="pct"/>
                  <w:tcBorders>
                    <w:tl2br w:val="nil"/>
                    <w:tr2bl w:val="nil"/>
                  </w:tcBorders>
                  <w:vAlign w:val="center"/>
                </w:tcPr>
                <w:p w14:paraId="36E0E8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工程规模和内容</w:t>
                  </w:r>
                </w:p>
              </w:tc>
              <w:tc>
                <w:tcPr>
                  <w:tcW w:w="649" w:type="pct"/>
                  <w:tcBorders>
                    <w:tl2br w:val="nil"/>
                    <w:tr2bl w:val="nil"/>
                  </w:tcBorders>
                  <w:vAlign w:val="center"/>
                </w:tcPr>
                <w:p w14:paraId="1D5ED6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45821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14" w:type="pct"/>
                  <w:vMerge w:val="restart"/>
                  <w:tcBorders>
                    <w:tl2br w:val="nil"/>
                    <w:tr2bl w:val="nil"/>
                  </w:tcBorders>
                  <w:vAlign w:val="center"/>
                </w:tcPr>
                <w:p w14:paraId="098779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主体工程</w:t>
                  </w:r>
                </w:p>
              </w:tc>
              <w:tc>
                <w:tcPr>
                  <w:tcW w:w="1109" w:type="pct"/>
                  <w:gridSpan w:val="2"/>
                  <w:tcBorders>
                    <w:tl2br w:val="nil"/>
                    <w:tr2bl w:val="nil"/>
                  </w:tcBorders>
                  <w:vAlign w:val="center"/>
                </w:tcPr>
                <w:p w14:paraId="27474F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一层（前段工序）</w:t>
                  </w:r>
                </w:p>
              </w:tc>
              <w:tc>
                <w:tcPr>
                  <w:tcW w:w="2826" w:type="pct"/>
                  <w:tcBorders>
                    <w:tl2br w:val="nil"/>
                    <w:tr2bl w:val="nil"/>
                  </w:tcBorders>
                  <w:vAlign w:val="center"/>
                </w:tcPr>
                <w:p w14:paraId="4B5088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716608" behindDoc="0" locked="0" layoutInCell="1" allowOverlap="1">
                            <wp:simplePos x="0" y="0"/>
                            <wp:positionH relativeFrom="column">
                              <wp:posOffset>93980</wp:posOffset>
                            </wp:positionH>
                            <wp:positionV relativeFrom="paragraph">
                              <wp:posOffset>24765</wp:posOffset>
                            </wp:positionV>
                            <wp:extent cx="2820035" cy="3057525"/>
                            <wp:effectExtent l="6350" t="6350" r="12065" b="22225"/>
                            <wp:wrapNone/>
                            <wp:docPr id="95" name="矩形 95"/>
                            <wp:cNvGraphicFramePr/>
                            <a:graphic xmlns:a="http://schemas.openxmlformats.org/drawingml/2006/main">
                              <a:graphicData uri="http://schemas.microsoft.com/office/word/2010/wordprocessingShape">
                                <wps:wsp>
                                  <wps:cNvSpPr/>
                                  <wps:spPr>
                                    <a:xfrm>
                                      <a:off x="0" y="0"/>
                                      <a:ext cx="2820035" cy="30575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pt;margin-top:1.95pt;height:240.75pt;width:222.05pt;z-index:251716608;v-text-anchor:middle;mso-width-relative:page;mso-height-relative:page;" fillcolor="#FFFFFF [3212]" filled="t" stroked="t" coordsize="21600,21600" o:gfxdata="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N8vHdYAAAAIAQAADwAAAAAAAAABACAAAAAiAAAAZHJzL2Rvd25yZXYu&#10;eG1sUEsBAhQAFAAAAAgAh07iQKmkwNlvAgAA9wQAAA4AAAAAAAAAAQAgAAAAJQEAAGRycy9lMm9E&#10;b2MueG1sUEsFBgAAAAAGAAYAWQEAAAYGAAAAAA==&#10;">
                            <v:fill on="t" focussize="0,0"/>
                            <v:stroke weight="1pt" color="#FFFFFF [3212]" miterlimit="8" joinstyle="miter"/>
                            <v:imagedata o:title=""/>
                            <o:lock v:ext="edit" aspectratio="f"/>
                          </v:rect>
                        </w:pict>
                      </mc:Fallback>
                    </mc:AlternateContent>
                  </w:r>
                  <w:r>
                    <w:rPr>
                      <w:rFonts w:hint="eastAsia" w:cs="Times New Roman"/>
                      <w:color w:val="000000" w:themeColor="text1"/>
                      <w:sz w:val="21"/>
                      <w:szCs w:val="21"/>
                      <w:highlight w:val="none"/>
                      <w:vertAlign w:val="baseline"/>
                      <w:lang w:val="en-US" w:eastAsia="zh-CN"/>
                      <w14:textFill>
                        <w14:solidFill>
                          <w14:schemeClr w14:val="tx1"/>
                        </w14:solidFill>
                      </w14:textFill>
                    </w:rPr>
                    <w:t>购置电阻炉、压铸机及周边辅助设备</w:t>
                  </w:r>
                </w:p>
              </w:tc>
              <w:tc>
                <w:tcPr>
                  <w:tcW w:w="649" w:type="pct"/>
                  <w:tcBorders>
                    <w:tl2br w:val="nil"/>
                    <w:tr2bl w:val="nil"/>
                  </w:tcBorders>
                  <w:vAlign w:val="center"/>
                </w:tcPr>
                <w:p w14:paraId="343A2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6126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14" w:type="pct"/>
                  <w:vMerge w:val="continue"/>
                  <w:tcBorders>
                    <w:tl2br w:val="nil"/>
                    <w:tr2bl w:val="nil"/>
                  </w:tcBorders>
                  <w:vAlign w:val="center"/>
                </w:tcPr>
                <w:p w14:paraId="47EC8B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09" w:type="pct"/>
                  <w:gridSpan w:val="2"/>
                  <w:tcBorders>
                    <w:tl2br w:val="nil"/>
                    <w:tr2bl w:val="nil"/>
                  </w:tcBorders>
                  <w:vAlign w:val="center"/>
                </w:tcPr>
                <w:p w14:paraId="5520A6A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二层（后段工序）</w:t>
                  </w:r>
                </w:p>
              </w:tc>
              <w:tc>
                <w:tcPr>
                  <w:tcW w:w="2826" w:type="pct"/>
                  <w:tcBorders>
                    <w:tl2br w:val="nil"/>
                    <w:tr2bl w:val="nil"/>
                  </w:tcBorders>
                  <w:vAlign w:val="center"/>
                </w:tcPr>
                <w:p w14:paraId="0F0F273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购置抛光机、打磨机、钻孔机、攻牙机等设备，建设五金配件生产线</w:t>
                  </w:r>
                </w:p>
              </w:tc>
              <w:tc>
                <w:tcPr>
                  <w:tcW w:w="649" w:type="pct"/>
                  <w:tcBorders>
                    <w:tl2br w:val="nil"/>
                    <w:tr2bl w:val="nil"/>
                  </w:tcBorders>
                  <w:vAlign w:val="center"/>
                </w:tcPr>
                <w:p w14:paraId="4F63EF0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01DC8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14" w:type="pct"/>
                  <w:vMerge w:val="restart"/>
                  <w:tcBorders>
                    <w:tl2br w:val="nil"/>
                    <w:tr2bl w:val="nil"/>
                  </w:tcBorders>
                  <w:vAlign w:val="center"/>
                </w:tcPr>
                <w:p w14:paraId="305CC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辅助工程</w:t>
                  </w:r>
                </w:p>
              </w:tc>
              <w:tc>
                <w:tcPr>
                  <w:tcW w:w="1109" w:type="pct"/>
                  <w:gridSpan w:val="2"/>
                  <w:tcBorders>
                    <w:tl2br w:val="nil"/>
                    <w:tr2bl w:val="nil"/>
                  </w:tcBorders>
                  <w:vAlign w:val="center"/>
                </w:tcPr>
                <w:p w14:paraId="2B03628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成品区</w:t>
                  </w:r>
                </w:p>
              </w:tc>
              <w:tc>
                <w:tcPr>
                  <w:tcW w:w="2826" w:type="pct"/>
                  <w:tcBorders>
                    <w:tl2br w:val="nil"/>
                    <w:tr2bl w:val="nil"/>
                  </w:tcBorders>
                  <w:vAlign w:val="center"/>
                </w:tcPr>
                <w:p w14:paraId="5C8931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位于厂房3层西侧，用于成品堆放</w:t>
                  </w:r>
                </w:p>
              </w:tc>
              <w:tc>
                <w:tcPr>
                  <w:tcW w:w="649" w:type="pct"/>
                  <w:vMerge w:val="restart"/>
                  <w:tcBorders>
                    <w:tl2br w:val="nil"/>
                    <w:tr2bl w:val="nil"/>
                  </w:tcBorders>
                  <w:vAlign w:val="center"/>
                </w:tcPr>
                <w:p w14:paraId="7A6B69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依托已建厂房</w:t>
                  </w:r>
                </w:p>
              </w:tc>
            </w:tr>
            <w:tr w14:paraId="5A1A9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414" w:type="pct"/>
                  <w:vMerge w:val="continue"/>
                  <w:tcBorders>
                    <w:tl2br w:val="nil"/>
                    <w:tr2bl w:val="nil"/>
                  </w:tcBorders>
                  <w:vAlign w:val="center"/>
                </w:tcPr>
                <w:p w14:paraId="758FF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09" w:type="pct"/>
                  <w:gridSpan w:val="2"/>
                  <w:tcBorders>
                    <w:tl2br w:val="nil"/>
                    <w:tr2bl w:val="nil"/>
                  </w:tcBorders>
                  <w:vAlign w:val="center"/>
                </w:tcPr>
                <w:p w14:paraId="04E230B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原辅料区</w:t>
                  </w:r>
                </w:p>
              </w:tc>
              <w:tc>
                <w:tcPr>
                  <w:tcW w:w="2826" w:type="pct"/>
                  <w:tcBorders>
                    <w:tl2br w:val="nil"/>
                    <w:tr2bl w:val="nil"/>
                  </w:tcBorders>
                  <w:vAlign w:val="center"/>
                </w:tcPr>
                <w:p w14:paraId="20D813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位于厂房3层东侧，用于原辅料堆放</w:t>
                  </w:r>
                </w:p>
              </w:tc>
              <w:tc>
                <w:tcPr>
                  <w:tcW w:w="649" w:type="pct"/>
                  <w:vMerge w:val="continue"/>
                  <w:tcBorders>
                    <w:tl2br w:val="nil"/>
                    <w:tr2bl w:val="nil"/>
                  </w:tcBorders>
                  <w:vAlign w:val="center"/>
                </w:tcPr>
                <w:p w14:paraId="701DFCA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62A38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14" w:type="pct"/>
                  <w:vMerge w:val="continue"/>
                  <w:tcBorders>
                    <w:tl2br w:val="nil"/>
                    <w:tr2bl w:val="nil"/>
                  </w:tcBorders>
                  <w:vAlign w:val="center"/>
                </w:tcPr>
                <w:p w14:paraId="04318AE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09" w:type="pct"/>
                  <w:gridSpan w:val="2"/>
                  <w:tcBorders>
                    <w:tl2br w:val="nil"/>
                    <w:tr2bl w:val="nil"/>
                  </w:tcBorders>
                  <w:vAlign w:val="center"/>
                </w:tcPr>
                <w:p w14:paraId="16A3530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冷却塔</w:t>
                  </w:r>
                </w:p>
              </w:tc>
              <w:tc>
                <w:tcPr>
                  <w:tcW w:w="2826" w:type="pct"/>
                  <w:tcBorders>
                    <w:tl2br w:val="nil"/>
                    <w:tr2bl w:val="nil"/>
                  </w:tcBorders>
                  <w:vAlign w:val="center"/>
                </w:tcPr>
                <w:p w14:paraId="2F31B42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一层生产车间</w:t>
                  </w:r>
                </w:p>
              </w:tc>
              <w:tc>
                <w:tcPr>
                  <w:tcW w:w="649" w:type="pct"/>
                  <w:tcBorders>
                    <w:tl2br w:val="nil"/>
                    <w:tr2bl w:val="nil"/>
                  </w:tcBorders>
                  <w:vAlign w:val="center"/>
                </w:tcPr>
                <w:p w14:paraId="289A717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本次新建</w:t>
                  </w:r>
                </w:p>
              </w:tc>
            </w:tr>
            <w:tr w14:paraId="6073C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continue"/>
                  <w:tcBorders>
                    <w:tl2br w:val="nil"/>
                    <w:tr2bl w:val="nil"/>
                  </w:tcBorders>
                  <w:vAlign w:val="center"/>
                </w:tcPr>
                <w:p w14:paraId="7025B9E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09" w:type="pct"/>
                  <w:gridSpan w:val="2"/>
                  <w:tcBorders>
                    <w:tl2br w:val="nil"/>
                    <w:tr2bl w:val="nil"/>
                  </w:tcBorders>
                  <w:vAlign w:val="center"/>
                </w:tcPr>
                <w:p w14:paraId="0C32EC9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活性炭吸附装置</w:t>
                  </w:r>
                </w:p>
              </w:tc>
              <w:tc>
                <w:tcPr>
                  <w:tcW w:w="2826" w:type="pct"/>
                  <w:tcBorders>
                    <w:tl2br w:val="nil"/>
                    <w:tr2bl w:val="nil"/>
                  </w:tcBorders>
                  <w:vAlign w:val="center"/>
                </w:tcPr>
                <w:p w14:paraId="0D04DC5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安装于三层楼顶并设置配套风机</w:t>
                  </w:r>
                </w:p>
              </w:tc>
              <w:tc>
                <w:tcPr>
                  <w:tcW w:w="649" w:type="pct"/>
                  <w:tcBorders>
                    <w:tl2br w:val="nil"/>
                    <w:tr2bl w:val="nil"/>
                  </w:tcBorders>
                  <w:vAlign w:val="center"/>
                </w:tcPr>
                <w:p w14:paraId="07D16A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本次新建</w:t>
                  </w:r>
                </w:p>
              </w:tc>
            </w:tr>
            <w:tr w14:paraId="6370E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14" w:type="pct"/>
                  <w:vMerge w:val="continue"/>
                  <w:tcBorders>
                    <w:tl2br w:val="nil"/>
                    <w:tr2bl w:val="nil"/>
                  </w:tcBorders>
                  <w:vAlign w:val="center"/>
                </w:tcPr>
                <w:p w14:paraId="13A5AF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09" w:type="pct"/>
                  <w:gridSpan w:val="2"/>
                  <w:tcBorders>
                    <w:tl2br w:val="nil"/>
                    <w:tr2bl w:val="nil"/>
                  </w:tcBorders>
                  <w:vAlign w:val="center"/>
                </w:tcPr>
                <w:p w14:paraId="5CC092B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布袋除尘器</w:t>
                  </w:r>
                </w:p>
              </w:tc>
              <w:tc>
                <w:tcPr>
                  <w:tcW w:w="2826" w:type="pct"/>
                  <w:tcBorders>
                    <w:tl2br w:val="nil"/>
                    <w:tr2bl w:val="nil"/>
                  </w:tcBorders>
                  <w:vAlign w:val="center"/>
                </w:tcPr>
                <w:p w14:paraId="37FF52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一层熔融压铸生产车间内，产生废气经布袋除尘器处理后接入三层楼顶的活性炭吸附装置处理后排放</w:t>
                  </w:r>
                </w:p>
              </w:tc>
              <w:tc>
                <w:tcPr>
                  <w:tcW w:w="649" w:type="pct"/>
                  <w:tcBorders>
                    <w:tl2br w:val="nil"/>
                    <w:tr2bl w:val="nil"/>
                  </w:tcBorders>
                  <w:shd w:val="clear" w:color="auto" w:fill="auto"/>
                  <w:vAlign w:val="center"/>
                </w:tcPr>
                <w:p w14:paraId="31EFFC3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本次新建</w:t>
                  </w:r>
                </w:p>
              </w:tc>
            </w:tr>
            <w:tr w14:paraId="1828A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Merge w:val="continue"/>
                  <w:tcBorders>
                    <w:tl2br w:val="nil"/>
                    <w:tr2bl w:val="nil"/>
                  </w:tcBorders>
                  <w:vAlign w:val="center"/>
                </w:tcPr>
                <w:p w14:paraId="204DA83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09" w:type="pct"/>
                  <w:gridSpan w:val="2"/>
                  <w:tcBorders>
                    <w:tl2br w:val="nil"/>
                    <w:tr2bl w:val="nil"/>
                  </w:tcBorders>
                  <w:vAlign w:val="center"/>
                </w:tcPr>
                <w:p w14:paraId="6402C5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循环水处理设施</w:t>
                  </w:r>
                </w:p>
              </w:tc>
              <w:tc>
                <w:tcPr>
                  <w:tcW w:w="2826" w:type="pct"/>
                  <w:tcBorders>
                    <w:tl2br w:val="nil"/>
                    <w:tr2bl w:val="nil"/>
                  </w:tcBorders>
                  <w:vAlign w:val="center"/>
                </w:tcPr>
                <w:p w14:paraId="4916B29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一层生产车间内</w:t>
                  </w:r>
                </w:p>
              </w:tc>
              <w:tc>
                <w:tcPr>
                  <w:tcW w:w="649" w:type="pct"/>
                  <w:tcBorders>
                    <w:tl2br w:val="nil"/>
                    <w:tr2bl w:val="nil"/>
                  </w:tcBorders>
                  <w:shd w:val="clear" w:color="auto" w:fill="auto"/>
                  <w:vAlign w:val="center"/>
                </w:tcPr>
                <w:p w14:paraId="35B9AED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本次新建</w:t>
                  </w:r>
                </w:p>
              </w:tc>
            </w:tr>
            <w:tr w14:paraId="34E5D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 w:type="pct"/>
                  <w:vMerge w:val="continue"/>
                  <w:tcBorders>
                    <w:tl2br w:val="nil"/>
                    <w:tr2bl w:val="nil"/>
                  </w:tcBorders>
                  <w:vAlign w:val="center"/>
                </w:tcPr>
                <w:p w14:paraId="5100496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09" w:type="pct"/>
                  <w:gridSpan w:val="2"/>
                  <w:tcBorders>
                    <w:tl2br w:val="nil"/>
                    <w:tr2bl w:val="nil"/>
                  </w:tcBorders>
                  <w:vAlign w:val="center"/>
                </w:tcPr>
                <w:p w14:paraId="3BC34B0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废切削液回收装置</w:t>
                  </w:r>
                </w:p>
              </w:tc>
              <w:tc>
                <w:tcPr>
                  <w:tcW w:w="2826" w:type="pct"/>
                  <w:tcBorders>
                    <w:tl2br w:val="nil"/>
                    <w:tr2bl w:val="nil"/>
                  </w:tcBorders>
                  <w:shd w:val="clear" w:color="auto" w:fill="auto"/>
                  <w:vAlign w:val="center"/>
                </w:tcPr>
                <w:p w14:paraId="3B218D9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一层生产车间内</w:t>
                  </w:r>
                </w:p>
              </w:tc>
              <w:tc>
                <w:tcPr>
                  <w:tcW w:w="649" w:type="pct"/>
                  <w:tcBorders>
                    <w:tl2br w:val="nil"/>
                    <w:tr2bl w:val="nil"/>
                  </w:tcBorders>
                  <w:shd w:val="clear" w:color="auto" w:fill="auto"/>
                  <w:vAlign w:val="center"/>
                </w:tcPr>
                <w:p w14:paraId="058FDD0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本次新建</w:t>
                  </w:r>
                </w:p>
              </w:tc>
            </w:tr>
            <w:tr w14:paraId="719CB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14" w:type="pct"/>
                  <w:vMerge w:val="restart"/>
                  <w:tcBorders>
                    <w:tl2br w:val="nil"/>
                    <w:tr2bl w:val="nil"/>
                  </w:tcBorders>
                  <w:vAlign w:val="center"/>
                </w:tcPr>
                <w:p w14:paraId="0426A1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公用工程</w:t>
                  </w:r>
                </w:p>
              </w:tc>
              <w:tc>
                <w:tcPr>
                  <w:tcW w:w="1109" w:type="pct"/>
                  <w:gridSpan w:val="2"/>
                  <w:tcBorders>
                    <w:tl2br w:val="nil"/>
                    <w:tr2bl w:val="nil"/>
                  </w:tcBorders>
                  <w:shd w:val="clear" w:color="auto" w:fill="auto"/>
                  <w:vAlign w:val="center"/>
                </w:tcPr>
                <w:p w14:paraId="49021727">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供水</w:t>
                  </w:r>
                </w:p>
              </w:tc>
              <w:tc>
                <w:tcPr>
                  <w:tcW w:w="2826" w:type="pct"/>
                  <w:tcBorders>
                    <w:tl2br w:val="nil"/>
                    <w:tr2bl w:val="nil"/>
                  </w:tcBorders>
                  <w:vAlign w:val="center"/>
                </w:tcPr>
                <w:p w14:paraId="78DF3D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717632" behindDoc="0" locked="0" layoutInCell="1" allowOverlap="1">
                            <wp:simplePos x="0" y="0"/>
                            <wp:positionH relativeFrom="column">
                              <wp:posOffset>-14605</wp:posOffset>
                            </wp:positionH>
                            <wp:positionV relativeFrom="paragraph">
                              <wp:posOffset>-55245</wp:posOffset>
                            </wp:positionV>
                            <wp:extent cx="2981960" cy="6496050"/>
                            <wp:effectExtent l="6350" t="6350" r="21590" b="12700"/>
                            <wp:wrapNone/>
                            <wp:docPr id="96" name="矩形 96"/>
                            <wp:cNvGraphicFramePr/>
                            <a:graphic xmlns:a="http://schemas.openxmlformats.org/drawingml/2006/main">
                              <a:graphicData uri="http://schemas.microsoft.com/office/word/2010/wordprocessingShape">
                                <wps:wsp>
                                  <wps:cNvSpPr/>
                                  <wps:spPr>
                                    <a:xfrm>
                                      <a:off x="0" y="0"/>
                                      <a:ext cx="2981960" cy="64960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4.35pt;height:511.5pt;width:234.8pt;z-index:251717632;v-text-anchor:middle;mso-width-relative:page;mso-height-relative:page;" fillcolor="#FFFFFF [3212]" filled="t" stroked="t" coordsize="21600,21600" o:gfxdata="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9GbFNgAAAAKAQAADwAAAAAAAAABACAAAAAiAAAAZHJzL2Rvd25yZXYu&#10;eG1sUEsBAhQAFAAAAAgAh07iQJPFQFRtAgAA9wQAAA4AAAAAAAAAAQAgAAAAJwEAAGRycy9lMm9E&#10;b2MueG1sUEsFBgAAAAAGAAYAWQEAAAYGAAAAAA==&#10;">
                            <v:fill on="t" focussize="0,0"/>
                            <v:stroke weight="1pt" color="#FFFFFF [3212]" miterlimit="8" joinstyle="miter"/>
                            <v:imagedata o:title=""/>
                            <o:lock v:ext="edit" aspectratio="f"/>
                          </v:rect>
                        </w:pict>
                      </mc:Fallback>
                    </mc:AlternateContent>
                  </w:r>
                  <w:r>
                    <w:rPr>
                      <w:rFonts w:hint="eastAsia"/>
                      <w:color w:val="000000" w:themeColor="text1"/>
                      <w:szCs w:val="21"/>
                      <w:highlight w:val="none"/>
                      <w14:textFill>
                        <w14:solidFill>
                          <w14:schemeClr w14:val="tx1"/>
                        </w14:solidFill>
                      </w14:textFill>
                    </w:rPr>
                    <w:t>项目生产生活用水由市政生活用水管网直接供给</w:t>
                  </w:r>
                </w:p>
              </w:tc>
              <w:tc>
                <w:tcPr>
                  <w:tcW w:w="649" w:type="pct"/>
                  <w:tcBorders>
                    <w:tl2br w:val="nil"/>
                    <w:tr2bl w:val="nil"/>
                  </w:tcBorders>
                  <w:vAlign w:val="center"/>
                </w:tcPr>
                <w:p w14:paraId="2D6E67A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587B9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Merge w:val="continue"/>
                  <w:tcBorders>
                    <w:tl2br w:val="nil"/>
                    <w:tr2bl w:val="nil"/>
                  </w:tcBorders>
                  <w:vAlign w:val="center"/>
                </w:tcPr>
                <w:p w14:paraId="19634C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09" w:type="pct"/>
                  <w:gridSpan w:val="2"/>
                  <w:tcBorders>
                    <w:tl2br w:val="nil"/>
                    <w:tr2bl w:val="nil"/>
                  </w:tcBorders>
                  <w:shd w:val="clear" w:color="auto" w:fill="auto"/>
                  <w:vAlign w:val="center"/>
                </w:tcPr>
                <w:p w14:paraId="39282D1C">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排水</w:t>
                  </w:r>
                </w:p>
              </w:tc>
              <w:tc>
                <w:tcPr>
                  <w:tcW w:w="2826" w:type="pct"/>
                  <w:tcBorders>
                    <w:tl2br w:val="nil"/>
                    <w:tr2bl w:val="nil"/>
                  </w:tcBorders>
                  <w:vAlign w:val="center"/>
                </w:tcPr>
                <w:p w14:paraId="3C03B7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项目采用“雨污分流、清污分流”，生产过程中</w:t>
                  </w:r>
                  <w:r>
                    <w:rPr>
                      <w:rFonts w:hint="eastAsia" w:cs="Times New Roman"/>
                      <w:color w:val="auto"/>
                      <w:sz w:val="21"/>
                      <w:szCs w:val="21"/>
                      <w:u w:val="none"/>
                      <w:vertAlign w:val="baseline"/>
                      <w:lang w:val="en-US" w:eastAsia="zh-CN"/>
                    </w:rPr>
                    <w:t>生产废水为压铸机间接冷却水经冷却塔冷却后循环使用，产品水洗产生废水、研磨冷却水经循环水处理设备处理后循环使用。因此，本项目无生产废水排放。</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职工生活污水经园区内已建化粪池处理后，接入市政污水管网，纳入福清融元污水处理厂统一处理，尾水排入龙江。</w:t>
                  </w:r>
                </w:p>
              </w:tc>
              <w:tc>
                <w:tcPr>
                  <w:tcW w:w="649" w:type="pct"/>
                  <w:tcBorders>
                    <w:tl2br w:val="nil"/>
                    <w:tr2bl w:val="nil"/>
                  </w:tcBorders>
                  <w:shd w:val="clear" w:color="auto" w:fill="auto"/>
                  <w:vAlign w:val="center"/>
                </w:tcPr>
                <w:p w14:paraId="2871D72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3AFA4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14" w:type="pct"/>
                  <w:vMerge w:val="continue"/>
                  <w:tcBorders>
                    <w:tl2br w:val="nil"/>
                    <w:tr2bl w:val="nil"/>
                  </w:tcBorders>
                  <w:vAlign w:val="center"/>
                </w:tcPr>
                <w:p w14:paraId="5511B0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09" w:type="pct"/>
                  <w:gridSpan w:val="2"/>
                  <w:tcBorders>
                    <w:tl2br w:val="nil"/>
                    <w:tr2bl w:val="nil"/>
                  </w:tcBorders>
                  <w:shd w:val="clear" w:color="auto" w:fill="auto"/>
                  <w:vAlign w:val="center"/>
                </w:tcPr>
                <w:p w14:paraId="4A041062">
                  <w:pPr>
                    <w:snapToGrid w:val="0"/>
                    <w:spacing w:line="240" w:lineRule="atLeast"/>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供电</w:t>
                  </w:r>
                </w:p>
              </w:tc>
              <w:tc>
                <w:tcPr>
                  <w:tcW w:w="2826" w:type="pct"/>
                  <w:tcBorders>
                    <w:tl2br w:val="nil"/>
                    <w:tr2bl w:val="nil"/>
                  </w:tcBorders>
                  <w:vAlign w:val="center"/>
                </w:tcPr>
                <w:p w14:paraId="3E0217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接市政供电系统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依托厂区内现有的供电系统</w:t>
                  </w:r>
                </w:p>
              </w:tc>
              <w:tc>
                <w:tcPr>
                  <w:tcW w:w="649" w:type="pct"/>
                  <w:tcBorders>
                    <w:tl2br w:val="nil"/>
                    <w:tr2bl w:val="nil"/>
                  </w:tcBorders>
                  <w:vAlign w:val="center"/>
                </w:tcPr>
                <w:p w14:paraId="61588D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26520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414" w:type="pct"/>
                  <w:vMerge w:val="restart"/>
                  <w:tcBorders>
                    <w:tl2br w:val="nil"/>
                    <w:tr2bl w:val="nil"/>
                  </w:tcBorders>
                  <w:vAlign w:val="center"/>
                </w:tcPr>
                <w:p w14:paraId="625B72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环保工程</w:t>
                  </w:r>
                </w:p>
              </w:tc>
              <w:tc>
                <w:tcPr>
                  <w:tcW w:w="1109" w:type="pct"/>
                  <w:gridSpan w:val="2"/>
                  <w:tcBorders>
                    <w:tl2br w:val="nil"/>
                    <w:tr2bl w:val="nil"/>
                  </w:tcBorders>
                  <w:vAlign w:val="center"/>
                </w:tcPr>
                <w:p w14:paraId="6DFC32D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废水治理</w:t>
                  </w:r>
                </w:p>
              </w:tc>
              <w:tc>
                <w:tcPr>
                  <w:tcW w:w="2826" w:type="pct"/>
                  <w:tcBorders>
                    <w:tl2br w:val="nil"/>
                    <w:tr2bl w:val="nil"/>
                  </w:tcBorders>
                  <w:vAlign w:val="center"/>
                </w:tcPr>
                <w:p w14:paraId="4BFD9C2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auto"/>
                      <w:sz w:val="21"/>
                      <w:szCs w:val="21"/>
                      <w:u w:val="none"/>
                      <w:vertAlign w:val="baseline"/>
                      <w:lang w:val="en-US" w:eastAsia="zh-CN"/>
                    </w:rPr>
                    <w:t>产品水洗产生废水、研磨冷却水经循环水处理设备处理后循环使用。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职工生活污水经园区内已建化粪池处理后，接入市政污水管网，纳入福清融元污水处理厂统一处理，尾水排入龙江。</w:t>
                  </w:r>
                </w:p>
              </w:tc>
              <w:tc>
                <w:tcPr>
                  <w:tcW w:w="649" w:type="pct"/>
                  <w:tcBorders>
                    <w:tl2br w:val="nil"/>
                    <w:tr2bl w:val="nil"/>
                  </w:tcBorders>
                  <w:vAlign w:val="center"/>
                </w:tcPr>
                <w:p w14:paraId="73B010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依托现有化粪池</w:t>
                  </w:r>
                </w:p>
              </w:tc>
            </w:tr>
            <w:tr w14:paraId="065F2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414" w:type="pct"/>
                  <w:vMerge w:val="continue"/>
                  <w:tcBorders>
                    <w:tl2br w:val="nil"/>
                    <w:tr2bl w:val="nil"/>
                  </w:tcBorders>
                  <w:vAlign w:val="center"/>
                </w:tcPr>
                <w:p w14:paraId="389D17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tcBorders>
                    <w:tl2br w:val="nil"/>
                    <w:tr2bl w:val="nil"/>
                  </w:tcBorders>
                  <w:vAlign w:val="center"/>
                </w:tcPr>
                <w:p w14:paraId="046F05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废气治理</w:t>
                  </w:r>
                </w:p>
              </w:tc>
              <w:tc>
                <w:tcPr>
                  <w:tcW w:w="862" w:type="pct"/>
                  <w:tcBorders>
                    <w:tl2br w:val="nil"/>
                    <w:tr2bl w:val="nil"/>
                  </w:tcBorders>
                  <w:vAlign w:val="center"/>
                </w:tcPr>
                <w:p w14:paraId="707845E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VOCs、颗粒物</w:t>
                  </w:r>
                </w:p>
              </w:tc>
              <w:tc>
                <w:tcPr>
                  <w:tcW w:w="2826" w:type="pct"/>
                  <w:tcBorders>
                    <w:tl2br w:val="nil"/>
                    <w:tr2bl w:val="nil"/>
                  </w:tcBorders>
                  <w:vAlign w:val="center"/>
                </w:tcPr>
                <w:p w14:paraId="050306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熔融、压铸脱模生产废气</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通过集气罩收集后由一套“</w:t>
                  </w:r>
                  <w:r>
                    <w:rPr>
                      <w:rFonts w:hint="eastAsia" w:cs="Times New Roman"/>
                      <w:color w:val="000000" w:themeColor="text1"/>
                      <w:sz w:val="21"/>
                      <w:szCs w:val="21"/>
                      <w:highlight w:val="none"/>
                      <w:vertAlign w:val="baseline"/>
                      <w:lang w:val="en-US" w:eastAsia="zh-CN"/>
                      <w14:textFill>
                        <w14:solidFill>
                          <w14:schemeClr w14:val="tx1"/>
                        </w14:solidFill>
                      </w14:textFill>
                    </w:rPr>
                    <w:t>布袋除尘器+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活性炭吸附装置”处理后，通过1根15</w:t>
                  </w:r>
                  <w:r>
                    <w:rPr>
                      <w:rFonts w:hint="eastAsia"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排气筒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w:t>
                  </w:r>
                  <w:r>
                    <w:rPr>
                      <w:rFonts w:hint="eastAsia"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w:t>
                  </w:r>
                </w:p>
              </w:tc>
              <w:tc>
                <w:tcPr>
                  <w:tcW w:w="649" w:type="pct"/>
                  <w:tcBorders>
                    <w:tl2br w:val="nil"/>
                    <w:tr2bl w:val="nil"/>
                  </w:tcBorders>
                  <w:vAlign w:val="center"/>
                </w:tcPr>
                <w:p w14:paraId="1F0301A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0AF0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14" w:type="pct"/>
                  <w:vMerge w:val="continue"/>
                  <w:tcBorders>
                    <w:tl2br w:val="nil"/>
                    <w:tr2bl w:val="nil"/>
                  </w:tcBorders>
                  <w:vAlign w:val="center"/>
                </w:tcPr>
                <w:p w14:paraId="796396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09" w:type="pct"/>
                  <w:gridSpan w:val="2"/>
                  <w:tcBorders>
                    <w:tl2br w:val="nil"/>
                    <w:tr2bl w:val="nil"/>
                  </w:tcBorders>
                  <w:vAlign w:val="center"/>
                </w:tcPr>
                <w:p w14:paraId="5A44EB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噪声治理</w:t>
                  </w:r>
                </w:p>
              </w:tc>
              <w:tc>
                <w:tcPr>
                  <w:tcW w:w="2826" w:type="pct"/>
                  <w:tcBorders>
                    <w:tl2br w:val="nil"/>
                    <w:tr2bl w:val="nil"/>
                  </w:tcBorders>
                  <w:vAlign w:val="center"/>
                </w:tcPr>
                <w:p w14:paraId="4109FC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选用低噪声设备，加强设备的维护管理；对高噪声设备进行基础减振、通过厂房墙体隔</w:t>
                  </w:r>
                </w:p>
              </w:tc>
              <w:tc>
                <w:tcPr>
                  <w:tcW w:w="649" w:type="pct"/>
                  <w:tcBorders>
                    <w:tl2br w:val="nil"/>
                    <w:tr2bl w:val="nil"/>
                  </w:tcBorders>
                  <w:vAlign w:val="center"/>
                </w:tcPr>
                <w:p w14:paraId="5D66AF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2B0A6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414" w:type="pct"/>
                  <w:vMerge w:val="continue"/>
                  <w:tcBorders>
                    <w:tl2br w:val="nil"/>
                    <w:tr2bl w:val="nil"/>
                  </w:tcBorders>
                  <w:vAlign w:val="center"/>
                </w:tcPr>
                <w:p w14:paraId="083003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vMerge w:val="restart"/>
                  <w:tcBorders>
                    <w:tl2br w:val="nil"/>
                    <w:tr2bl w:val="nil"/>
                  </w:tcBorders>
                  <w:vAlign w:val="center"/>
                </w:tcPr>
                <w:p w14:paraId="151A8A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固废治理</w:t>
                  </w:r>
                </w:p>
              </w:tc>
              <w:tc>
                <w:tcPr>
                  <w:tcW w:w="862" w:type="pct"/>
                  <w:tcBorders>
                    <w:tl2br w:val="nil"/>
                    <w:tr2bl w:val="nil"/>
                  </w:tcBorders>
                  <w:vAlign w:val="center"/>
                </w:tcPr>
                <w:p w14:paraId="1A0A379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生活垃圾</w:t>
                  </w:r>
                </w:p>
              </w:tc>
              <w:tc>
                <w:tcPr>
                  <w:tcW w:w="2826" w:type="pct"/>
                  <w:tcBorders>
                    <w:tl2br w:val="nil"/>
                    <w:tr2bl w:val="nil"/>
                  </w:tcBorders>
                  <w:vAlign w:val="center"/>
                </w:tcPr>
                <w:p w14:paraId="5BFC86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GB" w:eastAsia="zh-CN"/>
                      <w14:textFill>
                        <w14:solidFill>
                          <w14:schemeClr w14:val="tx1"/>
                        </w14:solidFill>
                      </w14:textFill>
                    </w:rPr>
                    <w:t>厂区内设置生活垃圾桶，分类收集后委托环卫部门每日清运处置</w:t>
                  </w:r>
                </w:p>
              </w:tc>
              <w:tc>
                <w:tcPr>
                  <w:tcW w:w="649" w:type="pct"/>
                  <w:tcBorders>
                    <w:tl2br w:val="nil"/>
                    <w:tr2bl w:val="nil"/>
                  </w:tcBorders>
                  <w:vAlign w:val="center"/>
                </w:tcPr>
                <w:p w14:paraId="590D42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依托现有</w:t>
                  </w:r>
                </w:p>
              </w:tc>
            </w:tr>
            <w:tr w14:paraId="6932E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414" w:type="pct"/>
                  <w:vMerge w:val="continue"/>
                  <w:tcBorders>
                    <w:tl2br w:val="nil"/>
                    <w:tr2bl w:val="nil"/>
                  </w:tcBorders>
                  <w:vAlign w:val="center"/>
                </w:tcPr>
                <w:p w14:paraId="07A92A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vMerge w:val="continue"/>
                  <w:tcBorders>
                    <w:tl2br w:val="nil"/>
                    <w:tr2bl w:val="nil"/>
                  </w:tcBorders>
                  <w:vAlign w:val="center"/>
                </w:tcPr>
                <w:p w14:paraId="4774EEC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862" w:type="pct"/>
                  <w:tcBorders>
                    <w:tl2br w:val="nil"/>
                    <w:tr2bl w:val="nil"/>
                  </w:tcBorders>
                  <w:vAlign w:val="center"/>
                </w:tcPr>
                <w:p w14:paraId="5BC95DE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一般固体废物</w:t>
                  </w:r>
                </w:p>
              </w:tc>
              <w:tc>
                <w:tcPr>
                  <w:tcW w:w="2826" w:type="pct"/>
                  <w:tcBorders>
                    <w:tl2br w:val="nil"/>
                    <w:tr2bl w:val="nil"/>
                  </w:tcBorders>
                  <w:vAlign w:val="center"/>
                </w:tcPr>
                <w:p w14:paraId="7471A25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highlight w:val="none"/>
                      <w:lang w:val="en-US" w:eastAsia="zh-CN"/>
                    </w:rPr>
                    <w:t>设一般工业固废暂存间，妥善分类收集</w:t>
                  </w:r>
                  <w:r>
                    <w:rPr>
                      <w:rFonts w:hint="eastAsia" w:cs="Times New Roman"/>
                      <w:color w:val="auto"/>
                      <w:highlight w:val="none"/>
                      <w:lang w:val="en-US" w:eastAsia="zh-CN"/>
                    </w:rPr>
                    <w:t>生产过程产生的一般固体废物。生产过程中产生的熔融炉渣（不含油）、不合格产品、边角料等收集后重新进行熔融回用于生产。</w:t>
                  </w:r>
                  <w:r>
                    <w:rPr>
                      <w:rFonts w:hint="eastAsia" w:ascii="Times New Roman" w:hAnsi="Times New Roman" w:eastAsia="宋体" w:cs="Times New Roman"/>
                      <w:color w:val="auto"/>
                      <w:highlight w:val="none"/>
                      <w:lang w:val="en-US" w:eastAsia="zh-CN"/>
                    </w:rPr>
                    <w:t>废包装材料收集后外售给废品回收公司。</w:t>
                  </w:r>
                  <w:r>
                    <w:rPr>
                      <w:rFonts w:hint="eastAsia" w:cs="Times New Roman"/>
                      <w:color w:val="auto"/>
                      <w:highlight w:val="none"/>
                      <w:lang w:val="en-US" w:eastAsia="zh-CN"/>
                    </w:rPr>
                    <w:t>布袋除尘器所收集粉尘，定期清理委托环卫部门清运</w:t>
                  </w:r>
                </w:p>
              </w:tc>
              <w:tc>
                <w:tcPr>
                  <w:tcW w:w="649" w:type="pct"/>
                  <w:tcBorders>
                    <w:tl2br w:val="nil"/>
                    <w:tr2bl w:val="nil"/>
                  </w:tcBorders>
                  <w:vAlign w:val="center"/>
                </w:tcPr>
                <w:p w14:paraId="71CB7D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r w14:paraId="1A3B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414" w:type="pct"/>
                  <w:vMerge w:val="continue"/>
                  <w:tcBorders>
                    <w:tl2br w:val="nil"/>
                    <w:tr2bl w:val="nil"/>
                  </w:tcBorders>
                  <w:vAlign w:val="center"/>
                </w:tcPr>
                <w:p w14:paraId="1C1DA2D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7" w:type="pct"/>
                  <w:vMerge w:val="continue"/>
                  <w:tcBorders>
                    <w:tl2br w:val="nil"/>
                    <w:tr2bl w:val="nil"/>
                  </w:tcBorders>
                  <w:vAlign w:val="center"/>
                </w:tcPr>
                <w:p w14:paraId="386E6E8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862" w:type="pct"/>
                  <w:tcBorders>
                    <w:tl2br w:val="nil"/>
                    <w:tr2bl w:val="nil"/>
                  </w:tcBorders>
                  <w:vAlign w:val="center"/>
                </w:tcPr>
                <w:p w14:paraId="765B699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危险废物</w:t>
                  </w:r>
                </w:p>
              </w:tc>
              <w:tc>
                <w:tcPr>
                  <w:tcW w:w="2826" w:type="pct"/>
                  <w:tcBorders>
                    <w:tl2br w:val="nil"/>
                    <w:tr2bl w:val="nil"/>
                  </w:tcBorders>
                  <w:vAlign w:val="center"/>
                </w:tcPr>
                <w:p w14:paraId="50A3255D">
                  <w:pPr>
                    <w:keepNext w:val="0"/>
                    <w:keepLines w:val="0"/>
                    <w:pageBreakBefore w:val="0"/>
                    <w:widowControl w:val="0"/>
                    <w:tabs>
                      <w:tab w:val="left" w:pos="630"/>
                    </w:tabs>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按照规范要求设置一间危险废物贮存</w:t>
                  </w:r>
                  <w:r>
                    <w:rPr>
                      <w:rFonts w:hint="eastAsia" w:cs="Times New Roman"/>
                      <w:color w:val="auto"/>
                      <w:sz w:val="21"/>
                      <w:szCs w:val="21"/>
                      <w:highlight w:val="none"/>
                      <w:vertAlign w:val="baseline"/>
                      <w:lang w:val="en-US" w:eastAsia="zh-CN"/>
                    </w:rPr>
                    <w:t>间，位于一层生产车间内，</w:t>
                  </w:r>
                  <w:r>
                    <w:rPr>
                      <w:rFonts w:hint="eastAsia" w:ascii="Times New Roman" w:hAnsi="Times New Roman" w:eastAsia="宋体" w:cs="Times New Roman"/>
                      <w:color w:val="auto"/>
                      <w:sz w:val="21"/>
                      <w:szCs w:val="21"/>
                      <w:highlight w:val="none"/>
                      <w:vertAlign w:val="baseline"/>
                      <w:lang w:val="en-US" w:eastAsia="zh-CN"/>
                    </w:rPr>
                    <w:t>面积约</w:t>
                  </w:r>
                  <w:r>
                    <w:rPr>
                      <w:rFonts w:hint="eastAsia" w:cs="Times New Roman"/>
                      <w:color w:val="auto"/>
                      <w:sz w:val="21"/>
                      <w:szCs w:val="21"/>
                      <w:highlight w:val="none"/>
                      <w:vertAlign w:val="baseline"/>
                      <w:lang w:val="en-US" w:eastAsia="zh-CN"/>
                    </w:rPr>
                    <w:t>8-10</w:t>
                  </w:r>
                  <w:r>
                    <w:rPr>
                      <w:rFonts w:hint="eastAsia" w:ascii="Times New Roman" w:hAnsi="Times New Roman" w:eastAsia="宋体"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存放</w:t>
                  </w:r>
                  <w:r>
                    <w:rPr>
                      <w:rFonts w:hint="eastAsia" w:cs="Times New Roman"/>
                      <w:color w:val="auto"/>
                      <w:sz w:val="21"/>
                      <w:szCs w:val="21"/>
                      <w:highlight w:val="none"/>
                      <w:vertAlign w:val="baseline"/>
                      <w:lang w:val="en-US" w:eastAsia="zh-CN"/>
                    </w:rPr>
                    <w:t>熔融炉渣（含油）、脱模剂废包装桶、废切削液及金属渣、</w:t>
                  </w:r>
                  <w:r>
                    <w:rPr>
                      <w:rFonts w:hint="eastAsia" w:ascii="Times New Roman" w:hAnsi="Times New Roman" w:eastAsia="宋体" w:cs="Times New Roman"/>
                      <w:color w:val="auto"/>
                      <w:sz w:val="21"/>
                      <w:szCs w:val="21"/>
                      <w:highlight w:val="none"/>
                      <w:vertAlign w:val="baseline"/>
                      <w:lang w:val="en-US" w:eastAsia="zh-CN"/>
                    </w:rPr>
                    <w:t>废活性炭</w:t>
                  </w:r>
                  <w:r>
                    <w:rPr>
                      <w:rFonts w:hint="eastAsia" w:cs="Times New Roman"/>
                      <w:color w:val="auto"/>
                      <w:sz w:val="21"/>
                      <w:szCs w:val="21"/>
                      <w:highlight w:val="none"/>
                      <w:vertAlign w:val="baseline"/>
                      <w:lang w:val="en-US" w:eastAsia="zh-CN"/>
                    </w:rPr>
                    <w:t>、废机油、废液压油、水处理设施污泥</w:t>
                  </w:r>
                  <w:r>
                    <w:rPr>
                      <w:rFonts w:hint="eastAsia" w:ascii="Times New Roman" w:hAnsi="Times New Roman" w:eastAsia="宋体" w:cs="Times New Roman"/>
                      <w:color w:val="auto"/>
                      <w:sz w:val="21"/>
                      <w:szCs w:val="21"/>
                      <w:highlight w:val="none"/>
                      <w:vertAlign w:val="baseline"/>
                      <w:lang w:val="en-US" w:eastAsia="zh-CN"/>
                    </w:rPr>
                    <w:t>等危险废物。贮存间内张贴明显</w:t>
                  </w:r>
                  <w:r>
                    <w:rPr>
                      <w:rFonts w:hint="eastAsia" w:cs="Times New Roman"/>
                      <w:color w:val="auto"/>
                      <w:sz w:val="21"/>
                      <w:szCs w:val="21"/>
                      <w:highlight w:val="none"/>
                      <w:vertAlign w:val="baseline"/>
                      <w:lang w:val="en-US" w:eastAsia="zh-CN"/>
                    </w:rPr>
                    <w:t>警示标志</w:t>
                  </w:r>
                  <w:r>
                    <w:rPr>
                      <w:rFonts w:hint="eastAsia" w:ascii="Times New Roman" w:hAnsi="Times New Roman" w:eastAsia="宋体" w:cs="Times New Roman"/>
                      <w:color w:val="auto"/>
                      <w:sz w:val="21"/>
                      <w:szCs w:val="21"/>
                      <w:highlight w:val="none"/>
                      <w:vertAlign w:val="baseline"/>
                      <w:lang w:val="en-US" w:eastAsia="zh-CN"/>
                    </w:rPr>
                    <w:t>并设置围堰及导流沟，地面刷环氧树脂漆。并签署危废委托</w:t>
                  </w:r>
                  <w:r>
                    <w:rPr>
                      <w:rFonts w:hint="eastAsia" w:cs="Times New Roman"/>
                      <w:color w:val="auto"/>
                      <w:sz w:val="21"/>
                      <w:szCs w:val="21"/>
                      <w:highlight w:val="none"/>
                      <w:vertAlign w:val="baseline"/>
                      <w:lang w:val="en-US" w:eastAsia="zh-CN"/>
                    </w:rPr>
                    <w:t>协议</w:t>
                  </w:r>
                </w:p>
              </w:tc>
              <w:tc>
                <w:tcPr>
                  <w:tcW w:w="649" w:type="pct"/>
                  <w:tcBorders>
                    <w:tl2br w:val="nil"/>
                    <w:tr2bl w:val="nil"/>
                  </w:tcBorders>
                  <w:vAlign w:val="center"/>
                </w:tcPr>
                <w:p w14:paraId="42DB78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本次新建</w:t>
                  </w:r>
                </w:p>
              </w:tc>
            </w:tr>
          </w:tbl>
          <w:p w14:paraId="1DA07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29" w:name="_Toc24491"/>
            <w:bookmarkStart w:id="30" w:name="_Toc14678"/>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default" w:cs="Times New Roman"/>
                <w:b/>
                <w:bCs/>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项目工程组成及建设内容</w:t>
            </w:r>
            <w:bookmarkEnd w:id="29"/>
            <w:bookmarkEnd w:id="30"/>
          </w:p>
          <w:p w14:paraId="7619F16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本项目产品方案详见表2.2-2。</w:t>
            </w:r>
          </w:p>
          <w:p w14:paraId="5B158D61">
            <w:pPr>
              <w:pStyle w:val="22"/>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t>表2.2-2 项目主要产品方案</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430"/>
              <w:gridCol w:w="1328"/>
              <w:gridCol w:w="1792"/>
              <w:gridCol w:w="1285"/>
            </w:tblGrid>
            <w:tr w14:paraId="3EFA5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33" w:type="pct"/>
                  <w:tcBorders>
                    <w:tl2br w:val="nil"/>
                    <w:tr2bl w:val="nil"/>
                  </w:tcBorders>
                  <w:vAlign w:val="center"/>
                </w:tcPr>
                <w:p w14:paraId="0D3C6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1999" w:type="pct"/>
                  <w:tcBorders>
                    <w:tl2br w:val="nil"/>
                    <w:tr2bl w:val="nil"/>
                  </w:tcBorders>
                  <w:vAlign w:val="center"/>
                </w:tcPr>
                <w:p w14:paraId="2D671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产品名称</w:t>
                  </w:r>
                </w:p>
              </w:tc>
              <w:tc>
                <w:tcPr>
                  <w:tcW w:w="774" w:type="pct"/>
                  <w:tcBorders>
                    <w:tl2br w:val="nil"/>
                    <w:tr2bl w:val="nil"/>
                  </w:tcBorders>
                  <w:vAlign w:val="center"/>
                </w:tcPr>
                <w:p w14:paraId="33363E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产品产量</w:t>
                  </w:r>
                </w:p>
              </w:tc>
              <w:tc>
                <w:tcPr>
                  <w:tcW w:w="1044" w:type="pct"/>
                  <w:tcBorders>
                    <w:tl2br w:val="nil"/>
                    <w:tr2bl w:val="nil"/>
                  </w:tcBorders>
                  <w:vAlign w:val="center"/>
                </w:tcPr>
                <w:p w14:paraId="400213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单个产品净重</w:t>
                  </w:r>
                </w:p>
              </w:tc>
              <w:tc>
                <w:tcPr>
                  <w:tcW w:w="749" w:type="pct"/>
                  <w:tcBorders>
                    <w:tl2br w:val="nil"/>
                    <w:tr2bl w:val="nil"/>
                  </w:tcBorders>
                  <w:vAlign w:val="center"/>
                </w:tcPr>
                <w:p w14:paraId="366783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备注</w:t>
                  </w:r>
                </w:p>
              </w:tc>
            </w:tr>
            <w:tr w14:paraId="444C0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33" w:type="pct"/>
                  <w:tcBorders>
                    <w:tl2br w:val="nil"/>
                    <w:tr2bl w:val="nil"/>
                  </w:tcBorders>
                  <w:vAlign w:val="center"/>
                </w:tcPr>
                <w:p w14:paraId="31AB1F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999" w:type="pct"/>
                  <w:tcBorders>
                    <w:tl2br w:val="nil"/>
                    <w:tr2bl w:val="nil"/>
                  </w:tcBorders>
                  <w:vAlign w:val="center"/>
                </w:tcPr>
                <w:p w14:paraId="5B9A5FC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五金配件</w:t>
                  </w:r>
                </w:p>
              </w:tc>
              <w:tc>
                <w:tcPr>
                  <w:tcW w:w="774" w:type="pct"/>
                  <w:tcBorders>
                    <w:tl2br w:val="nil"/>
                    <w:tr2bl w:val="nil"/>
                  </w:tcBorders>
                  <w:vAlign w:val="center"/>
                </w:tcPr>
                <w:p w14:paraId="5DEA8DA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300万个</w:t>
                  </w:r>
                </w:p>
              </w:tc>
              <w:tc>
                <w:tcPr>
                  <w:tcW w:w="1044" w:type="pct"/>
                  <w:tcBorders>
                    <w:tl2br w:val="nil"/>
                    <w:tr2bl w:val="nil"/>
                  </w:tcBorders>
                  <w:vAlign w:val="center"/>
                </w:tcPr>
                <w:p w14:paraId="02B6725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约0.1-0.35kg</w:t>
                  </w:r>
                </w:p>
              </w:tc>
              <w:tc>
                <w:tcPr>
                  <w:tcW w:w="749" w:type="pct"/>
                  <w:tcBorders>
                    <w:tl2br w:val="nil"/>
                    <w:tr2bl w:val="nil"/>
                  </w:tcBorders>
                  <w:vAlign w:val="center"/>
                </w:tcPr>
                <w:p w14:paraId="3F55281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铝制品</w:t>
                  </w:r>
                </w:p>
              </w:tc>
            </w:tr>
          </w:tbl>
          <w:p w14:paraId="4FBF47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1" w:name="_Toc12101"/>
            <w:bookmarkStart w:id="32" w:name="_Toc30151"/>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主要生产设备</w:t>
            </w:r>
            <w:bookmarkEnd w:id="31"/>
            <w:bookmarkEnd w:id="32"/>
          </w:p>
          <w:p w14:paraId="7217F010">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项目主要生产设备一览表详见表2.2-3。</w:t>
            </w:r>
          </w:p>
          <w:p w14:paraId="69542A7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表2.2-3 主要生产设备一览表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75"/>
              <w:gridCol w:w="3391"/>
              <w:gridCol w:w="776"/>
              <w:gridCol w:w="2001"/>
            </w:tblGrid>
            <w:tr w14:paraId="53984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28" w:type="pct"/>
                  <w:tcBorders>
                    <w:tl2br w:val="nil"/>
                    <w:tr2bl w:val="nil"/>
                  </w:tcBorders>
                  <w:vAlign w:val="center"/>
                </w:tcPr>
                <w:p w14:paraId="4909543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序号</w:t>
                  </w:r>
                </w:p>
              </w:tc>
              <w:tc>
                <w:tcPr>
                  <w:tcW w:w="976" w:type="pct"/>
                  <w:tcBorders>
                    <w:tl2br w:val="nil"/>
                    <w:tr2bl w:val="nil"/>
                  </w:tcBorders>
                  <w:vAlign w:val="center"/>
                </w:tcPr>
                <w:p w14:paraId="0EA05F16">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sz w:val="21"/>
                    </w:rPr>
                    <mc:AlternateContent>
                      <mc:Choice Requires="wps">
                        <w:drawing>
                          <wp:anchor distT="0" distB="0" distL="114300" distR="114300" simplePos="0" relativeHeight="251718656" behindDoc="0" locked="0" layoutInCell="1" allowOverlap="1">
                            <wp:simplePos x="0" y="0"/>
                            <wp:positionH relativeFrom="column">
                              <wp:posOffset>2540</wp:posOffset>
                            </wp:positionH>
                            <wp:positionV relativeFrom="paragraph">
                              <wp:posOffset>-36830</wp:posOffset>
                            </wp:positionV>
                            <wp:extent cx="3629025" cy="4896485"/>
                            <wp:effectExtent l="6350" t="6350" r="22225" b="12065"/>
                            <wp:wrapNone/>
                            <wp:docPr id="97" name="矩形 97"/>
                            <wp:cNvGraphicFramePr/>
                            <a:graphic xmlns:a="http://schemas.openxmlformats.org/drawingml/2006/main">
                              <a:graphicData uri="http://schemas.microsoft.com/office/word/2010/wordprocessingShape">
                                <wps:wsp>
                                  <wps:cNvSpPr/>
                                  <wps:spPr>
                                    <a:xfrm>
                                      <a:off x="0" y="0"/>
                                      <a:ext cx="3629025" cy="489648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2.9pt;height:385.55pt;width:285.75pt;z-index:251718656;v-text-anchor:middle;mso-width-relative:page;mso-height-relative:page;" fillcolor="#FFFFFF [3212]" filled="t" stroked="t" coordsize="21600,21600" o:gfxdata="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9vYSW1gAAAAcBAAAPAAAAAAAAAAEAIAAAACIAAABkcnMvZG93bnJldi54&#10;bWxQSwECFAAUAAAACACHTuJAB2CyMG4CAAD3BAAADgAAAAAAAAABACAAAAAlAQAAZHJzL2Uyb0Rv&#10;Yy54bWxQSwUGAAAAAAYABgBZAQAABQY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设备名称</w:t>
                  </w:r>
                </w:p>
              </w:tc>
              <w:tc>
                <w:tcPr>
                  <w:tcW w:w="1976" w:type="pct"/>
                  <w:tcBorders>
                    <w:tl2br w:val="nil"/>
                    <w:tr2bl w:val="nil"/>
                  </w:tcBorders>
                  <w:vAlign w:val="center"/>
                </w:tcPr>
                <w:p w14:paraId="621C38AE">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功率/型号</w:t>
                  </w:r>
                </w:p>
              </w:tc>
              <w:tc>
                <w:tcPr>
                  <w:tcW w:w="452" w:type="pct"/>
                  <w:tcBorders>
                    <w:tl2br w:val="nil"/>
                    <w:tr2bl w:val="nil"/>
                  </w:tcBorders>
                  <w:vAlign w:val="center"/>
                </w:tcPr>
                <w:p w14:paraId="117C08DC">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数量</w:t>
                  </w:r>
                </w:p>
              </w:tc>
              <w:tc>
                <w:tcPr>
                  <w:tcW w:w="1166" w:type="pct"/>
                  <w:tcBorders>
                    <w:tl2br w:val="nil"/>
                    <w:tr2bl w:val="nil"/>
                  </w:tcBorders>
                  <w:vAlign w:val="center"/>
                </w:tcPr>
                <w:p w14:paraId="4DD59583">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备注</w:t>
                  </w:r>
                </w:p>
              </w:tc>
            </w:tr>
            <w:tr w14:paraId="5E4CB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16966013">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w:t>
                  </w:r>
                </w:p>
              </w:tc>
              <w:tc>
                <w:tcPr>
                  <w:tcW w:w="976" w:type="pct"/>
                  <w:tcBorders>
                    <w:tl2br w:val="nil"/>
                    <w:tr2bl w:val="nil"/>
                  </w:tcBorders>
                  <w:shd w:val="clear" w:color="auto" w:fill="auto"/>
                  <w:vAlign w:val="center"/>
                </w:tcPr>
                <w:p w14:paraId="76363C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vertAlign w:val="baseline"/>
                      <w:lang w:val="en-US" w:eastAsia="zh-CN"/>
                    </w:rPr>
                    <w:t>电阻炉</w:t>
                  </w:r>
                </w:p>
              </w:tc>
              <w:tc>
                <w:tcPr>
                  <w:tcW w:w="1976" w:type="pct"/>
                  <w:tcBorders>
                    <w:tl2br w:val="nil"/>
                    <w:tr2bl w:val="nil"/>
                  </w:tcBorders>
                  <w:shd w:val="clear" w:color="auto" w:fill="auto"/>
                  <w:vAlign w:val="center"/>
                </w:tcPr>
                <w:p w14:paraId="18CE82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75kW、90kW、110kW</w:t>
                  </w:r>
                </w:p>
              </w:tc>
              <w:tc>
                <w:tcPr>
                  <w:tcW w:w="452" w:type="pct"/>
                  <w:tcBorders>
                    <w:tl2br w:val="nil"/>
                    <w:tr2bl w:val="nil"/>
                  </w:tcBorders>
                  <w:shd w:val="clear" w:color="auto" w:fill="auto"/>
                  <w:vAlign w:val="center"/>
                </w:tcPr>
                <w:p w14:paraId="05661D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166" w:type="pct"/>
                  <w:vMerge w:val="restart"/>
                  <w:tcBorders>
                    <w:tl2br w:val="nil"/>
                    <w:tr2bl w:val="nil"/>
                  </w:tcBorders>
                  <w:vAlign w:val="center"/>
                </w:tcPr>
                <w:p w14:paraId="14F23A9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sz w:val="21"/>
                      <w:szCs w:val="21"/>
                      <w:u w:val="none"/>
                    </w:rPr>
                    <w:t>本项目采用的为压铸机与</w:t>
                  </w:r>
                  <w:r>
                    <w:rPr>
                      <w:rFonts w:hint="default" w:ascii="Times New Roman" w:hAnsi="Times New Roman" w:eastAsia="宋体" w:cs="Times New Roman"/>
                      <w:color w:val="000000"/>
                      <w:sz w:val="21"/>
                      <w:szCs w:val="21"/>
                      <w:u w:val="none"/>
                      <w:lang w:val="en-US" w:eastAsia="zh-CN"/>
                    </w:rPr>
                    <w:t>电阻</w:t>
                  </w:r>
                  <w:r>
                    <w:rPr>
                      <w:rFonts w:hint="default" w:ascii="Times New Roman" w:hAnsi="Times New Roman" w:eastAsia="宋体" w:cs="Times New Roman"/>
                      <w:color w:val="000000"/>
                      <w:sz w:val="21"/>
                      <w:szCs w:val="21"/>
                      <w:u w:val="none"/>
                    </w:rPr>
                    <w:t>炉一体机</w:t>
                  </w:r>
                </w:p>
              </w:tc>
            </w:tr>
            <w:tr w14:paraId="47BA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58C12D5D">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2</w:t>
                  </w:r>
                </w:p>
              </w:tc>
              <w:tc>
                <w:tcPr>
                  <w:tcW w:w="976" w:type="pct"/>
                  <w:tcBorders>
                    <w:tl2br w:val="nil"/>
                    <w:tr2bl w:val="nil"/>
                  </w:tcBorders>
                  <w:shd w:val="clear" w:color="auto" w:fill="auto"/>
                  <w:vAlign w:val="center"/>
                </w:tcPr>
                <w:p w14:paraId="65259B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压铸机</w:t>
                  </w:r>
                </w:p>
              </w:tc>
              <w:tc>
                <w:tcPr>
                  <w:tcW w:w="1976" w:type="pct"/>
                  <w:tcBorders>
                    <w:tl2br w:val="nil"/>
                    <w:tr2bl w:val="nil"/>
                  </w:tcBorders>
                  <w:shd w:val="clear" w:color="auto" w:fill="auto"/>
                  <w:vAlign w:val="center"/>
                </w:tcPr>
                <w:p w14:paraId="13D8B9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15kW、18.5kW、22kW、43.6kW</w:t>
                  </w:r>
                </w:p>
              </w:tc>
              <w:tc>
                <w:tcPr>
                  <w:tcW w:w="452" w:type="pct"/>
                  <w:tcBorders>
                    <w:tl2br w:val="nil"/>
                    <w:tr2bl w:val="nil"/>
                  </w:tcBorders>
                  <w:shd w:val="clear" w:color="auto" w:fill="auto"/>
                  <w:vAlign w:val="center"/>
                </w:tcPr>
                <w:p w14:paraId="6501B5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166" w:type="pct"/>
                  <w:vMerge w:val="continue"/>
                  <w:tcBorders>
                    <w:tl2br w:val="nil"/>
                    <w:tr2bl w:val="nil"/>
                  </w:tcBorders>
                  <w:vAlign w:val="center"/>
                </w:tcPr>
                <w:p w14:paraId="351AE1E7">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p>
              </w:tc>
            </w:tr>
            <w:tr w14:paraId="5FDBF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1A466478">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3</w:t>
                  </w:r>
                </w:p>
              </w:tc>
              <w:tc>
                <w:tcPr>
                  <w:tcW w:w="976" w:type="pct"/>
                  <w:tcBorders>
                    <w:tl2br w:val="nil"/>
                    <w:tr2bl w:val="nil"/>
                  </w:tcBorders>
                  <w:shd w:val="clear" w:color="auto" w:fill="auto"/>
                  <w:vAlign w:val="center"/>
                </w:tcPr>
                <w:p w14:paraId="4E5FAE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铣床</w:t>
                  </w:r>
                </w:p>
              </w:tc>
              <w:tc>
                <w:tcPr>
                  <w:tcW w:w="1976" w:type="pct"/>
                  <w:tcBorders>
                    <w:tl2br w:val="nil"/>
                    <w:tr2bl w:val="nil"/>
                  </w:tcBorders>
                  <w:shd w:val="clear" w:color="auto" w:fill="auto"/>
                  <w:vAlign w:val="center"/>
                </w:tcPr>
                <w:p w14:paraId="555D6A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0.75kW</w:t>
                  </w:r>
                </w:p>
              </w:tc>
              <w:tc>
                <w:tcPr>
                  <w:tcW w:w="452" w:type="pct"/>
                  <w:tcBorders>
                    <w:tl2br w:val="nil"/>
                    <w:tr2bl w:val="nil"/>
                  </w:tcBorders>
                  <w:shd w:val="clear" w:color="auto" w:fill="auto"/>
                  <w:vAlign w:val="center"/>
                </w:tcPr>
                <w:p w14:paraId="6A8804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Borders>
                    <w:tl2br w:val="nil"/>
                    <w:tr2bl w:val="nil"/>
                  </w:tcBorders>
                  <w:shd w:val="clear" w:color="auto" w:fill="auto"/>
                  <w:vAlign w:val="center"/>
                </w:tcPr>
                <w:p w14:paraId="5B676006">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3BD0D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3695875E">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4</w:t>
                  </w:r>
                </w:p>
              </w:tc>
              <w:tc>
                <w:tcPr>
                  <w:tcW w:w="976" w:type="pct"/>
                  <w:tcBorders>
                    <w:tl2br w:val="nil"/>
                    <w:tr2bl w:val="nil"/>
                  </w:tcBorders>
                  <w:shd w:val="clear" w:color="auto" w:fill="auto"/>
                  <w:vAlign w:val="center"/>
                </w:tcPr>
                <w:p w14:paraId="00E5F4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磨床</w:t>
                  </w:r>
                </w:p>
              </w:tc>
              <w:tc>
                <w:tcPr>
                  <w:tcW w:w="1976" w:type="pct"/>
                  <w:tcBorders>
                    <w:tl2br w:val="nil"/>
                    <w:tr2bl w:val="nil"/>
                  </w:tcBorders>
                  <w:shd w:val="clear" w:color="auto" w:fill="auto"/>
                  <w:vAlign w:val="center"/>
                </w:tcPr>
                <w:p w14:paraId="1C22CB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0.75kW</w:t>
                  </w:r>
                </w:p>
              </w:tc>
              <w:tc>
                <w:tcPr>
                  <w:tcW w:w="452" w:type="pct"/>
                  <w:tcBorders>
                    <w:tl2br w:val="nil"/>
                    <w:tr2bl w:val="nil"/>
                  </w:tcBorders>
                  <w:shd w:val="clear" w:color="auto" w:fill="auto"/>
                  <w:vAlign w:val="center"/>
                </w:tcPr>
                <w:p w14:paraId="76CA4B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Borders>
                    <w:tl2br w:val="nil"/>
                    <w:tr2bl w:val="nil"/>
                  </w:tcBorders>
                  <w:shd w:val="clear" w:color="auto" w:fill="auto"/>
                  <w:vAlign w:val="center"/>
                </w:tcPr>
                <w:p w14:paraId="5AE1AF4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0E171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6BAAF1F8">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5</w:t>
                  </w:r>
                </w:p>
              </w:tc>
              <w:tc>
                <w:tcPr>
                  <w:tcW w:w="976" w:type="pct"/>
                  <w:tcBorders>
                    <w:tl2br w:val="nil"/>
                    <w:tr2bl w:val="nil"/>
                  </w:tcBorders>
                  <w:shd w:val="clear" w:color="auto" w:fill="auto"/>
                  <w:vAlign w:val="center"/>
                </w:tcPr>
                <w:p w14:paraId="7D1FEF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冲床</w:t>
                  </w:r>
                </w:p>
              </w:tc>
              <w:tc>
                <w:tcPr>
                  <w:tcW w:w="1976" w:type="pct"/>
                  <w:tcBorders>
                    <w:tl2br w:val="nil"/>
                    <w:tr2bl w:val="nil"/>
                  </w:tcBorders>
                  <w:shd w:val="clear" w:color="auto" w:fill="auto"/>
                  <w:vAlign w:val="center"/>
                </w:tcPr>
                <w:p w14:paraId="156857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3.5kW</w:t>
                  </w:r>
                </w:p>
              </w:tc>
              <w:tc>
                <w:tcPr>
                  <w:tcW w:w="452" w:type="pct"/>
                  <w:tcBorders>
                    <w:tl2br w:val="nil"/>
                    <w:tr2bl w:val="nil"/>
                  </w:tcBorders>
                  <w:shd w:val="clear" w:color="auto" w:fill="auto"/>
                  <w:vAlign w:val="center"/>
                </w:tcPr>
                <w:p w14:paraId="0FFC46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166" w:type="pct"/>
                  <w:tcBorders>
                    <w:tl2br w:val="nil"/>
                    <w:tr2bl w:val="nil"/>
                  </w:tcBorders>
                  <w:shd w:val="clear" w:color="auto" w:fill="auto"/>
                  <w:vAlign w:val="center"/>
                </w:tcPr>
                <w:p w14:paraId="3573D37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53E64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41D85BFD">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6</w:t>
                  </w:r>
                </w:p>
              </w:tc>
              <w:tc>
                <w:tcPr>
                  <w:tcW w:w="976" w:type="pct"/>
                  <w:tcBorders>
                    <w:tl2br w:val="nil"/>
                    <w:tr2bl w:val="nil"/>
                  </w:tcBorders>
                  <w:shd w:val="clear" w:color="auto" w:fill="auto"/>
                  <w:vAlign w:val="center"/>
                </w:tcPr>
                <w:p w14:paraId="012B29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抛光机</w:t>
                  </w:r>
                </w:p>
              </w:tc>
              <w:tc>
                <w:tcPr>
                  <w:tcW w:w="1976" w:type="pct"/>
                  <w:tcBorders>
                    <w:tl2br w:val="nil"/>
                    <w:tr2bl w:val="nil"/>
                  </w:tcBorders>
                  <w:shd w:val="clear" w:color="auto" w:fill="auto"/>
                  <w:vAlign w:val="center"/>
                </w:tcPr>
                <w:p w14:paraId="3DEE8E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5.5kW</w:t>
                  </w:r>
                </w:p>
              </w:tc>
              <w:tc>
                <w:tcPr>
                  <w:tcW w:w="452" w:type="pct"/>
                  <w:tcBorders>
                    <w:tl2br w:val="nil"/>
                    <w:tr2bl w:val="nil"/>
                  </w:tcBorders>
                  <w:shd w:val="clear" w:color="auto" w:fill="auto"/>
                  <w:vAlign w:val="center"/>
                </w:tcPr>
                <w:p w14:paraId="773CE1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166" w:type="pct"/>
                  <w:tcBorders>
                    <w:tl2br w:val="nil"/>
                    <w:tr2bl w:val="nil"/>
                  </w:tcBorders>
                  <w:shd w:val="clear" w:color="auto" w:fill="auto"/>
                  <w:vAlign w:val="center"/>
                </w:tcPr>
                <w:p w14:paraId="3E2CC64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786B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5F79FE64">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7</w:t>
                  </w:r>
                </w:p>
              </w:tc>
              <w:tc>
                <w:tcPr>
                  <w:tcW w:w="976" w:type="pct"/>
                  <w:tcBorders>
                    <w:tl2br w:val="nil"/>
                    <w:tr2bl w:val="nil"/>
                  </w:tcBorders>
                  <w:shd w:val="clear" w:color="auto" w:fill="auto"/>
                  <w:vAlign w:val="center"/>
                </w:tcPr>
                <w:p w14:paraId="0A3524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数控机床</w:t>
                  </w:r>
                </w:p>
              </w:tc>
              <w:tc>
                <w:tcPr>
                  <w:tcW w:w="1976" w:type="pct"/>
                  <w:tcBorders>
                    <w:tl2br w:val="nil"/>
                    <w:tr2bl w:val="nil"/>
                  </w:tcBorders>
                  <w:shd w:val="clear" w:color="auto" w:fill="auto"/>
                  <w:vAlign w:val="center"/>
                </w:tcPr>
                <w:p w14:paraId="501B6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2.2kW</w:t>
                  </w:r>
                </w:p>
              </w:tc>
              <w:tc>
                <w:tcPr>
                  <w:tcW w:w="452" w:type="pct"/>
                  <w:tcBorders>
                    <w:tl2br w:val="nil"/>
                    <w:tr2bl w:val="nil"/>
                  </w:tcBorders>
                  <w:shd w:val="clear" w:color="auto" w:fill="auto"/>
                  <w:vAlign w:val="center"/>
                </w:tcPr>
                <w:p w14:paraId="2F301F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66" w:type="pct"/>
                  <w:tcBorders>
                    <w:tl2br w:val="nil"/>
                    <w:tr2bl w:val="nil"/>
                  </w:tcBorders>
                  <w:shd w:val="clear" w:color="auto" w:fill="auto"/>
                  <w:vAlign w:val="center"/>
                </w:tcPr>
                <w:p w14:paraId="7CDD0B9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vertAlign w:val="baseline"/>
                      <w:lang w:val="en-US" w:eastAsia="zh-CN" w:bidi="ar-SA"/>
                      <w14:textFill>
                        <w14:solidFill>
                          <w14:schemeClr w14:val="tx1"/>
                        </w14:solidFill>
                      </w14:textFill>
                    </w:rPr>
                    <w:t>/</w:t>
                  </w:r>
                </w:p>
              </w:tc>
            </w:tr>
            <w:tr w14:paraId="59363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Borders>
                    <w:tl2br w:val="nil"/>
                    <w:tr2bl w:val="nil"/>
                  </w:tcBorders>
                  <w:vAlign w:val="center"/>
                </w:tcPr>
                <w:p w14:paraId="1ECB067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8</w:t>
                  </w:r>
                </w:p>
              </w:tc>
              <w:tc>
                <w:tcPr>
                  <w:tcW w:w="976" w:type="pct"/>
                  <w:tcBorders>
                    <w:tl2br w:val="nil"/>
                    <w:tr2bl w:val="nil"/>
                  </w:tcBorders>
                  <w:shd w:val="clear" w:color="auto" w:fill="auto"/>
                  <w:vAlign w:val="center"/>
                </w:tcPr>
                <w:p w14:paraId="20A2B8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钻床</w:t>
                  </w:r>
                </w:p>
              </w:tc>
              <w:tc>
                <w:tcPr>
                  <w:tcW w:w="1976" w:type="pct"/>
                  <w:tcBorders>
                    <w:tl2br w:val="nil"/>
                    <w:tr2bl w:val="nil"/>
                  </w:tcBorders>
                  <w:shd w:val="clear" w:color="auto" w:fill="auto"/>
                  <w:vAlign w:val="center"/>
                </w:tcPr>
                <w:p w14:paraId="727BCD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0.55kW</w:t>
                  </w:r>
                </w:p>
              </w:tc>
              <w:tc>
                <w:tcPr>
                  <w:tcW w:w="452" w:type="pct"/>
                  <w:tcBorders>
                    <w:tl2br w:val="nil"/>
                    <w:tr2bl w:val="nil"/>
                  </w:tcBorders>
                  <w:shd w:val="clear" w:color="auto" w:fill="auto"/>
                  <w:vAlign w:val="center"/>
                </w:tcPr>
                <w:p w14:paraId="246B2C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66" w:type="pct"/>
                  <w:tcBorders>
                    <w:tl2br w:val="nil"/>
                    <w:tr2bl w:val="nil"/>
                  </w:tcBorders>
                  <w:shd w:val="clear" w:color="auto" w:fill="auto"/>
                  <w:vAlign w:val="center"/>
                </w:tcPr>
                <w:p w14:paraId="5502076F">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21AB3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5B1F76D6">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9</w:t>
                  </w:r>
                </w:p>
              </w:tc>
              <w:tc>
                <w:tcPr>
                  <w:tcW w:w="976" w:type="pct"/>
                  <w:shd w:val="clear" w:color="auto" w:fill="auto"/>
                  <w:vAlign w:val="center"/>
                </w:tcPr>
                <w:p w14:paraId="72F512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单攻机</w:t>
                  </w:r>
                </w:p>
              </w:tc>
              <w:tc>
                <w:tcPr>
                  <w:tcW w:w="1976" w:type="pct"/>
                  <w:shd w:val="clear" w:color="auto" w:fill="auto"/>
                  <w:vAlign w:val="center"/>
                </w:tcPr>
                <w:p w14:paraId="50C1B3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1.1kW</w:t>
                  </w:r>
                </w:p>
              </w:tc>
              <w:tc>
                <w:tcPr>
                  <w:tcW w:w="452" w:type="pct"/>
                  <w:shd w:val="clear" w:color="auto" w:fill="auto"/>
                  <w:vAlign w:val="center"/>
                </w:tcPr>
                <w:p w14:paraId="2641C9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shd w:val="clear" w:color="auto" w:fill="auto"/>
                  <w:vAlign w:val="center"/>
                </w:tcPr>
                <w:p w14:paraId="5AF9C023">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389B3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2B02961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bookmarkStart w:id="33" w:name="_Toc26666"/>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10</w:t>
                  </w:r>
                </w:p>
              </w:tc>
              <w:tc>
                <w:tcPr>
                  <w:tcW w:w="976" w:type="pct"/>
                  <w:shd w:val="clear" w:color="auto" w:fill="auto"/>
                  <w:vAlign w:val="center"/>
                </w:tcPr>
                <w:p w14:paraId="462A7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多轴攻牙机</w:t>
                  </w:r>
                </w:p>
              </w:tc>
              <w:tc>
                <w:tcPr>
                  <w:tcW w:w="1976" w:type="pct"/>
                  <w:shd w:val="clear" w:color="auto" w:fill="auto"/>
                  <w:vAlign w:val="center"/>
                </w:tcPr>
                <w:p w14:paraId="4728CD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0.75kW</w:t>
                  </w:r>
                </w:p>
              </w:tc>
              <w:tc>
                <w:tcPr>
                  <w:tcW w:w="452" w:type="pct"/>
                  <w:shd w:val="clear" w:color="auto" w:fill="auto"/>
                  <w:vAlign w:val="center"/>
                </w:tcPr>
                <w:p w14:paraId="014067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166" w:type="pct"/>
                </w:tcPr>
                <w:p w14:paraId="1EA9FB5C">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269D6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606132D2">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11</w:t>
                  </w:r>
                </w:p>
              </w:tc>
              <w:tc>
                <w:tcPr>
                  <w:tcW w:w="976" w:type="pct"/>
                  <w:shd w:val="clear" w:color="auto" w:fill="auto"/>
                  <w:vAlign w:val="center"/>
                </w:tcPr>
                <w:p w14:paraId="2C7CEF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烤箱</w:t>
                  </w:r>
                </w:p>
              </w:tc>
              <w:tc>
                <w:tcPr>
                  <w:tcW w:w="1976" w:type="pct"/>
                  <w:shd w:val="clear" w:color="auto" w:fill="auto"/>
                  <w:vAlign w:val="center"/>
                </w:tcPr>
                <w:p w14:paraId="2407E2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40kW</w:t>
                  </w:r>
                </w:p>
              </w:tc>
              <w:tc>
                <w:tcPr>
                  <w:tcW w:w="452" w:type="pct"/>
                  <w:shd w:val="clear" w:color="auto" w:fill="auto"/>
                  <w:vAlign w:val="center"/>
                </w:tcPr>
                <w:p w14:paraId="2D2065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259D029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05AC2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739E6A5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12</w:t>
                  </w:r>
                </w:p>
              </w:tc>
              <w:tc>
                <w:tcPr>
                  <w:tcW w:w="976" w:type="pct"/>
                  <w:shd w:val="clear" w:color="auto" w:fill="auto"/>
                  <w:vAlign w:val="center"/>
                </w:tcPr>
                <w:p w14:paraId="528811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研磨机</w:t>
                  </w:r>
                </w:p>
              </w:tc>
              <w:tc>
                <w:tcPr>
                  <w:tcW w:w="1976" w:type="pct"/>
                  <w:shd w:val="clear" w:color="auto" w:fill="auto"/>
                  <w:vAlign w:val="center"/>
                </w:tcPr>
                <w:p w14:paraId="7A3E71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7.5kW</w:t>
                  </w:r>
                </w:p>
              </w:tc>
              <w:tc>
                <w:tcPr>
                  <w:tcW w:w="452" w:type="pct"/>
                  <w:shd w:val="clear" w:color="auto" w:fill="auto"/>
                  <w:vAlign w:val="center"/>
                </w:tcPr>
                <w:p w14:paraId="4B6129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109B3017">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46858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325684A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13</w:t>
                  </w:r>
                </w:p>
              </w:tc>
              <w:tc>
                <w:tcPr>
                  <w:tcW w:w="976" w:type="pct"/>
                  <w:shd w:val="clear" w:color="auto" w:fill="auto"/>
                  <w:vAlign w:val="center"/>
                </w:tcPr>
                <w:p w14:paraId="0F8178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清洗线</w:t>
                  </w:r>
                </w:p>
              </w:tc>
              <w:tc>
                <w:tcPr>
                  <w:tcW w:w="1976" w:type="pct"/>
                  <w:shd w:val="clear" w:color="auto" w:fill="auto"/>
                  <w:vAlign w:val="center"/>
                </w:tcPr>
                <w:p w14:paraId="16DACE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52" w:type="pct"/>
                  <w:shd w:val="clear" w:color="auto" w:fill="auto"/>
                  <w:vAlign w:val="center"/>
                </w:tcPr>
                <w:p w14:paraId="5BD36B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13D46F5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5FDE1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73B705F0">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14</w:t>
                  </w:r>
                </w:p>
              </w:tc>
              <w:tc>
                <w:tcPr>
                  <w:tcW w:w="976" w:type="pct"/>
                  <w:shd w:val="clear" w:color="auto" w:fill="auto"/>
                  <w:vAlign w:val="center"/>
                </w:tcPr>
                <w:p w14:paraId="5BB74E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打磨流水线</w:t>
                  </w:r>
                </w:p>
              </w:tc>
              <w:tc>
                <w:tcPr>
                  <w:tcW w:w="1976" w:type="pct"/>
                  <w:shd w:val="clear" w:color="auto" w:fill="auto"/>
                  <w:vAlign w:val="center"/>
                </w:tcPr>
                <w:p w14:paraId="6604B2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52" w:type="pct"/>
                  <w:shd w:val="clear" w:color="auto" w:fill="auto"/>
                  <w:vAlign w:val="center"/>
                </w:tcPr>
                <w:p w14:paraId="67F51E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66" w:type="pct"/>
                </w:tcPr>
                <w:p w14:paraId="32DA3B69">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0607F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1225B845">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15</w:t>
                  </w:r>
                </w:p>
              </w:tc>
              <w:tc>
                <w:tcPr>
                  <w:tcW w:w="976" w:type="pct"/>
                  <w:shd w:val="clear" w:color="auto" w:fill="auto"/>
                  <w:vAlign w:val="center"/>
                </w:tcPr>
                <w:p w14:paraId="5E86FB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空压机</w:t>
                  </w:r>
                </w:p>
              </w:tc>
              <w:tc>
                <w:tcPr>
                  <w:tcW w:w="1976" w:type="pct"/>
                  <w:shd w:val="clear" w:color="auto" w:fill="auto"/>
                  <w:vAlign w:val="center"/>
                </w:tcPr>
                <w:p w14:paraId="41A875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55kW</w:t>
                  </w:r>
                </w:p>
              </w:tc>
              <w:tc>
                <w:tcPr>
                  <w:tcW w:w="452" w:type="pct"/>
                  <w:shd w:val="clear" w:color="auto" w:fill="auto"/>
                  <w:vAlign w:val="center"/>
                </w:tcPr>
                <w:p w14:paraId="260BC9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166" w:type="pct"/>
                </w:tcPr>
                <w:p w14:paraId="3C02F5FB">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0CC5E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23914D7F">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16</w:t>
                  </w:r>
                </w:p>
              </w:tc>
              <w:tc>
                <w:tcPr>
                  <w:tcW w:w="976" w:type="pct"/>
                  <w:shd w:val="clear" w:color="auto" w:fill="auto"/>
                  <w:vAlign w:val="center"/>
                </w:tcPr>
                <w:p w14:paraId="1FDE7A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冷却塔</w:t>
                  </w:r>
                </w:p>
              </w:tc>
              <w:tc>
                <w:tcPr>
                  <w:tcW w:w="1976" w:type="pct"/>
                  <w:shd w:val="clear" w:color="auto" w:fill="auto"/>
                  <w:vAlign w:val="center"/>
                </w:tcPr>
                <w:p w14:paraId="7CFF8B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452" w:type="pct"/>
                  <w:shd w:val="clear" w:color="auto" w:fill="auto"/>
                  <w:vAlign w:val="center"/>
                </w:tcPr>
                <w:p w14:paraId="38C413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166" w:type="pct"/>
                </w:tcPr>
                <w:p w14:paraId="6FC7856E">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r w14:paraId="75462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8" w:type="pct"/>
                </w:tcPr>
                <w:p w14:paraId="36299CAF">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17</w:t>
                  </w:r>
                </w:p>
              </w:tc>
              <w:tc>
                <w:tcPr>
                  <w:tcW w:w="976" w:type="pct"/>
                  <w:shd w:val="clear" w:color="auto" w:fill="auto"/>
                  <w:vAlign w:val="center"/>
                </w:tcPr>
                <w:p w14:paraId="7EEE55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行车</w:t>
                  </w:r>
                </w:p>
              </w:tc>
              <w:tc>
                <w:tcPr>
                  <w:tcW w:w="1976" w:type="pct"/>
                  <w:shd w:val="clear" w:color="auto" w:fill="auto"/>
                  <w:vAlign w:val="center"/>
                </w:tcPr>
                <w:p w14:paraId="61DC2D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15kW</w:t>
                  </w:r>
                </w:p>
              </w:tc>
              <w:tc>
                <w:tcPr>
                  <w:tcW w:w="452" w:type="pct"/>
                  <w:shd w:val="clear" w:color="auto" w:fill="auto"/>
                  <w:vAlign w:val="center"/>
                </w:tcPr>
                <w:p w14:paraId="6E684C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166" w:type="pct"/>
                </w:tcPr>
                <w:p w14:paraId="6E54B164">
                  <w:pPr>
                    <w:pStyle w:val="22"/>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vertAlign w:val="baseline"/>
                      <w:lang w:val="en-US" w:eastAsia="zh-CN"/>
                      <w14:textFill>
                        <w14:solidFill>
                          <w14:schemeClr w14:val="tx1"/>
                        </w14:solidFill>
                      </w14:textFill>
                    </w:rPr>
                    <w:t>/</w:t>
                  </w:r>
                </w:p>
              </w:tc>
            </w:tr>
          </w:tbl>
          <w:p w14:paraId="105EA21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4" w:name="_Toc22642"/>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项目主要原辅材料</w:t>
            </w:r>
            <w:bookmarkEnd w:id="33"/>
            <w:bookmarkEnd w:id="34"/>
          </w:p>
          <w:p w14:paraId="26AE4486">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的主要原辅材料及用量情况详见表2.2-4。</w:t>
            </w:r>
          </w:p>
          <w:p w14:paraId="1CB80BE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表2.2-4 主要原辅材料及用量一览表</w:t>
            </w:r>
          </w:p>
          <w:tbl>
            <w:tblPr>
              <w:tblStyle w:val="23"/>
              <w:tblW w:w="86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171"/>
              <w:gridCol w:w="1112"/>
              <w:gridCol w:w="2343"/>
              <w:gridCol w:w="855"/>
              <w:gridCol w:w="705"/>
              <w:gridCol w:w="660"/>
              <w:gridCol w:w="1305"/>
            </w:tblGrid>
            <w:tr w14:paraId="2D080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tcBorders>
                    <w:tl2br w:val="nil"/>
                    <w:tr2bl w:val="nil"/>
                  </w:tcBorders>
                  <w:noWrap w:val="0"/>
                  <w:vAlign w:val="center"/>
                </w:tcPr>
                <w:p w14:paraId="42D09C4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677" w:type="pct"/>
                  <w:tcBorders>
                    <w:tl2br w:val="nil"/>
                    <w:tr2bl w:val="nil"/>
                  </w:tcBorders>
                  <w:noWrap w:val="0"/>
                  <w:vAlign w:val="center"/>
                </w:tcPr>
                <w:p w14:paraId="69046BB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原辅材料名称</w:t>
                  </w:r>
                </w:p>
              </w:tc>
              <w:tc>
                <w:tcPr>
                  <w:tcW w:w="643" w:type="pct"/>
                  <w:tcBorders>
                    <w:tl2br w:val="nil"/>
                    <w:tr2bl w:val="nil"/>
                  </w:tcBorders>
                  <w:noWrap w:val="0"/>
                  <w:vAlign w:val="center"/>
                </w:tcPr>
                <w:p w14:paraId="7781402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原辅材料年用量t/a</w:t>
                  </w:r>
                </w:p>
              </w:tc>
              <w:tc>
                <w:tcPr>
                  <w:tcW w:w="1355" w:type="pct"/>
                  <w:tcBorders>
                    <w:tl2br w:val="nil"/>
                    <w:tr2bl w:val="nil"/>
                  </w:tcBorders>
                  <w:noWrap w:val="0"/>
                  <w:vAlign w:val="center"/>
                </w:tcPr>
                <w:p w14:paraId="1186930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成分占比</w:t>
                  </w:r>
                </w:p>
              </w:tc>
              <w:tc>
                <w:tcPr>
                  <w:tcW w:w="494" w:type="pct"/>
                  <w:tcBorders>
                    <w:tl2br w:val="nil"/>
                    <w:tr2bl w:val="nil"/>
                  </w:tcBorders>
                  <w:noWrap w:val="0"/>
                  <w:vAlign w:val="center"/>
                </w:tcPr>
                <w:p w14:paraId="2576C6D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最大储存量t</w:t>
                  </w:r>
                </w:p>
              </w:tc>
              <w:tc>
                <w:tcPr>
                  <w:tcW w:w="407" w:type="pct"/>
                  <w:tcBorders>
                    <w:tl2br w:val="nil"/>
                    <w:tr2bl w:val="nil"/>
                  </w:tcBorders>
                  <w:noWrap w:val="0"/>
                  <w:vAlign w:val="center"/>
                </w:tcPr>
                <w:p w14:paraId="6288B9B2">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物理形态</w:t>
                  </w:r>
                </w:p>
              </w:tc>
              <w:tc>
                <w:tcPr>
                  <w:tcW w:w="381" w:type="pct"/>
                  <w:tcBorders>
                    <w:tl2br w:val="nil"/>
                    <w:tr2bl w:val="nil"/>
                  </w:tcBorders>
                  <w:noWrap w:val="0"/>
                  <w:vAlign w:val="center"/>
                </w:tcPr>
                <w:p w14:paraId="211E2DF9">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包装形式</w:t>
                  </w:r>
                </w:p>
              </w:tc>
              <w:tc>
                <w:tcPr>
                  <w:tcW w:w="755" w:type="pct"/>
                  <w:tcBorders>
                    <w:tl2br w:val="nil"/>
                    <w:tr2bl w:val="nil"/>
                  </w:tcBorders>
                  <w:noWrap w:val="0"/>
                  <w:vAlign w:val="center"/>
                </w:tcPr>
                <w:p w14:paraId="294AA63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储存位置</w:t>
                  </w:r>
                </w:p>
              </w:tc>
            </w:tr>
            <w:tr w14:paraId="050AD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tcBorders>
                    <w:tl2br w:val="nil"/>
                    <w:tr2bl w:val="nil"/>
                  </w:tcBorders>
                  <w:noWrap w:val="0"/>
                  <w:vAlign w:val="center"/>
                </w:tcPr>
                <w:p w14:paraId="20B2551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677" w:type="pct"/>
                  <w:tcBorders>
                    <w:tl2br w:val="nil"/>
                    <w:tr2bl w:val="nil"/>
                  </w:tcBorders>
                  <w:shd w:val="clear" w:color="auto" w:fill="auto"/>
                  <w:noWrap w:val="0"/>
                  <w:vAlign w:val="center"/>
                </w:tcPr>
                <w:p w14:paraId="321E312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铝锭</w:t>
                  </w:r>
                </w:p>
              </w:tc>
              <w:tc>
                <w:tcPr>
                  <w:tcW w:w="643" w:type="pct"/>
                  <w:tcBorders>
                    <w:tl2br w:val="nil"/>
                    <w:tr2bl w:val="nil"/>
                  </w:tcBorders>
                  <w:noWrap w:val="0"/>
                  <w:vAlign w:val="center"/>
                </w:tcPr>
                <w:p w14:paraId="557413B4">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sz w:val="21"/>
                    </w:rPr>
                    <mc:AlternateContent>
                      <mc:Choice Requires="wps">
                        <w:drawing>
                          <wp:anchor distT="0" distB="0" distL="114300" distR="114300" simplePos="0" relativeHeight="251719680" behindDoc="0" locked="0" layoutInCell="1" allowOverlap="1">
                            <wp:simplePos x="0" y="0"/>
                            <wp:positionH relativeFrom="column">
                              <wp:posOffset>-36830</wp:posOffset>
                            </wp:positionH>
                            <wp:positionV relativeFrom="paragraph">
                              <wp:posOffset>635</wp:posOffset>
                            </wp:positionV>
                            <wp:extent cx="2592070" cy="2009140"/>
                            <wp:effectExtent l="6350" t="6350" r="11430" b="22860"/>
                            <wp:wrapNone/>
                            <wp:docPr id="98" name="矩形 98"/>
                            <wp:cNvGraphicFramePr/>
                            <a:graphic xmlns:a="http://schemas.openxmlformats.org/drawingml/2006/main">
                              <a:graphicData uri="http://schemas.microsoft.com/office/word/2010/wordprocessingShape">
                                <wps:wsp>
                                  <wps:cNvSpPr/>
                                  <wps:spPr>
                                    <a:xfrm>
                                      <a:off x="0" y="0"/>
                                      <a:ext cx="2592070" cy="200914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pt;margin-top:0.05pt;height:158.2pt;width:204.1pt;z-index:251719680;v-text-anchor:middle;mso-width-relative:page;mso-height-relative:page;" fillcolor="#FFFFFF [3212]" filled="t" stroked="t" coordsize="21600,21600" o:gfxdata="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cx4ZL1gAAAAcBAAAPAAAAAAAAAAEAIAAAACIAAABkcnMvZG93bnJldi54bWxQ&#10;SwECFAAUAAAACACHTuJAtofQ12sCAAD3BAAADgAAAAAAAAABACAAAAAlAQAAZHJzL2Uyb0RvYy54&#10;bWxQSwUGAAAAAAYABgBZAQAAAgY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730</w:t>
                  </w:r>
                </w:p>
              </w:tc>
              <w:tc>
                <w:tcPr>
                  <w:tcW w:w="1355" w:type="pct"/>
                  <w:tcBorders>
                    <w:tl2br w:val="nil"/>
                    <w:tr2bl w:val="nil"/>
                  </w:tcBorders>
                  <w:noWrap w:val="0"/>
                  <w:vAlign w:val="center"/>
                </w:tcPr>
                <w:p w14:paraId="25DF786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Al：</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99.79</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%；其他微量元素：0.</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94" w:type="pct"/>
                  <w:tcBorders>
                    <w:tl2br w:val="nil"/>
                    <w:tr2bl w:val="nil"/>
                  </w:tcBorders>
                  <w:noWrap w:val="0"/>
                  <w:vAlign w:val="center"/>
                </w:tcPr>
                <w:p w14:paraId="770A48AE">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50</w:t>
                  </w:r>
                </w:p>
              </w:tc>
              <w:tc>
                <w:tcPr>
                  <w:tcW w:w="407" w:type="pct"/>
                  <w:tcBorders>
                    <w:tl2br w:val="nil"/>
                    <w:tr2bl w:val="nil"/>
                  </w:tcBorders>
                  <w:noWrap w:val="0"/>
                  <w:vAlign w:val="center"/>
                </w:tcPr>
                <w:p w14:paraId="02C01D8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w:t>
                  </w:r>
                </w:p>
              </w:tc>
              <w:tc>
                <w:tcPr>
                  <w:tcW w:w="381" w:type="pct"/>
                  <w:tcBorders>
                    <w:tl2br w:val="nil"/>
                    <w:tr2bl w:val="nil"/>
                  </w:tcBorders>
                  <w:noWrap w:val="0"/>
                  <w:vAlign w:val="center"/>
                </w:tcPr>
                <w:p w14:paraId="523CDE2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755" w:type="pct"/>
                  <w:tcBorders>
                    <w:tl2br w:val="nil"/>
                    <w:tr2bl w:val="nil"/>
                  </w:tcBorders>
                  <w:noWrap w:val="0"/>
                  <w:vAlign w:val="center"/>
                </w:tcPr>
                <w:p w14:paraId="1974CF1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原料仓库</w:t>
                  </w:r>
                </w:p>
              </w:tc>
            </w:tr>
            <w:tr w14:paraId="36E1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82" w:type="pct"/>
                  <w:tcBorders>
                    <w:tl2br w:val="nil"/>
                    <w:tr2bl w:val="nil"/>
                  </w:tcBorders>
                  <w:noWrap w:val="0"/>
                  <w:vAlign w:val="center"/>
                </w:tcPr>
                <w:p w14:paraId="7CDBC69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677" w:type="pct"/>
                  <w:tcBorders>
                    <w:tl2br w:val="nil"/>
                    <w:tr2bl w:val="nil"/>
                  </w:tcBorders>
                  <w:shd w:val="clear" w:color="auto" w:fill="auto"/>
                  <w:noWrap w:val="0"/>
                  <w:vAlign w:val="center"/>
                </w:tcPr>
                <w:p w14:paraId="05328E1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水性微乳冷却液</w:t>
                  </w:r>
                </w:p>
                <w:p w14:paraId="41590D3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red"/>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（切削液）</w:t>
                  </w:r>
                </w:p>
              </w:tc>
              <w:tc>
                <w:tcPr>
                  <w:tcW w:w="643" w:type="pct"/>
                  <w:tcBorders>
                    <w:tl2br w:val="nil"/>
                    <w:tr2bl w:val="nil"/>
                  </w:tcBorders>
                  <w:noWrap w:val="0"/>
                  <w:vAlign w:val="center"/>
                </w:tcPr>
                <w:p w14:paraId="0AD3AC6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red"/>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w:t>
                  </w:r>
                </w:p>
              </w:tc>
              <w:tc>
                <w:tcPr>
                  <w:tcW w:w="1355" w:type="pct"/>
                  <w:tcBorders>
                    <w:tl2br w:val="nil"/>
                    <w:tr2bl w:val="nil"/>
                  </w:tcBorders>
                  <w:noWrap w:val="0"/>
                  <w:vAlign w:val="center"/>
                </w:tcPr>
                <w:p w14:paraId="46D41568">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合成酯：20%；防锈防腐剂15%；抗氧缓蚀剂25%；其他优质原料20%；切削液20%</w:t>
                  </w:r>
                </w:p>
              </w:tc>
              <w:tc>
                <w:tcPr>
                  <w:tcW w:w="494" w:type="pct"/>
                  <w:tcBorders>
                    <w:tl2br w:val="nil"/>
                    <w:tr2bl w:val="nil"/>
                  </w:tcBorders>
                  <w:noWrap w:val="0"/>
                  <w:vAlign w:val="center"/>
                </w:tcPr>
                <w:p w14:paraId="517A8140">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w:t>
                  </w:r>
                </w:p>
              </w:tc>
              <w:tc>
                <w:tcPr>
                  <w:tcW w:w="407" w:type="pct"/>
                  <w:tcBorders>
                    <w:tl2br w:val="nil"/>
                    <w:tr2bl w:val="nil"/>
                  </w:tcBorders>
                  <w:noWrap w:val="0"/>
                  <w:vAlign w:val="center"/>
                </w:tcPr>
                <w:p w14:paraId="05172FA2">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液体</w:t>
                  </w:r>
                </w:p>
              </w:tc>
              <w:tc>
                <w:tcPr>
                  <w:tcW w:w="381" w:type="pct"/>
                  <w:tcBorders>
                    <w:tl2br w:val="nil"/>
                    <w:tr2bl w:val="nil"/>
                  </w:tcBorders>
                  <w:noWrap w:val="0"/>
                  <w:vAlign w:val="center"/>
                </w:tcPr>
                <w:p w14:paraId="10A60BD8">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桶装</w:t>
                  </w:r>
                </w:p>
              </w:tc>
              <w:tc>
                <w:tcPr>
                  <w:tcW w:w="755" w:type="pct"/>
                  <w:tcBorders>
                    <w:tl2br w:val="nil"/>
                    <w:tr2bl w:val="nil"/>
                  </w:tcBorders>
                  <w:noWrap w:val="0"/>
                  <w:vAlign w:val="center"/>
                </w:tcPr>
                <w:p w14:paraId="57B8C76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化学品仓库</w:t>
                  </w:r>
                </w:p>
              </w:tc>
            </w:tr>
            <w:tr w14:paraId="66A3F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2" w:type="pct"/>
                  <w:tcBorders>
                    <w:tl2br w:val="nil"/>
                    <w:tr2bl w:val="nil"/>
                  </w:tcBorders>
                  <w:shd w:val="clear" w:color="auto" w:fill="auto"/>
                  <w:noWrap w:val="0"/>
                  <w:vAlign w:val="center"/>
                </w:tcPr>
                <w:p w14:paraId="68EDF96A">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677" w:type="pct"/>
                  <w:tcBorders>
                    <w:tl2br w:val="nil"/>
                    <w:tr2bl w:val="nil"/>
                  </w:tcBorders>
                  <w:shd w:val="clear" w:color="auto" w:fill="auto"/>
                  <w:noWrap w:val="0"/>
                  <w:vAlign w:val="center"/>
                </w:tcPr>
                <w:p w14:paraId="72B177D9">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压铸脱模剂ZH618</w:t>
                  </w:r>
                </w:p>
              </w:tc>
              <w:tc>
                <w:tcPr>
                  <w:tcW w:w="643" w:type="pct"/>
                  <w:tcBorders>
                    <w:tl2br w:val="nil"/>
                    <w:tr2bl w:val="nil"/>
                  </w:tcBorders>
                  <w:shd w:val="clear" w:color="auto" w:fill="auto"/>
                  <w:noWrap w:val="0"/>
                  <w:vAlign w:val="center"/>
                </w:tcPr>
                <w:p w14:paraId="56924E3D">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355" w:type="pct"/>
                  <w:tcBorders>
                    <w:tl2br w:val="nil"/>
                    <w:tr2bl w:val="nil"/>
                  </w:tcBorders>
                  <w:shd w:val="clear" w:color="auto" w:fill="auto"/>
                  <w:noWrap w:val="0"/>
                  <w:vAlign w:val="center"/>
                </w:tcPr>
                <w:p w14:paraId="10E5E2A3">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可涂装硅酮4-7%；表面活性剂5-7%；光亮剂1%；防锈剂3-5%；乳化油14-20%；高分子合</w:t>
                  </w:r>
                  <w:r>
                    <w:rPr>
                      <w:sz w:val="21"/>
                    </w:rPr>
                    <mc:AlternateContent>
                      <mc:Choice Requires="wps">
                        <w:drawing>
                          <wp:anchor distT="0" distB="0" distL="114300" distR="114300" simplePos="0" relativeHeight="251720704" behindDoc="0" locked="0" layoutInCell="1" allowOverlap="1">
                            <wp:simplePos x="0" y="0"/>
                            <wp:positionH relativeFrom="column">
                              <wp:posOffset>-775335</wp:posOffset>
                            </wp:positionH>
                            <wp:positionV relativeFrom="paragraph">
                              <wp:posOffset>28575</wp:posOffset>
                            </wp:positionV>
                            <wp:extent cx="2705735" cy="1228725"/>
                            <wp:effectExtent l="6350" t="6350" r="12065" b="22225"/>
                            <wp:wrapNone/>
                            <wp:docPr id="132" name="矩形 132"/>
                            <wp:cNvGraphicFramePr/>
                            <a:graphic xmlns:a="http://schemas.openxmlformats.org/drawingml/2006/main">
                              <a:graphicData uri="http://schemas.microsoft.com/office/word/2010/wordprocessingShape">
                                <wps:wsp>
                                  <wps:cNvSpPr/>
                                  <wps:spPr>
                                    <a:xfrm>
                                      <a:off x="0" y="0"/>
                                      <a:ext cx="2705735" cy="12287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05pt;margin-top:2.25pt;height:96.75pt;width:213.05pt;z-index:251720704;v-text-anchor:middle;mso-width-relative:page;mso-height-relative:page;" fillcolor="#FFFFFF [3212]" filled="t" stroked="t" coordsize="21600,21600" o:gfxdata="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NA+8NgAAAAKAQAADwAAAAAAAAABACAAAAAiAAAAZHJzL2Rvd25yZXYu&#10;eG1sUEsBAhQAFAAAAAgAh07iQGxHUk1tAgAA+QQAAA4AAAAAAAAAAQAgAAAAJwEAAGRycy9lMm9E&#10;b2MueG1sUEsFBgAAAAAGAAYAWQEAAAYGAAAAAA==&#10;">
                            <v:fill on="t" focussize="0,0"/>
                            <v:stroke weight="1pt" color="#FFFFFF [3212]" miterlimit="8" joinstyle="miter"/>
                            <v:imagedata o:title=""/>
                            <o:lock v:ext="edit" aspectratio="f"/>
                          </v:rect>
                        </w:pict>
                      </mc:Fallback>
                    </mc:AlternateConten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成化合物15-25%</w:t>
                  </w:r>
                </w:p>
              </w:tc>
              <w:tc>
                <w:tcPr>
                  <w:tcW w:w="494" w:type="pct"/>
                  <w:tcBorders>
                    <w:tl2br w:val="nil"/>
                    <w:tr2bl w:val="nil"/>
                  </w:tcBorders>
                  <w:shd w:val="clear" w:color="auto" w:fill="auto"/>
                  <w:noWrap w:val="0"/>
                  <w:vAlign w:val="center"/>
                </w:tcPr>
                <w:p w14:paraId="512B8FA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w:t>
                  </w:r>
                </w:p>
              </w:tc>
              <w:tc>
                <w:tcPr>
                  <w:tcW w:w="407" w:type="pct"/>
                  <w:tcBorders>
                    <w:tl2br w:val="nil"/>
                    <w:tr2bl w:val="nil"/>
                  </w:tcBorders>
                  <w:shd w:val="clear" w:color="auto" w:fill="auto"/>
                  <w:noWrap w:val="0"/>
                  <w:vAlign w:val="center"/>
                </w:tcPr>
                <w:p w14:paraId="4B29A28C">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液体</w:t>
                  </w:r>
                </w:p>
              </w:tc>
              <w:tc>
                <w:tcPr>
                  <w:tcW w:w="381" w:type="pct"/>
                  <w:tcBorders>
                    <w:tl2br w:val="nil"/>
                    <w:tr2bl w:val="nil"/>
                  </w:tcBorders>
                  <w:shd w:val="clear" w:color="auto" w:fill="auto"/>
                  <w:noWrap w:val="0"/>
                  <w:vAlign w:val="center"/>
                </w:tcPr>
                <w:p w14:paraId="5200617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桶装</w:t>
                  </w:r>
                </w:p>
              </w:tc>
              <w:tc>
                <w:tcPr>
                  <w:tcW w:w="755" w:type="pct"/>
                  <w:tcBorders>
                    <w:tl2br w:val="nil"/>
                    <w:tr2bl w:val="nil"/>
                  </w:tcBorders>
                  <w:shd w:val="clear" w:color="auto" w:fill="auto"/>
                  <w:noWrap w:val="0"/>
                  <w:vAlign w:val="center"/>
                </w:tcPr>
                <w:p w14:paraId="1F60BEB9">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化学品仓库</w:t>
                  </w:r>
                </w:p>
              </w:tc>
            </w:tr>
            <w:tr w14:paraId="2553F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82" w:type="pct"/>
                  <w:tcBorders>
                    <w:tl2br w:val="nil"/>
                    <w:tr2bl w:val="nil"/>
                  </w:tcBorders>
                  <w:shd w:val="clear" w:color="auto" w:fill="auto"/>
                  <w:noWrap w:val="0"/>
                  <w:vAlign w:val="center"/>
                </w:tcPr>
                <w:p w14:paraId="014BB6BC">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677" w:type="pct"/>
                  <w:tcBorders>
                    <w:tl2br w:val="nil"/>
                    <w:tr2bl w:val="nil"/>
                  </w:tcBorders>
                  <w:shd w:val="clear" w:color="auto" w:fill="auto"/>
                  <w:noWrap w:val="0"/>
                  <w:vAlign w:val="center"/>
                </w:tcPr>
                <w:p w14:paraId="5080A3EC">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液压油</w:t>
                  </w:r>
                </w:p>
              </w:tc>
              <w:tc>
                <w:tcPr>
                  <w:tcW w:w="643" w:type="pct"/>
                  <w:tcBorders>
                    <w:tl2br w:val="nil"/>
                    <w:tr2bl w:val="nil"/>
                  </w:tcBorders>
                  <w:shd w:val="clear" w:color="auto" w:fill="auto"/>
                  <w:noWrap w:val="0"/>
                  <w:vAlign w:val="center"/>
                </w:tcPr>
                <w:p w14:paraId="2695BB34">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w:t>
                  </w:r>
                </w:p>
              </w:tc>
              <w:tc>
                <w:tcPr>
                  <w:tcW w:w="1355" w:type="pct"/>
                  <w:tcBorders>
                    <w:tl2br w:val="nil"/>
                    <w:tr2bl w:val="nil"/>
                  </w:tcBorders>
                  <w:shd w:val="clear" w:color="auto" w:fill="auto"/>
                  <w:noWrap w:val="0"/>
                  <w:vAlign w:val="center"/>
                </w:tcPr>
                <w:p w14:paraId="4445ED2E">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94" w:type="pct"/>
                  <w:tcBorders>
                    <w:tl2br w:val="nil"/>
                    <w:tr2bl w:val="nil"/>
                  </w:tcBorders>
                  <w:shd w:val="clear" w:color="auto" w:fill="auto"/>
                  <w:noWrap w:val="0"/>
                  <w:vAlign w:val="center"/>
                </w:tcPr>
                <w:p w14:paraId="48DE0DE0">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w:t>
                  </w:r>
                </w:p>
              </w:tc>
              <w:tc>
                <w:tcPr>
                  <w:tcW w:w="407" w:type="pct"/>
                  <w:tcBorders>
                    <w:tl2br w:val="nil"/>
                    <w:tr2bl w:val="nil"/>
                  </w:tcBorders>
                  <w:shd w:val="clear" w:color="auto" w:fill="auto"/>
                  <w:noWrap w:val="0"/>
                  <w:vAlign w:val="center"/>
                </w:tcPr>
                <w:p w14:paraId="10C64B5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液体</w:t>
                  </w:r>
                </w:p>
              </w:tc>
              <w:tc>
                <w:tcPr>
                  <w:tcW w:w="381" w:type="pct"/>
                  <w:tcBorders>
                    <w:tl2br w:val="nil"/>
                    <w:tr2bl w:val="nil"/>
                  </w:tcBorders>
                  <w:shd w:val="clear" w:color="auto" w:fill="auto"/>
                  <w:noWrap w:val="0"/>
                  <w:vAlign w:val="center"/>
                </w:tcPr>
                <w:p w14:paraId="3F150C84">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桶装</w:t>
                  </w:r>
                </w:p>
              </w:tc>
              <w:tc>
                <w:tcPr>
                  <w:tcW w:w="755" w:type="pct"/>
                  <w:tcBorders>
                    <w:tl2br w:val="nil"/>
                    <w:tr2bl w:val="nil"/>
                  </w:tcBorders>
                  <w:shd w:val="clear" w:color="auto" w:fill="auto"/>
                  <w:noWrap w:val="0"/>
                  <w:vAlign w:val="center"/>
                </w:tcPr>
                <w:p w14:paraId="48333F70">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化学品仓库</w:t>
                  </w:r>
                </w:p>
              </w:tc>
            </w:tr>
            <w:tr w14:paraId="09E6D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82" w:type="pct"/>
                  <w:tcBorders>
                    <w:tl2br w:val="nil"/>
                    <w:tr2bl w:val="nil"/>
                  </w:tcBorders>
                  <w:shd w:val="clear" w:color="auto" w:fill="auto"/>
                  <w:noWrap w:val="0"/>
                  <w:vAlign w:val="center"/>
                </w:tcPr>
                <w:p w14:paraId="35FC22B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p>
              </w:tc>
              <w:tc>
                <w:tcPr>
                  <w:tcW w:w="677" w:type="pct"/>
                  <w:tcBorders>
                    <w:tl2br w:val="nil"/>
                    <w:tr2bl w:val="nil"/>
                  </w:tcBorders>
                  <w:shd w:val="clear" w:color="auto" w:fill="auto"/>
                  <w:noWrap w:val="0"/>
                  <w:vAlign w:val="center"/>
                </w:tcPr>
                <w:p w14:paraId="5A13BD9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机油</w:t>
                  </w:r>
                </w:p>
              </w:tc>
              <w:tc>
                <w:tcPr>
                  <w:tcW w:w="643" w:type="pct"/>
                  <w:tcBorders>
                    <w:tl2br w:val="nil"/>
                    <w:tr2bl w:val="nil"/>
                  </w:tcBorders>
                  <w:shd w:val="clear" w:color="auto" w:fill="auto"/>
                  <w:noWrap w:val="0"/>
                  <w:vAlign w:val="center"/>
                </w:tcPr>
                <w:p w14:paraId="0311DDFA">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w:t>
                  </w:r>
                </w:p>
              </w:tc>
              <w:tc>
                <w:tcPr>
                  <w:tcW w:w="1355" w:type="pct"/>
                  <w:tcBorders>
                    <w:tl2br w:val="nil"/>
                    <w:tr2bl w:val="nil"/>
                  </w:tcBorders>
                  <w:shd w:val="clear" w:color="auto" w:fill="auto"/>
                  <w:noWrap w:val="0"/>
                  <w:vAlign w:val="center"/>
                </w:tcPr>
                <w:p w14:paraId="22C68DAB">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94" w:type="pct"/>
                  <w:tcBorders>
                    <w:tl2br w:val="nil"/>
                    <w:tr2bl w:val="nil"/>
                  </w:tcBorders>
                  <w:shd w:val="clear" w:color="auto" w:fill="auto"/>
                  <w:noWrap w:val="0"/>
                  <w:vAlign w:val="center"/>
                </w:tcPr>
                <w:p w14:paraId="5EE35408">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0.4</w:t>
                  </w:r>
                </w:p>
              </w:tc>
              <w:tc>
                <w:tcPr>
                  <w:tcW w:w="407" w:type="pct"/>
                  <w:tcBorders>
                    <w:tl2br w:val="nil"/>
                    <w:tr2bl w:val="nil"/>
                  </w:tcBorders>
                  <w:shd w:val="clear" w:color="auto" w:fill="auto"/>
                  <w:noWrap w:val="0"/>
                  <w:vAlign w:val="center"/>
                </w:tcPr>
                <w:p w14:paraId="3D0081C0">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液体</w:t>
                  </w:r>
                </w:p>
              </w:tc>
              <w:tc>
                <w:tcPr>
                  <w:tcW w:w="381" w:type="pct"/>
                  <w:tcBorders>
                    <w:tl2br w:val="nil"/>
                    <w:tr2bl w:val="nil"/>
                  </w:tcBorders>
                  <w:shd w:val="clear" w:color="auto" w:fill="auto"/>
                  <w:noWrap w:val="0"/>
                  <w:vAlign w:val="center"/>
                </w:tcPr>
                <w:p w14:paraId="5648C16E">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桶装</w:t>
                  </w:r>
                </w:p>
              </w:tc>
              <w:tc>
                <w:tcPr>
                  <w:tcW w:w="755" w:type="pct"/>
                  <w:tcBorders>
                    <w:tl2br w:val="nil"/>
                    <w:tr2bl w:val="nil"/>
                  </w:tcBorders>
                  <w:shd w:val="clear" w:color="auto" w:fill="auto"/>
                  <w:noWrap w:val="0"/>
                  <w:vAlign w:val="center"/>
                </w:tcPr>
                <w:p w14:paraId="7194EF7A">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化学品仓库</w:t>
                  </w:r>
                </w:p>
              </w:tc>
            </w:tr>
            <w:tr w14:paraId="10E1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82" w:type="pct"/>
                  <w:tcBorders>
                    <w:tl2br w:val="nil"/>
                    <w:tr2bl w:val="nil"/>
                  </w:tcBorders>
                  <w:noWrap w:val="0"/>
                  <w:vAlign w:val="center"/>
                </w:tcPr>
                <w:p w14:paraId="206379E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p>
              </w:tc>
              <w:tc>
                <w:tcPr>
                  <w:tcW w:w="677" w:type="pct"/>
                  <w:tcBorders>
                    <w:tl2br w:val="nil"/>
                    <w:tr2bl w:val="nil"/>
                  </w:tcBorders>
                  <w:noWrap w:val="0"/>
                  <w:vAlign w:val="center"/>
                </w:tcPr>
                <w:p w14:paraId="47D459A0">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生产用电</w:t>
                  </w:r>
                </w:p>
              </w:tc>
              <w:tc>
                <w:tcPr>
                  <w:tcW w:w="1999" w:type="pct"/>
                  <w:gridSpan w:val="2"/>
                  <w:tcBorders>
                    <w:tl2br w:val="nil"/>
                    <w:tr2bl w:val="nil"/>
                  </w:tcBorders>
                  <w:noWrap w:val="0"/>
                  <w:vAlign w:val="center"/>
                </w:tcPr>
                <w:p w14:paraId="39820AE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96万kwh/a</w:t>
                  </w:r>
                </w:p>
              </w:tc>
              <w:tc>
                <w:tcPr>
                  <w:tcW w:w="2039" w:type="pct"/>
                  <w:gridSpan w:val="4"/>
                  <w:tcBorders>
                    <w:tl2br w:val="nil"/>
                    <w:tr2bl w:val="nil"/>
                  </w:tcBorders>
                  <w:noWrap w:val="0"/>
                  <w:vAlign w:val="center"/>
                </w:tcPr>
                <w:p w14:paraId="0922018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878E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82" w:type="pct"/>
                  <w:tcBorders>
                    <w:tl2br w:val="nil"/>
                    <w:tr2bl w:val="nil"/>
                  </w:tcBorders>
                  <w:noWrap w:val="0"/>
                  <w:vAlign w:val="center"/>
                </w:tcPr>
                <w:p w14:paraId="2AD1818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w:t>
                  </w:r>
                </w:p>
              </w:tc>
              <w:tc>
                <w:tcPr>
                  <w:tcW w:w="677" w:type="pct"/>
                  <w:tcBorders>
                    <w:tl2br w:val="nil"/>
                    <w:tr2bl w:val="nil"/>
                  </w:tcBorders>
                  <w:noWrap w:val="0"/>
                  <w:vAlign w:val="center"/>
                </w:tcPr>
                <w:p w14:paraId="396DE297">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生产用水</w:t>
                  </w:r>
                </w:p>
              </w:tc>
              <w:tc>
                <w:tcPr>
                  <w:tcW w:w="1999" w:type="pct"/>
                  <w:gridSpan w:val="2"/>
                  <w:tcBorders>
                    <w:tl2br w:val="nil"/>
                    <w:tr2bl w:val="nil"/>
                  </w:tcBorders>
                  <w:noWrap w:val="0"/>
                  <w:vAlign w:val="center"/>
                </w:tcPr>
                <w:p w14:paraId="6BE57EC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5300t/a</w:t>
                  </w:r>
                </w:p>
              </w:tc>
              <w:tc>
                <w:tcPr>
                  <w:tcW w:w="2039" w:type="pct"/>
                  <w:gridSpan w:val="4"/>
                  <w:tcBorders>
                    <w:tl2br w:val="nil"/>
                    <w:tr2bl w:val="nil"/>
                  </w:tcBorders>
                  <w:noWrap w:val="0"/>
                  <w:vAlign w:val="center"/>
                </w:tcPr>
                <w:p w14:paraId="2925586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bl>
          <w:p w14:paraId="3833A7E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表2.2-</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 原辅材料</w:t>
            </w: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理化性质表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97"/>
              <w:gridCol w:w="6243"/>
            </w:tblGrid>
            <w:tr w14:paraId="17AEE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71" w:type="pct"/>
                  <w:tcBorders>
                    <w:tl2br w:val="nil"/>
                    <w:tr2bl w:val="nil"/>
                  </w:tcBorders>
                  <w:vAlign w:val="center"/>
                </w:tcPr>
                <w:p w14:paraId="62C2D0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989" w:type="pct"/>
                  <w:tcBorders>
                    <w:tl2br w:val="nil"/>
                    <w:tr2bl w:val="nil"/>
                  </w:tcBorders>
                  <w:vAlign w:val="center"/>
                </w:tcPr>
                <w:p w14:paraId="3175B8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原辅材料名称</w:t>
                  </w:r>
                </w:p>
              </w:tc>
              <w:tc>
                <w:tcPr>
                  <w:tcW w:w="3638" w:type="pct"/>
                  <w:tcBorders>
                    <w:tl2br w:val="nil"/>
                    <w:tr2bl w:val="nil"/>
                  </w:tcBorders>
                  <w:vAlign w:val="center"/>
                </w:tcPr>
                <w:p w14:paraId="2D80BD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理化性质</w:t>
                  </w:r>
                </w:p>
              </w:tc>
            </w:tr>
            <w:tr w14:paraId="64151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371" w:type="pct"/>
                  <w:tcBorders>
                    <w:tl2br w:val="nil"/>
                    <w:tr2bl w:val="nil"/>
                  </w:tcBorders>
                  <w:shd w:val="clear" w:color="auto" w:fill="auto"/>
                  <w:vAlign w:val="center"/>
                </w:tcPr>
                <w:p w14:paraId="674F76D3">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989" w:type="pct"/>
                  <w:tcBorders>
                    <w:tl2br w:val="nil"/>
                    <w:tr2bl w:val="nil"/>
                  </w:tcBorders>
                  <w:shd w:val="clear" w:color="auto" w:fill="auto"/>
                  <w:vAlign w:val="center"/>
                </w:tcPr>
                <w:p w14:paraId="2061DF0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铝锭</w:t>
                  </w:r>
                </w:p>
              </w:tc>
              <w:tc>
                <w:tcPr>
                  <w:tcW w:w="3638" w:type="pct"/>
                  <w:tcBorders>
                    <w:tl2br w:val="nil"/>
                    <w:tr2bl w:val="nil"/>
                  </w:tcBorders>
                  <w:vAlign w:val="center"/>
                </w:tcPr>
                <w:p w14:paraId="71EBE7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铝锭为银白色金属，具有明亮的金属光泽。新切割的表面光泽度很高，但在空气中会迅速氧化形成一层致密氧化膜而变暗。密度约2.7g/cm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，因此铝及其合金是典型的轻金属材料。熔点在660</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左右，具有良好的导电性。</w:t>
                  </w:r>
                  <w:r>
                    <w:rPr>
                      <w:rFonts w:hint="eastAsia" w:cs="Times New Roman"/>
                      <w:color w:val="000000" w:themeColor="text1"/>
                      <w:sz w:val="21"/>
                      <w:szCs w:val="21"/>
                      <w:highlight w:val="none"/>
                      <w:vertAlign w:val="baseline"/>
                      <w:lang w:val="en-US" w:eastAsia="zh-CN"/>
                      <w14:textFill>
                        <w14:solidFill>
                          <w14:schemeClr w14:val="tx1"/>
                        </w14:solidFill>
                      </w14:textFill>
                    </w:rPr>
                    <w:t>（详见</w:t>
                  </w:r>
                  <w:r>
                    <w:rPr>
                      <w:rFonts w:hint="eastAsia" w:cs="Times New Roman"/>
                      <w:b/>
                      <w:bCs/>
                      <w:color w:val="000000" w:themeColor="text1"/>
                      <w:sz w:val="21"/>
                      <w:szCs w:val="21"/>
                      <w:highlight w:val="none"/>
                      <w:vertAlign w:val="baseline"/>
                      <w:lang w:val="en-US" w:eastAsia="zh-CN"/>
                      <w14:textFill>
                        <w14:solidFill>
                          <w14:schemeClr w14:val="tx1"/>
                        </w14:solidFill>
                      </w14:textFill>
                    </w:rPr>
                    <w:t>附件十八（1）</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3A4D2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371" w:type="pct"/>
                  <w:tcBorders>
                    <w:tl2br w:val="nil"/>
                    <w:tr2bl w:val="nil"/>
                  </w:tcBorders>
                  <w:shd w:val="clear" w:color="auto" w:fill="auto"/>
                  <w:vAlign w:val="center"/>
                </w:tcPr>
                <w:p w14:paraId="4F2558F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w:t>
                  </w:r>
                </w:p>
              </w:tc>
              <w:tc>
                <w:tcPr>
                  <w:tcW w:w="989" w:type="pct"/>
                  <w:tcBorders>
                    <w:tl2br w:val="nil"/>
                    <w:tr2bl w:val="nil"/>
                  </w:tcBorders>
                  <w:shd w:val="clear" w:color="auto" w:fill="auto"/>
                  <w:vAlign w:val="center"/>
                </w:tcPr>
                <w:p w14:paraId="2A26BEA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水性微乳冷却液（切削液）</w:t>
                  </w:r>
                </w:p>
              </w:tc>
              <w:tc>
                <w:tcPr>
                  <w:tcW w:w="3638" w:type="pct"/>
                  <w:tcBorders>
                    <w:tl2br w:val="nil"/>
                    <w:tr2bl w:val="nil"/>
                  </w:tcBorders>
                  <w:shd w:val="clear" w:color="auto" w:fill="auto"/>
                  <w:vAlign w:val="center"/>
                </w:tcPr>
                <w:p w14:paraId="7B8426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水性微乳冷却液</w:t>
                  </w:r>
                  <w:r>
                    <w:rPr>
                      <w:rFonts w:hint="eastAsia" w:cs="Times New Roman"/>
                      <w:b w:val="0"/>
                      <w:bCs w:val="0"/>
                      <w:color w:val="000000" w:themeColor="text1"/>
                      <w:sz w:val="21"/>
                      <w:szCs w:val="21"/>
                      <w:highlight w:val="none"/>
                      <w:lang w:val="en-US" w:eastAsia="zh-CN"/>
                      <w14:textFill>
                        <w14:solidFill>
                          <w14:schemeClr w14:val="tx1"/>
                        </w14:solidFill>
                      </w14:textFill>
                    </w:rPr>
                    <w:t>（半合成微乳化切削液）：外观为黄透明液体，原液浓度43-45，密度典型900kg/m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，pH值为9.0-9.5（5%稀释液）。化学性质稳定，应避免极端温度及阳光直晒，为强氧化剂，在正常储存情况下，不会形成危险的分解物。（详见</w:t>
                  </w:r>
                  <w:r>
                    <w:rPr>
                      <w:rFonts w:hint="eastAsia" w:cs="Times New Roman"/>
                      <w:b/>
                      <w:bCs/>
                      <w:color w:val="000000" w:themeColor="text1"/>
                      <w:sz w:val="21"/>
                      <w:szCs w:val="21"/>
                      <w:highlight w:val="none"/>
                      <w:vertAlign w:val="baseline"/>
                      <w:lang w:val="en-US" w:eastAsia="zh-CN"/>
                      <w14:textFill>
                        <w14:solidFill>
                          <w14:schemeClr w14:val="tx1"/>
                        </w14:solidFill>
                      </w14:textFill>
                    </w:rPr>
                    <w:t>附件十八（3）</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32A1C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371" w:type="pct"/>
                  <w:tcBorders>
                    <w:tl2br w:val="nil"/>
                    <w:tr2bl w:val="nil"/>
                  </w:tcBorders>
                  <w:shd w:val="clear" w:color="auto" w:fill="auto"/>
                  <w:vAlign w:val="center"/>
                </w:tcPr>
                <w:p w14:paraId="751EFF84">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989" w:type="pct"/>
                  <w:tcBorders>
                    <w:tl2br w:val="nil"/>
                    <w:tr2bl w:val="nil"/>
                  </w:tcBorders>
                  <w:shd w:val="clear" w:color="auto" w:fill="auto"/>
                  <w:vAlign w:val="center"/>
                </w:tcPr>
                <w:p w14:paraId="7CC9287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压铸脱模剂ZH618</w:t>
                  </w:r>
                </w:p>
              </w:tc>
              <w:tc>
                <w:tcPr>
                  <w:tcW w:w="3638" w:type="pct"/>
                  <w:tcBorders>
                    <w:tl2br w:val="nil"/>
                    <w:tr2bl w:val="nil"/>
                  </w:tcBorders>
                  <w:shd w:val="clear" w:color="auto" w:fill="auto"/>
                  <w:vAlign w:val="center"/>
                </w:tcPr>
                <w:p w14:paraId="76F5EA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外观为乳白色液体，密度在20℃时约0.97-1.0g/m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之间。呈弱碱性（pH7.0-7.5）无闪点，无限混溶于水。高温下不易分解，具有良好的润滑作用，冷却性良好废气量少。无腐蚀性。无燃烧成分，不燃。（详见</w:t>
                  </w:r>
                  <w:r>
                    <w:rPr>
                      <w:rFonts w:hint="eastAsia" w:cs="Times New Roman"/>
                      <w:b/>
                      <w:bCs/>
                      <w:color w:val="000000" w:themeColor="text1"/>
                      <w:sz w:val="21"/>
                      <w:szCs w:val="21"/>
                      <w:highlight w:val="none"/>
                      <w:vertAlign w:val="baseline"/>
                      <w:lang w:val="en-US" w:eastAsia="zh-CN"/>
                      <w14:textFill>
                        <w14:solidFill>
                          <w14:schemeClr w14:val="tx1"/>
                        </w14:solidFill>
                      </w14:textFill>
                    </w:rPr>
                    <w:t>附件十八（2）</w:t>
                  </w: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1F443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71" w:type="pct"/>
                  <w:tcBorders>
                    <w:tl2br w:val="nil"/>
                    <w:tr2bl w:val="nil"/>
                  </w:tcBorders>
                  <w:shd w:val="clear" w:color="auto" w:fill="auto"/>
                  <w:vAlign w:val="center"/>
                </w:tcPr>
                <w:p w14:paraId="0A69418C">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4</w:t>
                  </w:r>
                </w:p>
              </w:tc>
              <w:tc>
                <w:tcPr>
                  <w:tcW w:w="989" w:type="pct"/>
                  <w:tcBorders>
                    <w:tl2br w:val="nil"/>
                    <w:tr2bl w:val="nil"/>
                  </w:tcBorders>
                  <w:shd w:val="clear" w:color="auto" w:fill="auto"/>
                  <w:vAlign w:val="center"/>
                </w:tcPr>
                <w:p w14:paraId="7D9D231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液压油、润滑油</w:t>
                  </w:r>
                </w:p>
              </w:tc>
              <w:tc>
                <w:tcPr>
                  <w:tcW w:w="3638" w:type="pct"/>
                  <w:tcBorders>
                    <w:tl2br w:val="nil"/>
                    <w:tr2bl w:val="nil"/>
                  </w:tcBorders>
                  <w:shd w:val="clear" w:color="auto" w:fill="auto"/>
                  <w:vAlign w:val="center"/>
                </w:tcPr>
                <w:p w14:paraId="6BD2B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新的液压油、润滑油通常呈淡黄色，清澈透明。带有轻度矿物油味，密度通常在0.85-0.9g/m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之间。在金属摩擦（如泵、马达、油缸）之间形成强韧的油膜，防止金属直接接触，减少磨损。在与水接触并混合后，能迅速分离的能力。</w:t>
                  </w:r>
                </w:p>
              </w:tc>
            </w:tr>
          </w:tbl>
          <w:p w14:paraId="206ECAC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35" w:name="_Toc497"/>
            <w:bookmarkStart w:id="36" w:name="_Toc31186"/>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2.2.7项目水平衡</w:t>
            </w:r>
            <w:bookmarkEnd w:id="35"/>
            <w:bookmarkEnd w:id="36"/>
          </w:p>
          <w:p w14:paraId="0F2359DB">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37" w:name="_Toc81"/>
            <w:r>
              <w:rPr>
                <w:rFonts w:hint="eastAsia"/>
                <w:b w:val="0"/>
                <w:bCs/>
                <w:color w:val="000000" w:themeColor="text1"/>
                <w:sz w:val="24"/>
                <w:highlight w:val="none"/>
                <w14:textFill>
                  <w14:solidFill>
                    <w14:schemeClr w14:val="tx1"/>
                  </w14:solidFill>
                </w14:textFill>
              </w:rPr>
              <w:t>（1）生活污水</w:t>
            </w:r>
            <w:bookmarkEnd w:id="37"/>
          </w:p>
          <w:p w14:paraId="5565F66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color w:val="000000" w:themeColor="text1"/>
                <w:kern w:val="0"/>
                <w:sz w:val="24"/>
                <w:highlight w:val="none"/>
                <w:lang w:bidi="ar"/>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color w:val="000000" w:themeColor="text1"/>
                <w:sz w:val="24"/>
                <w:highlight w:val="none"/>
                <w14:textFill>
                  <w14:solidFill>
                    <w14:schemeClr w14:val="tx1"/>
                  </w14:solidFill>
                </w14:textFill>
              </w:rPr>
              <w:t>《建筑给水排水设计标准》</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GB50015-2019</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，本项目</w:t>
            </w:r>
            <w:r>
              <w:rPr>
                <w:rFonts w:hint="eastAsia"/>
                <w:color w:val="000000" w:themeColor="text1"/>
                <w:sz w:val="24"/>
                <w:highlight w:val="none"/>
                <w14:textFill>
                  <w14:solidFill>
                    <w14:schemeClr w14:val="tx1"/>
                  </w14:solidFill>
                </w14:textFill>
              </w:rPr>
              <w:t>不</w:t>
            </w:r>
            <w:r>
              <w:rPr>
                <w:color w:val="000000" w:themeColor="text1"/>
                <w:sz w:val="24"/>
                <w:highlight w:val="none"/>
                <w14:textFill>
                  <w14:solidFill>
                    <w14:schemeClr w14:val="tx1"/>
                  </w14:solidFill>
                </w14:textFill>
              </w:rPr>
              <w:t>住宿员工用水量按</w:t>
            </w:r>
            <w:r>
              <w:rPr>
                <w:rFonts w:hint="eastAsia"/>
                <w:color w:val="000000" w:themeColor="text1"/>
                <w:sz w:val="24"/>
                <w:highlight w:val="none"/>
                <w14:textFill>
                  <w14:solidFill>
                    <w14:schemeClr w14:val="tx1"/>
                  </w14:solidFill>
                </w14:textFill>
              </w:rPr>
              <w:t>50</w:t>
            </w:r>
            <w:r>
              <w:rPr>
                <w:color w:val="000000" w:themeColor="text1"/>
                <w:sz w:val="24"/>
                <w:highlight w:val="none"/>
                <w14:textFill>
                  <w14:solidFill>
                    <w14:schemeClr w14:val="tx1"/>
                  </w14:solidFill>
                </w14:textFill>
              </w:rPr>
              <w:t>L/人·d计</w:t>
            </w:r>
            <w:r>
              <w:rPr>
                <w:color w:val="000000" w:themeColor="text1"/>
                <w:kern w:val="0"/>
                <w:sz w:val="24"/>
                <w:highlight w:val="none"/>
                <w:lang w:bidi="ar"/>
                <w14:textFill>
                  <w14:solidFill>
                    <w14:schemeClr w14:val="tx1"/>
                  </w14:solidFill>
                </w14:textFill>
              </w:rPr>
              <w:t>，项目职工人数</w:t>
            </w:r>
            <w:r>
              <w:rPr>
                <w:rFonts w:hint="eastAsia"/>
                <w:color w:val="000000" w:themeColor="text1"/>
                <w:kern w:val="0"/>
                <w:sz w:val="24"/>
                <w:highlight w:val="none"/>
                <w:lang w:val="en-US" w:eastAsia="zh-CN" w:bidi="ar"/>
                <w14:textFill>
                  <w14:solidFill>
                    <w14:schemeClr w14:val="tx1"/>
                  </w14:solidFill>
                </w14:textFill>
              </w:rPr>
              <w:t>30</w:t>
            </w:r>
            <w:r>
              <w:rPr>
                <w:color w:val="000000" w:themeColor="text1"/>
                <w:kern w:val="0"/>
                <w:sz w:val="24"/>
                <w:highlight w:val="none"/>
                <w:lang w:bidi="ar"/>
                <w14:textFill>
                  <w14:solidFill>
                    <w14:schemeClr w14:val="tx1"/>
                  </w14:solidFill>
                </w14:textFill>
              </w:rPr>
              <w:t>人，均不住厂，则生活用水量约</w:t>
            </w:r>
            <w:r>
              <w:rPr>
                <w:rFonts w:hint="eastAsia"/>
                <w:color w:val="000000" w:themeColor="text1"/>
                <w:kern w:val="0"/>
                <w:sz w:val="24"/>
                <w:highlight w:val="none"/>
                <w:lang w:val="en-US" w:eastAsia="zh-CN" w:bidi="ar"/>
                <w14:textFill>
                  <w14:solidFill>
                    <w14:schemeClr w14:val="tx1"/>
                  </w14:solidFill>
                </w14:textFill>
              </w:rPr>
              <w:t>1.5</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eastAsia="zh-CN" w:bidi="ar"/>
                <w14:textFill>
                  <w14:solidFill>
                    <w14:schemeClr w14:val="tx1"/>
                  </w14:solidFill>
                </w14:textFill>
              </w:rPr>
              <w:t>，</w:t>
            </w:r>
            <w:r>
              <w:rPr>
                <w:color w:val="000000" w:themeColor="text1"/>
                <w:kern w:val="0"/>
                <w:sz w:val="24"/>
                <w:highlight w:val="none"/>
                <w:lang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450</w:t>
            </w:r>
            <w:r>
              <w:rPr>
                <w:color w:val="000000" w:themeColor="text1"/>
                <w:kern w:val="0"/>
                <w:sz w:val="24"/>
                <w:highlight w:val="none"/>
                <w:lang w:bidi="ar"/>
                <w14:textFill>
                  <w14:solidFill>
                    <w14:schemeClr w14:val="tx1"/>
                  </w14:solidFill>
                </w14:textFill>
              </w:rPr>
              <w:t>t/a），项目废水排放系数按照0.8计算，则废水产生量为</w:t>
            </w:r>
            <w:r>
              <w:rPr>
                <w:rFonts w:hint="eastAsia"/>
                <w:color w:val="000000" w:themeColor="text1"/>
                <w:kern w:val="0"/>
                <w:sz w:val="24"/>
                <w:highlight w:val="none"/>
                <w:lang w:val="en-US" w:eastAsia="zh-CN" w:bidi="ar"/>
                <w14:textFill>
                  <w14:solidFill>
                    <w14:schemeClr w14:val="tx1"/>
                  </w14:solidFill>
                </w14:textFill>
              </w:rPr>
              <w:t>1.2</w:t>
            </w:r>
            <w:r>
              <w:rPr>
                <w:color w:val="000000" w:themeColor="text1"/>
                <w:kern w:val="0"/>
                <w:sz w:val="24"/>
                <w:highlight w:val="none"/>
                <w:lang w:bidi="ar"/>
                <w14:textFill>
                  <w14:solidFill>
                    <w14:schemeClr w14:val="tx1"/>
                  </w14:solidFill>
                </w14:textFill>
              </w:rPr>
              <w:t>t/d（</w:t>
            </w:r>
            <w:r>
              <w:rPr>
                <w:rFonts w:hint="eastAsia"/>
                <w:color w:val="000000" w:themeColor="text1"/>
                <w:kern w:val="0"/>
                <w:sz w:val="24"/>
                <w:highlight w:val="none"/>
                <w:lang w:val="en-US" w:eastAsia="zh-CN" w:bidi="ar"/>
                <w14:textFill>
                  <w14:solidFill>
                    <w14:schemeClr w14:val="tx1"/>
                  </w14:solidFill>
                </w14:textFill>
              </w:rPr>
              <w:t>360</w:t>
            </w:r>
            <w:r>
              <w:rPr>
                <w:color w:val="000000" w:themeColor="text1"/>
                <w:kern w:val="0"/>
                <w:sz w:val="24"/>
                <w:highlight w:val="none"/>
                <w:lang w:bidi="ar"/>
                <w14:textFill>
                  <w14:solidFill>
                    <w14:schemeClr w14:val="tx1"/>
                  </w14:solidFill>
                </w14:textFill>
              </w:rPr>
              <w:t>t/a）</w:t>
            </w:r>
            <w:r>
              <w:rPr>
                <w:rFonts w:hint="eastAsia"/>
                <w:color w:val="000000" w:themeColor="text1"/>
                <w:kern w:val="0"/>
                <w:sz w:val="24"/>
                <w:highlight w:val="none"/>
                <w:lang w:eastAsia="zh-CN" w:bidi="ar"/>
                <w14:textFill>
                  <w14:solidFill>
                    <w14:schemeClr w14:val="tx1"/>
                  </w14:solidFill>
                </w14:textFill>
              </w:rPr>
              <w:t>，</w:t>
            </w:r>
            <w:r>
              <w:rPr>
                <w:rFonts w:hint="eastAsia"/>
                <w:color w:val="000000" w:themeColor="text1"/>
                <w:kern w:val="0"/>
                <w:sz w:val="24"/>
                <w:highlight w:val="none"/>
                <w:lang w:val="en-US" w:eastAsia="zh-CN" w:bidi="ar"/>
                <w14:textFill>
                  <w14:solidFill>
                    <w14:schemeClr w14:val="tx1"/>
                  </w14:solidFill>
                </w14:textFill>
              </w:rPr>
              <w:t>生活污水依托厂内已建的化粪池处理后进入市政污水管网纳入</w:t>
            </w:r>
            <w:r>
              <w:rPr>
                <w:rFonts w:hint="eastAsia" w:ascii="Times New Roman" w:hAnsi="Times New Roman" w:eastAsia="宋体" w:cs="Times New Roman"/>
                <w:color w:val="000000" w:themeColor="text1"/>
                <w:spacing w:val="0"/>
                <w:sz w:val="24"/>
                <w:szCs w:val="24"/>
                <w:highlight w:val="none"/>
                <w:u w:val="none"/>
                <w:lang w:eastAsia="zh-CN"/>
                <w14:textFill>
                  <w14:solidFill>
                    <w14:schemeClr w14:val="tx1"/>
                  </w14:solidFill>
                </w14:textFill>
              </w:rPr>
              <w:t>福清市融元污水处理厂</w:t>
            </w:r>
            <w:r>
              <w:rPr>
                <w:rFonts w:hint="eastAsia"/>
                <w:color w:val="000000" w:themeColor="text1"/>
                <w:kern w:val="0"/>
                <w:sz w:val="24"/>
                <w:highlight w:val="none"/>
                <w:lang w:val="en-US" w:eastAsia="zh-CN" w:bidi="ar"/>
                <w14:textFill>
                  <w14:solidFill>
                    <w14:schemeClr w14:val="tx1"/>
                  </w14:solidFill>
                </w14:textFill>
              </w:rPr>
              <w:t>集中处理</w:t>
            </w:r>
            <w:r>
              <w:rPr>
                <w:rFonts w:hint="eastAsia"/>
                <w:color w:val="000000" w:themeColor="text1"/>
                <w:kern w:val="0"/>
                <w:sz w:val="24"/>
                <w:highlight w:val="none"/>
                <w:lang w:bidi="ar"/>
                <w14:textFill>
                  <w14:solidFill>
                    <w14:schemeClr w14:val="tx1"/>
                  </w14:solidFill>
                </w14:textFill>
              </w:rPr>
              <w:t>。</w:t>
            </w:r>
          </w:p>
          <w:p w14:paraId="17E1DCBC">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000000" w:themeColor="text1"/>
                <w:sz w:val="24"/>
                <w:highlight w:val="none"/>
                <w14:textFill>
                  <w14:solidFill>
                    <w14:schemeClr w14:val="tx1"/>
                  </w14:solidFill>
                </w14:textFill>
              </w:rPr>
            </w:pPr>
            <w:bookmarkStart w:id="38" w:name="_Toc27624"/>
            <w:r>
              <w:rPr>
                <w:rFonts w:hint="eastAsia"/>
                <w:b w:val="0"/>
                <w:bCs/>
                <w:color w:val="000000" w:themeColor="text1"/>
                <w:sz w:val="24"/>
                <w:highlight w:val="none"/>
                <w14:textFill>
                  <w14:solidFill>
                    <w14:schemeClr w14:val="tx1"/>
                  </w14:solidFill>
                </w14:textFill>
              </w:rPr>
              <w:t>（2）</w:t>
            </w:r>
            <w:r>
              <w:rPr>
                <w:rFonts w:hint="eastAsia"/>
                <w:b w:val="0"/>
                <w:bCs/>
                <w:color w:val="000000" w:themeColor="text1"/>
                <w:sz w:val="24"/>
                <w:highlight w:val="none"/>
                <w:lang w:val="en-US" w:eastAsia="zh-CN"/>
                <w14:textFill>
                  <w14:solidFill>
                    <w14:schemeClr w14:val="tx1"/>
                  </w14:solidFill>
                </w14:textFill>
              </w:rPr>
              <w:t>压铸成型</w:t>
            </w:r>
            <w:r>
              <w:rPr>
                <w:rFonts w:hint="eastAsia"/>
                <w:b w:val="0"/>
                <w:bCs/>
                <w:color w:val="000000" w:themeColor="text1"/>
                <w:sz w:val="24"/>
                <w:highlight w:val="none"/>
                <w14:textFill>
                  <w14:solidFill>
                    <w14:schemeClr w14:val="tx1"/>
                  </w14:solidFill>
                </w14:textFill>
              </w:rPr>
              <w:t>冷却水</w:t>
            </w:r>
            <w:bookmarkEnd w:id="38"/>
          </w:p>
          <w:p w14:paraId="28C0DFA1">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w:t>本项目拟设1台冷却塔，</w:t>
            </w:r>
            <w:r>
              <w:rPr>
                <w:rFonts w:hint="eastAsia"/>
                <w:color w:val="000000" w:themeColor="text1"/>
                <w:sz w:val="24"/>
                <w:highlight w:val="none"/>
                <w14:textFill>
                  <w14:solidFill>
                    <w14:schemeClr w14:val="tx1"/>
                  </w14:solidFill>
                </w14:textFill>
              </w:rPr>
              <w:t>主要供给项目</w:t>
            </w:r>
            <w:r>
              <w:rPr>
                <w:rFonts w:hint="eastAsia"/>
                <w:color w:val="000000" w:themeColor="text1"/>
                <w:sz w:val="24"/>
                <w:highlight w:val="none"/>
                <w:lang w:val="en-US" w:eastAsia="zh-CN"/>
                <w14:textFill>
                  <w14:solidFill>
                    <w14:schemeClr w14:val="tx1"/>
                  </w14:solidFill>
                </w14:textFill>
              </w:rPr>
              <w:t>压铸成型工序进行冷却</w:t>
            </w:r>
            <w:r>
              <w:rPr>
                <w:rFonts w:hint="eastAsia"/>
                <w:color w:val="000000" w:themeColor="text1"/>
                <w:sz w:val="24"/>
                <w:highlight w:val="none"/>
                <w14:textFill>
                  <w14:solidFill>
                    <w14:schemeClr w14:val="tx1"/>
                  </w14:solidFill>
                </w14:textFill>
              </w:rPr>
              <w:t>，通过设备安装循环管道进行冷却，</w:t>
            </w:r>
            <w:r>
              <w:rPr>
                <w:color w:val="000000" w:themeColor="text1"/>
                <w:sz w:val="24"/>
                <w:highlight w:val="none"/>
                <w14:textFill>
                  <w14:solidFill>
                    <w14:schemeClr w14:val="tx1"/>
                  </w14:solidFill>
                </w14:textFill>
              </w:rPr>
              <w:t>为间接冷却方式，</w:t>
            </w:r>
            <w:r>
              <w:rPr>
                <w:rFonts w:hint="eastAsia"/>
                <w:color w:val="000000" w:themeColor="text1"/>
                <w:sz w:val="24"/>
                <w:highlight w:val="none"/>
                <w14:textFill>
                  <w14:solidFill>
                    <w14:schemeClr w14:val="tx1"/>
                  </w14:solidFill>
                </w14:textFill>
              </w:rPr>
              <w:t>项目</w:t>
            </w:r>
            <w:r>
              <w:rPr>
                <w:color w:val="000000" w:themeColor="text1"/>
                <w:sz w:val="24"/>
                <w:highlight w:val="none"/>
                <w14:textFill>
                  <w14:solidFill>
                    <w14:schemeClr w14:val="tx1"/>
                  </w14:solidFill>
                </w14:textFill>
              </w:rPr>
              <w:t>冷却塔</w:t>
            </w:r>
            <w:r>
              <w:rPr>
                <w:rFonts w:hint="eastAsia"/>
                <w:color w:val="000000" w:themeColor="text1"/>
                <w:sz w:val="24"/>
                <w:highlight w:val="none"/>
                <w:lang w:val="en-US" w:eastAsia="zh-CN"/>
                <w14:textFill>
                  <w14:solidFill>
                    <w14:schemeClr w14:val="tx1"/>
                  </w14:solidFill>
                </w14:textFill>
              </w:rPr>
              <w:t>冷却</w:t>
            </w:r>
            <w:r>
              <w:rPr>
                <w:color w:val="000000" w:themeColor="text1"/>
                <w:sz w:val="24"/>
                <w:highlight w:val="none"/>
                <w14:textFill>
                  <w14:solidFill>
                    <w14:schemeClr w14:val="tx1"/>
                  </w14:solidFill>
                </w14:textFill>
              </w:rPr>
              <w:t>水循环使用，不外排</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本项目冷却塔</w:t>
            </w:r>
            <w:r>
              <w:rPr>
                <w:rFonts w:hint="eastAsia"/>
                <w:color w:val="000000" w:themeColor="text1"/>
                <w:sz w:val="24"/>
                <w:highlight w:val="none"/>
                <w:lang w:val="en-US" w:eastAsia="zh-CN"/>
                <w14:textFill>
                  <w14:solidFill>
                    <w14:schemeClr w14:val="tx1"/>
                  </w14:solidFill>
                </w14:textFill>
              </w:rPr>
              <w:t>容量</w:t>
            </w:r>
            <w:r>
              <w:rPr>
                <w:rFonts w:hint="eastAsia"/>
                <w:color w:val="000000" w:themeColor="text1"/>
                <w:sz w:val="24"/>
                <w:highlight w:val="none"/>
                <w14:textFill>
                  <w14:solidFill>
                    <w14:schemeClr w14:val="tx1"/>
                  </w14:solidFill>
                </w14:textFill>
              </w:rPr>
              <w:t>为</w:t>
            </w:r>
            <w:r>
              <w:rPr>
                <w:rFonts w:hint="eastAsia"/>
                <w:color w:val="000000" w:themeColor="text1"/>
                <w:sz w:val="24"/>
                <w:highlight w:val="none"/>
                <w:lang w:val="en-US" w:eastAsia="zh-CN"/>
                <w14:textFill>
                  <w14:solidFill>
                    <w14:schemeClr w14:val="tx1"/>
                  </w14:solidFill>
                </w14:textFill>
              </w:rPr>
              <w:t>80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设计流量40m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/h。</w:t>
            </w:r>
            <w:r>
              <w:rPr>
                <w:rFonts w:hint="eastAsia"/>
                <w:color w:val="000000" w:themeColor="text1"/>
                <w:sz w:val="24"/>
                <w:szCs w:val="24"/>
                <w:highlight w:val="none"/>
                <w14:textFill>
                  <w14:solidFill>
                    <w14:schemeClr w14:val="tx1"/>
                  </w14:solidFill>
                </w14:textFill>
              </w:rPr>
              <w:t>年运行时长为</w:t>
            </w:r>
            <w:r>
              <w:rPr>
                <w:rFonts w:hint="eastAsia"/>
                <w:color w:val="000000" w:themeColor="text1"/>
                <w:sz w:val="24"/>
                <w:szCs w:val="24"/>
                <w:highlight w:val="none"/>
                <w:lang w:val="en-US" w:eastAsia="zh-CN"/>
                <w14:textFill>
                  <w14:solidFill>
                    <w14:schemeClr w14:val="tx1"/>
                  </w14:solidFill>
                </w14:textFill>
              </w:rPr>
              <w:t>2400</w:t>
            </w:r>
            <w:r>
              <w:rPr>
                <w:rFonts w:hint="eastAsia"/>
                <w:color w:val="000000" w:themeColor="text1"/>
                <w:sz w:val="24"/>
                <w:szCs w:val="24"/>
                <w:highlight w:val="none"/>
                <w14:textFill>
                  <w14:solidFill>
                    <w14:schemeClr w14:val="tx1"/>
                  </w14:solidFill>
                </w14:textFill>
              </w:rPr>
              <w:t>h，参考《工业循环水冷却设计规范》（GB/T50102—2014）中相关设计规范计算补水量，冷却塔风吹损失水率为0.15%，冷却塔蒸发损失水率为2%，则冷却塔补水量约为循环水量的2.15％，</w:t>
            </w:r>
            <w:r>
              <w:rPr>
                <w:color w:val="000000" w:themeColor="text1"/>
                <w:sz w:val="24"/>
                <w:szCs w:val="24"/>
                <w:highlight w:val="none"/>
                <w14:textFill>
                  <w14:solidFill>
                    <w14:schemeClr w14:val="tx1"/>
                  </w14:solidFill>
                </w14:textFill>
              </w:rPr>
              <w:t>则</w:t>
            </w:r>
            <w:r>
              <w:rPr>
                <w:rFonts w:hint="eastAsia"/>
                <w:color w:val="000000" w:themeColor="text1"/>
                <w:sz w:val="24"/>
                <w:szCs w:val="24"/>
                <w:highlight w:val="none"/>
                <w:lang w:val="en-US" w:eastAsia="zh-CN"/>
                <w14:textFill>
                  <w14:solidFill>
                    <w14:schemeClr w14:val="tx1"/>
                  </w14:solidFill>
                </w14:textFill>
              </w:rPr>
              <w:t>需</w:t>
            </w:r>
            <w:r>
              <w:rPr>
                <w:color w:val="000000" w:themeColor="text1"/>
                <w:sz w:val="24"/>
                <w:szCs w:val="24"/>
                <w:highlight w:val="none"/>
                <w14:textFill>
                  <w14:solidFill>
                    <w14:schemeClr w14:val="tx1"/>
                  </w14:solidFill>
                </w14:textFill>
              </w:rPr>
              <w:t>补充新鲜水量约</w:t>
            </w:r>
            <w:r>
              <w:rPr>
                <w:rFonts w:hint="eastAsia"/>
                <w:color w:val="000000" w:themeColor="text1"/>
                <w:sz w:val="24"/>
                <w:szCs w:val="24"/>
                <w:highlight w:val="none"/>
                <w:lang w:val="en-US" w:eastAsia="zh-CN"/>
                <w14:textFill>
                  <w14:solidFill>
                    <w14:schemeClr w14:val="tx1"/>
                  </w14:solidFill>
                </w14:textFill>
              </w:rPr>
              <w:t>6.88</w:t>
            </w:r>
            <w:r>
              <w:rPr>
                <w:rFonts w:hint="eastAsia"/>
                <w:color w:val="000000" w:themeColor="text1"/>
                <w:sz w:val="24"/>
                <w:szCs w:val="24"/>
                <w:highlight w:val="none"/>
                <w14:textFill>
                  <w14:solidFill>
                    <w14:schemeClr w14:val="tx1"/>
                  </w14:solidFill>
                </w14:textFill>
              </w:rPr>
              <w:t>t/d</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2064</w:t>
            </w:r>
            <w:r>
              <w:rPr>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w:t>
            </w:r>
          </w:p>
          <w:p w14:paraId="6634CE78">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（3）产品水洗用水</w:t>
            </w:r>
          </w:p>
          <w:p w14:paraId="65F8BD8A">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本项目生产的部分产品在进行钻孔、攻牙等机加工后需要对产品进行清洗去除表面的铝渣或铝粉。根据业主提供资料，本项目仅对部分工件进行清洗。用水量约为0.2t/d，清洗池所产生废</w:t>
            </w:r>
            <w:r>
              <w:rPr>
                <w:rFonts w:hint="eastAsia"/>
                <w:color w:val="auto"/>
                <w:sz w:val="24"/>
                <w:szCs w:val="24"/>
                <w:highlight w:val="none"/>
                <w:lang w:val="en-US" w:eastAsia="zh-CN"/>
              </w:rPr>
              <w:t>水经</w:t>
            </w:r>
            <w:r>
              <w:rPr>
                <w:rFonts w:hint="eastAsia"/>
                <w:color w:val="FF0000"/>
                <w:sz w:val="24"/>
                <w:szCs w:val="24"/>
                <w:highlight w:val="none"/>
                <w:lang w:val="en-US" w:eastAsia="zh-CN"/>
              </w:rPr>
              <w:t>循环水处理设施</w:t>
            </w:r>
            <w:r>
              <w:rPr>
                <w:rFonts w:hint="eastAsia"/>
                <w:color w:val="000000" w:themeColor="text1"/>
                <w:sz w:val="24"/>
                <w:szCs w:val="24"/>
                <w:highlight w:val="none"/>
                <w:lang w:val="en-US" w:eastAsia="zh-CN"/>
                <w14:textFill>
                  <w14:solidFill>
                    <w14:schemeClr w14:val="tx1"/>
                  </w14:solidFill>
                </w14:textFill>
              </w:rPr>
              <w:t>处理后回用于产品水洗工序，处理时产生0.02t/d（6t/a）的用水损耗，定期补充新鲜用水。</w:t>
            </w:r>
          </w:p>
          <w:p w14:paraId="5B862591">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（3）研磨工序冷却水</w:t>
            </w:r>
          </w:p>
          <w:p w14:paraId="1E0E0227">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本项目研磨工序冷却水，经循环水处理设施处理后循环使用不外排，需每天补充新鲜水量0.05t/d（15t/a）</w:t>
            </w:r>
          </w:p>
          <w:p w14:paraId="218CDDEB">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bookmarkStart w:id="39" w:name="_Toc11791"/>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项目水平衡图详见图2.1-1。</w:t>
            </w:r>
            <w:bookmarkEnd w:id="39"/>
          </w:p>
          <w:p w14:paraId="202B0E56">
            <w:pPr>
              <w:pStyle w:val="39"/>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sz w:val="21"/>
              </w:rPr>
              <mc:AlternateContent>
                <mc:Choice Requires="wps">
                  <w:drawing>
                    <wp:anchor distT="0" distB="0" distL="114300" distR="114300" simplePos="0" relativeHeight="251721728" behindDoc="0" locked="0" layoutInCell="1" allowOverlap="1">
                      <wp:simplePos x="0" y="0"/>
                      <wp:positionH relativeFrom="column">
                        <wp:posOffset>19050</wp:posOffset>
                      </wp:positionH>
                      <wp:positionV relativeFrom="paragraph">
                        <wp:posOffset>40640</wp:posOffset>
                      </wp:positionV>
                      <wp:extent cx="5429885" cy="3503930"/>
                      <wp:effectExtent l="6350" t="6350" r="12065" b="13970"/>
                      <wp:wrapNone/>
                      <wp:docPr id="134" name="矩形 134"/>
                      <wp:cNvGraphicFramePr/>
                      <a:graphic xmlns:a="http://schemas.openxmlformats.org/drawingml/2006/main">
                        <a:graphicData uri="http://schemas.microsoft.com/office/word/2010/wordprocessingShape">
                          <wps:wsp>
                            <wps:cNvSpPr/>
                            <wps:spPr>
                              <a:xfrm>
                                <a:off x="0" y="0"/>
                                <a:ext cx="5429885" cy="350393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3.2pt;height:275.9pt;width:427.55pt;z-index:251721728;v-text-anchor:middle;mso-width-relative:page;mso-height-relative:page;" fillcolor="#FFFFFF [3212]" filled="t" stroked="t" coordsize="21600,21600" o:gfxdata="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10N8tYAAAAHAQAADwAAAAAAAAABACAAAAAiAAAAZHJzL2Rvd25yZXYu&#10;eG1sUEsBAhQAFAAAAAgAh07iQB1aPTNvAgAA+QQAAA4AAAAAAAAAAQAgAAAAJQEAAGRycy9lMm9E&#10;b2MueG1sUEsFBgAAAAAGAAYAWQEAAAYGAAAAAA==&#10;">
                      <v:fill on="t" focussize="0,0"/>
                      <v:stroke weight="1pt" color="#FFFFFF [3212]" miterlimit="8" joinstyle="miter"/>
                      <v:imagedata o:title=""/>
                      <o:lock v:ext="edit" aspectratio="f"/>
                    </v:rect>
                  </w:pict>
                </mc:Fallback>
              </mc:AlternateConten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drawing>
                <wp:inline distT="0" distB="0" distL="114300" distR="114300">
                  <wp:extent cx="5477510" cy="3619500"/>
                  <wp:effectExtent l="0" t="0" r="8890" b="0"/>
                  <wp:docPr id="38" name="F360BE8B-6686-4F3D-AEAF-501FE73E4058-1" descr="大松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360BE8B-6686-4F3D-AEAF-501FE73E4058-1" descr="大松水平衡(1)"/>
                          <pic:cNvPicPr>
                            <a:picLocks noChangeAspect="1"/>
                          </pic:cNvPicPr>
                        </pic:nvPicPr>
                        <pic:blipFill>
                          <a:blip r:embed="rId16"/>
                          <a:stretch>
                            <a:fillRect/>
                          </a:stretch>
                        </pic:blipFill>
                        <pic:spPr>
                          <a:xfrm>
                            <a:off x="0" y="0"/>
                            <a:ext cx="5477510" cy="3619500"/>
                          </a:xfrm>
                          <a:prstGeom prst="rect">
                            <a:avLst/>
                          </a:prstGeom>
                        </pic:spPr>
                      </pic:pic>
                    </a:graphicData>
                  </a:graphic>
                </wp:inline>
              </w:drawing>
            </w:r>
          </w:p>
          <w:p w14:paraId="18171B8D">
            <w:pPr>
              <w:pStyle w:val="39"/>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40" w:name="_Toc7512"/>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图2.1-1 项目水平衡图（单位：t/d）</w:t>
            </w:r>
            <w:bookmarkEnd w:id="40"/>
          </w:p>
          <w:p w14:paraId="4BE404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41" w:name="_Toc1171"/>
            <w:bookmarkStart w:id="42" w:name="_Toc13719"/>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2.2.8项目平面布置合理性分析</w:t>
            </w:r>
            <w:bookmarkEnd w:id="41"/>
            <w:bookmarkEnd w:id="42"/>
          </w:p>
          <w:p w14:paraId="00AD403E">
            <w:pPr>
              <w:spacing w:line="360" w:lineRule="auto"/>
              <w:ind w:firstLine="480" w:firstLineChars="200"/>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u w:val="none"/>
                <w:lang w:val="en-US" w:eastAsia="zh-CN"/>
                <w14:textFill>
                  <w14:solidFill>
                    <w14:schemeClr w14:val="tx1"/>
                  </w14:solidFill>
                </w14:textFill>
              </w:rPr>
              <w:t>一层为电阻炉、压铸机及周边辅助设备；二层为抛光、打磨、钻孔、攻牙等设备；三层为原材料及成品存放区。</w:t>
            </w:r>
            <w:r>
              <w:rPr>
                <w:color w:val="000000" w:themeColor="text1"/>
                <w:sz w:val="24"/>
                <w:highlight w:val="none"/>
                <w14:textFill>
                  <w14:solidFill>
                    <w14:schemeClr w14:val="tx1"/>
                  </w14:solidFill>
                </w14:textFill>
              </w:rPr>
              <w:t>此平面布置方案功能划分相对清晰，各</w:t>
            </w:r>
            <w:r>
              <w:rPr>
                <w:rFonts w:hint="eastAsia"/>
                <w:color w:val="000000" w:themeColor="text1"/>
                <w:sz w:val="24"/>
                <w:highlight w:val="none"/>
                <w:lang w:eastAsia="zh-CN"/>
                <w14:textFill>
                  <w14:solidFill>
                    <w14:schemeClr w14:val="tx1"/>
                  </w14:solidFill>
                </w14:textFill>
              </w:rPr>
              <w:t>区域</w:t>
            </w:r>
            <w:r>
              <w:rPr>
                <w:color w:val="000000" w:themeColor="text1"/>
                <w:sz w:val="24"/>
                <w:highlight w:val="none"/>
                <w14:textFill>
                  <w14:solidFill>
                    <w14:schemeClr w14:val="tx1"/>
                  </w14:solidFill>
                </w14:textFill>
              </w:rPr>
              <w:t>之间物流顺畅，运输距离较短，有利于生产布置。在满足生产条件要求的前提下，充分利用厂区空间进行设备布置，布局紧凑，生产流程比较流畅，布局基本合理。</w:t>
            </w:r>
            <w:r>
              <w:rPr>
                <w:rFonts w:hint="eastAsia"/>
                <w:color w:val="000000" w:themeColor="text1"/>
                <w:sz w:val="24"/>
                <w:highlight w:val="none"/>
                <w:lang w:val="en-US" w:eastAsia="zh-CN"/>
                <w14:textFill>
                  <w14:solidFill>
                    <w14:schemeClr w14:val="tx1"/>
                  </w14:solidFill>
                </w14:textFill>
              </w:rPr>
              <w:t>项目</w:t>
            </w:r>
            <w:r>
              <w:rPr>
                <w:color w:val="000000" w:themeColor="text1"/>
                <w:sz w:val="24"/>
                <w:highlight w:val="none"/>
                <w14:textFill>
                  <w14:solidFill>
                    <w14:schemeClr w14:val="tx1"/>
                  </w14:solidFill>
                </w14:textFill>
              </w:rPr>
              <w:t>平面布置图详见</w:t>
            </w:r>
            <w:r>
              <w:rPr>
                <w:b/>
                <w:bCs/>
                <w:color w:val="000000" w:themeColor="text1"/>
                <w:sz w:val="24"/>
                <w:highlight w:val="none"/>
                <w14:textFill>
                  <w14:solidFill>
                    <w14:schemeClr w14:val="tx1"/>
                  </w14:solidFill>
                </w14:textFill>
              </w:rPr>
              <w:t>附图</w:t>
            </w:r>
            <w:r>
              <w:rPr>
                <w:rFonts w:hint="eastAsia"/>
                <w:b/>
                <w:bCs/>
                <w:color w:val="000000" w:themeColor="text1"/>
                <w:sz w:val="24"/>
                <w:highlight w:val="none"/>
                <w:lang w:val="en-US" w:eastAsia="zh-CN"/>
                <w14:textFill>
                  <w14:solidFill>
                    <w14:schemeClr w14:val="tx1"/>
                  </w14:solidFill>
                </w14:textFill>
              </w:rPr>
              <w:t>六</w:t>
            </w:r>
            <w:r>
              <w:rPr>
                <w:color w:val="000000" w:themeColor="text1"/>
                <w:sz w:val="24"/>
                <w:highlight w:val="none"/>
                <w14:textFill>
                  <w14:solidFill>
                    <w14:schemeClr w14:val="tx1"/>
                  </w14:solidFill>
                </w14:textFill>
              </w:rPr>
              <w:t>。</w:t>
            </w:r>
          </w:p>
          <w:p w14:paraId="7B733D5F">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当地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常年主导风向为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东北侧</w:t>
            </w:r>
            <w:r>
              <w:rPr>
                <w:rFonts w:hint="default" w:ascii="Times New Roman" w:hAnsi="Times New Roman" w:eastAsia="宋体" w:cs="Times New Roman"/>
                <w:color w:val="000000" w:themeColor="text1"/>
                <w:sz w:val="24"/>
                <w:szCs w:val="24"/>
                <w:highlight w:val="none"/>
                <w14:textFill>
                  <w14:solidFill>
                    <w14:schemeClr w14:val="tx1"/>
                  </w14:solidFill>
                </w14:textFill>
              </w:rPr>
              <w:t>，说明其下风向</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西南侧</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受污染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的概率</w:t>
            </w:r>
            <w:r>
              <w:rPr>
                <w:rFonts w:hint="default" w:ascii="Times New Roman" w:hAnsi="Times New Roman" w:eastAsia="宋体" w:cs="Times New Roman"/>
                <w:color w:val="000000" w:themeColor="text1"/>
                <w:sz w:val="24"/>
                <w:szCs w:val="24"/>
                <w:highlight w:val="none"/>
                <w14:textFill>
                  <w14:solidFill>
                    <w14:schemeClr w14:val="tx1"/>
                  </w14:solidFill>
                </w14:textFill>
              </w:rPr>
              <w:t>最高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将</w:t>
            </w:r>
            <w:r>
              <w:rPr>
                <w:rFonts w:hint="eastAsia" w:cs="Times New Roman"/>
                <w:color w:val="auto"/>
                <w:sz w:val="24"/>
                <w:szCs w:val="24"/>
                <w:highlight w:val="none"/>
                <w:lang w:val="en-US" w:eastAsia="zh-CN"/>
              </w:rPr>
              <w:t>生产</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排气筒设置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ascii="Times New Roman" w:hAnsi="Times New Roman" w:eastAsia="宋体" w:cs="Times New Roman"/>
                <w:color w:val="auto"/>
                <w:sz w:val="24"/>
                <w:szCs w:val="24"/>
                <w:highlight w:val="none"/>
                <w:lang w:val="en-US" w:eastAsia="zh-CN"/>
              </w:rPr>
              <w:t>北侧区域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拟</w:t>
            </w:r>
            <w:r>
              <w:rPr>
                <w:rFonts w:hint="eastAsia"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lang w:eastAsia="zh-CN"/>
              </w:rPr>
              <w:t>危险废物暂存</w:t>
            </w:r>
            <w:r>
              <w:rPr>
                <w:rFonts w:hint="eastAsia" w:cs="Times New Roman"/>
                <w:color w:val="auto"/>
                <w:sz w:val="24"/>
                <w:szCs w:val="24"/>
                <w:highlight w:val="none"/>
                <w:lang w:val="en-US" w:eastAsia="zh-CN"/>
              </w:rPr>
              <w:t>间设置于项目一层生产车间内，面积约为8-10m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w:t>
            </w:r>
            <w:r>
              <w:rPr>
                <w:rFonts w:hint="eastAsia" w:cs="Times New Roman"/>
                <w:color w:val="auto"/>
                <w:sz w:val="24"/>
                <w:szCs w:val="24"/>
                <w:highlight w:val="none"/>
                <w:lang w:eastAsia="zh-CN"/>
              </w:rPr>
              <w:t>，</w:t>
            </w:r>
            <w:r>
              <w:rPr>
                <w:rFonts w:hint="eastAsia" w:cs="Times New Roman"/>
                <w:color w:val="auto"/>
                <w:sz w:val="24"/>
                <w:szCs w:val="24"/>
                <w:highlight w:val="none"/>
                <w:u w:val="none"/>
                <w:lang w:val="en-US" w:eastAsia="zh-CN"/>
              </w:rPr>
              <w:t>属于厂区内常年主导风向的下风向，该建设位置已采用水泥进行地面硬化，危险废物贮存间内部涂有环氧树脂，符合危险废物贮存间建设标准。</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w:t>
            </w:r>
            <w:r>
              <w:rPr>
                <w:rFonts w:hint="default" w:ascii="Times New Roman" w:hAnsi="Times New Roman" w:eastAsia="宋体" w:cs="Times New Roman"/>
                <w:color w:val="000000" w:themeColor="text1"/>
                <w:sz w:val="24"/>
                <w:szCs w:val="24"/>
                <w:highlight w:val="none"/>
                <w14:textFill>
                  <w14:solidFill>
                    <w14:schemeClr w14:val="tx1"/>
                  </w14:solidFill>
                </w14:textFill>
              </w:rPr>
              <w:t>的角度看，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项目环保设施平面布置基本合理。</w:t>
            </w:r>
          </w:p>
          <w:p w14:paraId="36807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综上所述，本项目的布置基本合理。</w:t>
            </w:r>
          </w:p>
        </w:tc>
      </w:tr>
      <w:tr w14:paraId="7A0C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0" w:hRule="atLeast"/>
        </w:trPr>
        <w:tc>
          <w:tcPr>
            <w:tcW w:w="260" w:type="pct"/>
            <w:vAlign w:val="center"/>
          </w:tcPr>
          <w:p w14:paraId="39C968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工艺流程和产排污环节</w:t>
            </w:r>
          </w:p>
        </w:tc>
        <w:tc>
          <w:tcPr>
            <w:tcW w:w="4739" w:type="pct"/>
            <w:vAlign w:val="top"/>
          </w:tcPr>
          <w:p w14:paraId="30F389D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000000" w:themeColor="text1"/>
                <w:sz w:val="28"/>
                <w:szCs w:val="28"/>
                <w:u w:val="none"/>
                <w:lang w:val="en-US" w:eastAsia="zh-CN"/>
                <w14:textFill>
                  <w14:solidFill>
                    <w14:schemeClr w14:val="tx1"/>
                  </w14:solidFill>
                </w14:textFill>
              </w:rPr>
            </w:pPr>
            <w:bookmarkStart w:id="43" w:name="_Toc28289"/>
            <w:bookmarkStart w:id="44" w:name="_Toc29887"/>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2.3</w:t>
            </w:r>
            <w:r>
              <w:rPr>
                <w:rFonts w:hint="eastAsia" w:ascii="Times New Roman" w:hAnsi="Times New Roman" w:cs="Times New Roman"/>
                <w:color w:val="000000" w:themeColor="text1"/>
                <w:sz w:val="28"/>
                <w:szCs w:val="28"/>
                <w:u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8"/>
                <w:szCs w:val="28"/>
                <w:u w:val="none"/>
                <w:lang w:val="en-US" w:eastAsia="zh-CN"/>
                <w14:textFill>
                  <w14:solidFill>
                    <w14:schemeClr w14:val="tx1"/>
                  </w14:solidFill>
                </w14:textFill>
              </w:rPr>
              <w:t>生产工艺</w:t>
            </w:r>
            <w:r>
              <w:rPr>
                <w:rFonts w:hint="eastAsia" w:ascii="Times New Roman" w:hAnsi="Times New Roman" w:cs="Times New Roman"/>
                <w:color w:val="000000" w:themeColor="text1"/>
                <w:sz w:val="28"/>
                <w:szCs w:val="28"/>
                <w:u w:val="none"/>
                <w:lang w:val="en-US" w:eastAsia="zh-CN"/>
                <w14:textFill>
                  <w14:solidFill>
                    <w14:schemeClr w14:val="tx1"/>
                  </w14:solidFill>
                </w14:textFill>
              </w:rPr>
              <w:t>流程及产污环节</w:t>
            </w:r>
            <w:bookmarkEnd w:id="43"/>
            <w:bookmarkEnd w:id="44"/>
          </w:p>
          <w:p w14:paraId="51F153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45" w:name="_Toc7087"/>
            <w:bookmarkStart w:id="46" w:name="_Toc966"/>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2.3.1项目工艺流程及工艺介绍</w:t>
            </w:r>
            <w:bookmarkEnd w:id="45"/>
            <w:bookmarkEnd w:id="46"/>
          </w:p>
          <w:p w14:paraId="382937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五金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配件</w:t>
            </w:r>
            <w:r>
              <w:rPr>
                <w:rFonts w:hint="eastAsia" w:cs="Times New Roman"/>
                <w:color w:val="000000" w:themeColor="text1"/>
                <w:sz w:val="24"/>
                <w:szCs w:val="24"/>
                <w:highlight w:val="none"/>
                <w:lang w:val="en-US" w:eastAsia="zh-CN"/>
                <w14:textFill>
                  <w14:solidFill>
                    <w14:schemeClr w14:val="tx1"/>
                  </w14:solidFill>
                </w14:textFill>
              </w:rPr>
              <w:t>生产工艺流程及产污环节详见图2.3-1。</w:t>
            </w:r>
          </w:p>
          <w:p w14:paraId="466F563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eastAsia="宋体" w:cs="Times New Roman"/>
                <w:b/>
                <w:bCs w:val="0"/>
                <w:color w:val="000000" w:themeColor="text1"/>
                <w:sz w:val="24"/>
                <w:szCs w:val="24"/>
                <w:highlight w:val="yellow"/>
                <w:lang w:val="en-US" w:eastAsia="zh-CN"/>
                <w14:textFill>
                  <w14:solidFill>
                    <w14:schemeClr w14:val="tx1"/>
                  </w14:solidFill>
                </w14:textFill>
              </w:rPr>
            </w:pPr>
            <w:r>
              <w:rPr>
                <w:sz w:val="21"/>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182880</wp:posOffset>
                      </wp:positionV>
                      <wp:extent cx="5429885" cy="3503930"/>
                      <wp:effectExtent l="6350" t="6350" r="12065" b="13970"/>
                      <wp:wrapNone/>
                      <wp:docPr id="137" name="矩形 137"/>
                      <wp:cNvGraphicFramePr/>
                      <a:graphic xmlns:a="http://schemas.openxmlformats.org/drawingml/2006/main">
                        <a:graphicData uri="http://schemas.microsoft.com/office/word/2010/wordprocessingShape">
                          <wps:wsp>
                            <wps:cNvSpPr/>
                            <wps:spPr>
                              <a:xfrm>
                                <a:off x="0" y="0"/>
                                <a:ext cx="5429885" cy="350393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14.4pt;height:275.9pt;width:427.55pt;z-index:251722752;v-text-anchor:middle;mso-width-relative:page;mso-height-relative:page;" fillcolor="#FFFFFF [3212]" filled="t" stroked="t" coordsize="21600,21600" o:gfxdata="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T+W2E1QAAAAcBAAAPAAAAAAAAAAEAIAAAACIAAABkcnMvZG93bnJldi54&#10;bWxQSwECFAAUAAAACACHTuJA4vdNKW8CAAD5BAAADgAAAAAAAAABACAAAAAkAQAAZHJzL2Uyb0Rv&#10;Yy54bWxQSwUGAAAAAAYABgBZAQAABQYAAAAA&#10;">
                      <v:fill on="t" focussize="0,0"/>
                      <v:stroke weight="1pt" color="#FFFFFF [3212]" miterlimit="8" joinstyle="miter"/>
                      <v:imagedata o:title=""/>
                      <o:lock v:ext="edit" aspectratio="f"/>
                    </v:rect>
                  </w:pict>
                </mc:Fallback>
              </mc:AlternateContent>
            </w:r>
            <w:r>
              <w:rPr>
                <w:rFonts w:hint="default"/>
                <w:b/>
                <w:bCs/>
                <w:sz w:val="28"/>
                <w:szCs w:val="28"/>
                <w:lang w:val="en-US" w:eastAsia="zh-CN"/>
              </w:rPr>
              <w:drawing>
                <wp:inline distT="0" distB="0" distL="114300" distR="114300">
                  <wp:extent cx="5413375" cy="3938270"/>
                  <wp:effectExtent l="0" t="0" r="15875" b="5080"/>
                  <wp:docPr id="1" name="F360BE8B-6686-4F3D-AEAF-501FE73E4058-2" descr="C:/Users/AA/AppData/Local/Temp/瑞昌工艺流程图.png瑞昌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2" descr="C:/Users/AA/AppData/Local/Temp/瑞昌工艺流程图.png瑞昌工艺流程图"/>
                          <pic:cNvPicPr>
                            <a:picLocks noChangeAspect="1"/>
                          </pic:cNvPicPr>
                        </pic:nvPicPr>
                        <pic:blipFill>
                          <a:blip r:embed="rId17"/>
                          <a:stretch>
                            <a:fillRect/>
                          </a:stretch>
                        </pic:blipFill>
                        <pic:spPr>
                          <a:xfrm>
                            <a:off x="0" y="0"/>
                            <a:ext cx="5413375" cy="3938270"/>
                          </a:xfrm>
                          <a:prstGeom prst="rect">
                            <a:avLst/>
                          </a:prstGeom>
                        </pic:spPr>
                      </pic:pic>
                    </a:graphicData>
                  </a:graphic>
                </wp:inline>
              </w:drawing>
            </w:r>
          </w:p>
          <w:p w14:paraId="68FBFC1F">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bookmarkStart w:id="47" w:name="_Toc5034"/>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图2.3-1 </w:t>
            </w:r>
            <w:r>
              <w:rPr>
                <w:rFonts w:hint="eastAsia" w:cs="Times New Roman"/>
                <w:b/>
                <w:bCs w:val="0"/>
                <w:color w:val="000000" w:themeColor="text1"/>
                <w:sz w:val="24"/>
                <w:szCs w:val="24"/>
                <w:highlight w:val="none"/>
                <w:lang w:val="en-US" w:eastAsia="zh-CN"/>
                <w14:textFill>
                  <w14:solidFill>
                    <w14:schemeClr w14:val="tx1"/>
                  </w14:solidFill>
                </w14:textFill>
              </w:rPr>
              <w:t>五金</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配件生产工艺流程图</w:t>
            </w:r>
            <w:bookmarkEnd w:id="47"/>
          </w:p>
          <w:p w14:paraId="4ACFC9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工艺说明：</w:t>
            </w:r>
          </w:p>
          <w:p w14:paraId="2951C62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bCs/>
                <w:color w:val="auto"/>
                <w:sz w:val="24"/>
                <w:lang w:val="en-US" w:eastAsia="zh-CN"/>
              </w:rPr>
            </w:pP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①熔融：</w:t>
            </w:r>
            <w:r>
              <w:rPr>
                <w:rFonts w:hint="eastAsia"/>
                <w:bCs/>
                <w:color w:val="auto"/>
                <w:sz w:val="24"/>
                <w:lang w:val="en-US" w:eastAsia="zh-CN"/>
              </w:rPr>
              <w:t>熔融是通过对物质加热，使物质从固态变成液态的一种物理变化过程。本项目将外购的铝锭投入电阻炉中加热至熔化温度（720℃），并维持炉温720℃，进入保温阶段。由于本项目使</w:t>
            </w:r>
            <w:r>
              <w:rPr>
                <w:rFonts w:hint="default" w:ascii="Times New Roman" w:hAnsi="Times New Roman" w:cs="Times New Roman"/>
                <w:bCs/>
                <w:color w:val="auto"/>
                <w:sz w:val="24"/>
                <w:lang w:val="en-US" w:eastAsia="zh-CN"/>
              </w:rPr>
              <w:t>用铝锭为99.79%</w:t>
            </w:r>
            <w:r>
              <w:rPr>
                <w:rFonts w:hint="eastAsia" w:ascii="Times New Roman" w:hAnsi="Times New Roman" w:cs="Times New Roman"/>
                <w:bCs/>
                <w:color w:val="auto"/>
                <w:sz w:val="24"/>
                <w:lang w:val="en-US" w:eastAsia="zh-CN"/>
              </w:rPr>
              <w:t>的铝，其余杂质含量为0.21%（Fe、Si、Cu、Mg、V、Ca、Zn、Tl）由于这些杂质的熔点都远高于720℃，因此本项目在生产过程中这部分杂质不会挥发到大气中。</w:t>
            </w:r>
            <w:r>
              <w:rPr>
                <w:rFonts w:hint="eastAsia"/>
                <w:bCs/>
                <w:color w:val="auto"/>
                <w:sz w:val="24"/>
                <w:lang w:val="en-US" w:eastAsia="zh-CN"/>
              </w:rPr>
              <w:t>本段工艺过程中会产生熔化烟尘，主要污染物为颗粒物，经收集后由布袋除尘器处理后达标排放。由于电阻炉为电加热，因此不产生SO</w:t>
            </w:r>
            <w:r>
              <w:rPr>
                <w:rFonts w:hint="eastAsia"/>
                <w:bCs/>
                <w:color w:val="auto"/>
                <w:sz w:val="24"/>
                <w:vertAlign w:val="subscript"/>
                <w:lang w:val="en-US" w:eastAsia="zh-CN"/>
              </w:rPr>
              <w:t>2</w:t>
            </w:r>
            <w:r>
              <w:rPr>
                <w:rFonts w:hint="eastAsia"/>
                <w:bCs/>
                <w:color w:val="auto"/>
                <w:sz w:val="24"/>
                <w:lang w:val="en-US" w:eastAsia="zh-CN"/>
              </w:rPr>
              <w:t>和NOx。同时电阻炉中产生的铝液表面飘浮炉渣，需定期人工清理。所清理的炉渣（未沾染油）属于一般固体废物，利用价值较高，收集后重新熔融进行回用。沾染油的部分炉渣属于危险废物，暂存于危险废物贮存间，定期委托有资质的单位进行处置。</w:t>
            </w:r>
          </w:p>
          <w:p w14:paraId="403B018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Times New Roman" w:hAnsi="Times New Roman" w:eastAsia="宋体" w:cs="Times New Roman"/>
                <w:color w:val="auto"/>
                <w:sz w:val="24"/>
                <w:szCs w:val="24"/>
                <w:lang w:val="en-US" w:eastAsia="zh-CN"/>
              </w:rPr>
            </w:pPr>
            <w:r>
              <w:rPr>
                <w:rFonts w:hint="eastAsia"/>
                <w:bCs/>
                <w:color w:val="auto"/>
                <w:sz w:val="24"/>
                <w:lang w:val="en-US" w:eastAsia="zh-CN"/>
              </w:rPr>
              <w:t>②压铸成型：</w:t>
            </w:r>
            <w:r>
              <w:rPr>
                <w:rFonts w:hint="default" w:ascii="Times New Roman" w:hAnsi="Times New Roman" w:eastAsia="宋体" w:cs="Times New Roman"/>
                <w:color w:val="auto"/>
                <w:sz w:val="24"/>
                <w:szCs w:val="24"/>
                <w:lang w:val="en-US" w:eastAsia="zh-CN"/>
              </w:rPr>
              <w:t>通过机械手铝水勺将熔化炉中保温的铝液浇注进入压铸机，该过程会产生浇注烟尘，主要污染物为颗粒物。压铸前，模具需要</w:t>
            </w:r>
            <w:r>
              <w:rPr>
                <w:rFonts w:hint="eastAsia" w:ascii="Times New Roman" w:hAnsi="Times New Roman" w:cs="Times New Roman"/>
                <w:color w:val="auto"/>
                <w:sz w:val="24"/>
                <w:szCs w:val="24"/>
                <w:lang w:val="en-US" w:eastAsia="zh-CN"/>
              </w:rPr>
              <w:t>喷涂</w:t>
            </w:r>
            <w:r>
              <w:rPr>
                <w:rFonts w:hint="default" w:ascii="Times New Roman" w:hAnsi="Times New Roman" w:eastAsia="宋体" w:cs="Times New Roman"/>
                <w:color w:val="auto"/>
                <w:sz w:val="24"/>
                <w:szCs w:val="24"/>
                <w:lang w:val="en-US" w:eastAsia="zh-CN"/>
              </w:rPr>
              <w:t>脱模剂，起到快速脱模及降温的作用，之后压铸机再以较高的压力和较快的速度将铝液注射进入模具中，经过循环冷却水间接接触冷却后开模即得到压铸件。</w:t>
            </w:r>
            <w:r>
              <w:rPr>
                <w:rFonts w:hint="eastAsia" w:ascii="Times New Roman" w:hAnsi="Times New Roman" w:cs="Times New Roman"/>
                <w:color w:val="auto"/>
                <w:sz w:val="24"/>
                <w:szCs w:val="24"/>
                <w:lang w:val="en-US" w:eastAsia="zh-CN"/>
              </w:rPr>
              <w:t>根据更换不同的压铸模型，使用不同产品的生产。</w:t>
            </w:r>
            <w:r>
              <w:rPr>
                <w:rFonts w:hint="default" w:ascii="Times New Roman" w:hAnsi="Times New Roman" w:eastAsia="宋体" w:cs="Times New Roman"/>
                <w:color w:val="auto"/>
                <w:sz w:val="24"/>
                <w:szCs w:val="24"/>
                <w:lang w:val="en-US" w:eastAsia="zh-CN"/>
              </w:rPr>
              <w:t>压铸过程中脱模剂受热后会形成</w:t>
            </w:r>
            <w:r>
              <w:rPr>
                <w:rFonts w:hint="eastAsia" w:ascii="Times New Roman" w:hAnsi="Times New Roman" w:eastAsia="宋体" w:cs="Times New Roman"/>
                <w:color w:val="auto"/>
                <w:sz w:val="24"/>
                <w:szCs w:val="24"/>
                <w:lang w:val="en-US" w:eastAsia="zh-CN"/>
              </w:rPr>
              <w:t>挥发性有机物</w:t>
            </w:r>
            <w:r>
              <w:rPr>
                <w:rFonts w:hint="eastAsia" w:ascii="Times New Roman" w:hAnsi="Times New Roman" w:cs="Times New Roman"/>
                <w:color w:val="auto"/>
                <w:sz w:val="24"/>
                <w:szCs w:val="24"/>
                <w:lang w:val="en-US" w:eastAsia="zh-CN"/>
              </w:rPr>
              <w:t>（VOCs）</w:t>
            </w:r>
            <w:r>
              <w:rPr>
                <w:rFonts w:hint="default" w:ascii="Times New Roman" w:hAnsi="Times New Roman" w:eastAsia="宋体" w:cs="Times New Roman"/>
                <w:color w:val="auto"/>
                <w:sz w:val="24"/>
                <w:szCs w:val="24"/>
                <w:lang w:val="en-US" w:eastAsia="zh-CN"/>
              </w:rPr>
              <w:t>，并在脱模时会释放，同时换热冷却时会产生冷却水。</w:t>
            </w:r>
            <w:r>
              <w:rPr>
                <w:rFonts w:hint="eastAsia" w:ascii="Times New Roman" w:hAnsi="Times New Roman" w:eastAsia="宋体" w:cs="Times New Roman"/>
                <w:color w:val="auto"/>
                <w:sz w:val="24"/>
                <w:szCs w:val="24"/>
                <w:lang w:val="en-US" w:eastAsia="zh-CN"/>
              </w:rPr>
              <w:t>采用活性炭吸附装置处理后达标排放。</w:t>
            </w:r>
          </w:p>
          <w:p w14:paraId="4B9B395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③抛光、研磨、去毛边：</w:t>
            </w:r>
            <w:r>
              <w:rPr>
                <w:rFonts w:hint="eastAsia" w:ascii="Times New Roman" w:hAnsi="Times New Roman" w:cs="Times New Roman"/>
                <w:color w:val="auto"/>
                <w:sz w:val="24"/>
                <w:szCs w:val="24"/>
                <w:lang w:val="en-US" w:eastAsia="zh-CN"/>
              </w:rPr>
              <w:t>经过压铸后的铝铸件</w:t>
            </w:r>
            <w:r>
              <w:rPr>
                <w:rFonts w:hint="eastAsia" w:ascii="Times New Roman" w:hAnsi="Times New Roman" w:eastAsia="宋体" w:cs="Times New Roman"/>
                <w:color w:val="auto"/>
                <w:sz w:val="24"/>
                <w:szCs w:val="24"/>
                <w:lang w:val="en-US" w:eastAsia="zh-CN"/>
              </w:rPr>
              <w:t>采用相应的打磨抛光设备及人工抛光对半成品进行打磨去毛边。该工序会产生打磨抛光粉尘，主要为少量金属</w:t>
            </w:r>
            <w:r>
              <w:rPr>
                <w:rFonts w:hint="eastAsia" w:ascii="Times New Roman" w:hAnsi="Times New Roman"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eastAsiaTheme="minorEastAsia"/>
                <w:bCs/>
                <w:color w:val="auto"/>
                <w:lang w:eastAsia="zh-CN"/>
              </w:rPr>
              <w:t>由于</w:t>
            </w:r>
            <w:r>
              <w:rPr>
                <w:rFonts w:hint="eastAsia" w:ascii="Times New Roman" w:hAnsi="Times New Roman" w:cs="Times New Roman" w:eastAsiaTheme="minorEastAsia"/>
                <w:bCs/>
                <w:color w:val="auto"/>
                <w:lang w:val="en-US" w:eastAsia="zh-CN"/>
              </w:rPr>
              <w:t>生产设备均</w:t>
            </w:r>
            <w:r>
              <w:rPr>
                <w:rFonts w:hint="default" w:ascii="Times New Roman" w:hAnsi="Times New Roman" w:cs="Times New Roman" w:eastAsiaTheme="minorEastAsia"/>
                <w:bCs/>
                <w:color w:val="auto"/>
                <w:lang w:eastAsia="zh-CN"/>
              </w:rPr>
              <w:t>在密闭空间</w:t>
            </w:r>
            <w:r>
              <w:rPr>
                <w:rFonts w:hint="eastAsia" w:ascii="Times New Roman" w:hAnsi="Times New Roman" w:cs="Times New Roman" w:eastAsiaTheme="minorEastAsia"/>
                <w:bCs/>
                <w:color w:val="auto"/>
                <w:lang w:val="en-US" w:eastAsia="zh-CN"/>
              </w:rPr>
              <w:t>内</w:t>
            </w:r>
            <w:r>
              <w:rPr>
                <w:rFonts w:hint="default" w:ascii="Times New Roman" w:hAnsi="Times New Roman" w:cs="Times New Roman" w:eastAsiaTheme="minorEastAsia"/>
                <w:bCs/>
                <w:color w:val="auto"/>
                <w:lang w:eastAsia="zh-CN"/>
              </w:rPr>
              <w:t>进行，产生的金属粉尘由于比重大，会沉降设备周围，定期清扫作为一般固废外售物资回收单位。</w:t>
            </w:r>
            <w:r>
              <w:rPr>
                <w:rFonts w:hint="eastAsia" w:ascii="Times New Roman" w:hAnsi="Times New Roman" w:eastAsia="宋体" w:cs="Times New Roman"/>
                <w:color w:val="auto"/>
                <w:sz w:val="24"/>
                <w:szCs w:val="24"/>
                <w:lang w:val="en-US" w:eastAsia="zh-CN"/>
              </w:rPr>
              <w:t>研磨过程中需加入少量水进行冷却，所产生的含金属颗粒的冷却水经循环</w:t>
            </w:r>
            <w:r>
              <w:rPr>
                <w:rFonts w:hint="eastAsia" w:ascii="Times New Roman" w:hAnsi="Times New Roman" w:cs="Times New Roman"/>
                <w:color w:val="auto"/>
                <w:sz w:val="24"/>
                <w:szCs w:val="24"/>
                <w:lang w:val="en-US" w:eastAsia="zh-CN"/>
              </w:rPr>
              <w:t>水</w:t>
            </w:r>
            <w:r>
              <w:rPr>
                <w:rFonts w:hint="eastAsia" w:ascii="Times New Roman" w:hAnsi="Times New Roman" w:eastAsia="宋体" w:cs="Times New Roman"/>
                <w:color w:val="auto"/>
                <w:sz w:val="24"/>
                <w:szCs w:val="24"/>
                <w:lang w:val="en-US" w:eastAsia="zh-CN"/>
              </w:rPr>
              <w:t>处理设施</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“格栅+收集池+铝粉过滤器+pH调节池+混凝反应池+沉淀池+清水池+过滤泵+砂滤器+碳滤器+精密过滤器”）处理后循环使用不外排</w:t>
            </w:r>
            <w:r>
              <w:rPr>
                <w:rFonts w:hint="eastAsia" w:ascii="Times New Roman" w:hAnsi="Times New Roman" w:cs="Times New Roman"/>
                <w:color w:val="auto"/>
                <w:sz w:val="24"/>
                <w:szCs w:val="24"/>
                <w:lang w:val="en-US" w:eastAsia="zh-CN"/>
              </w:rPr>
              <w:t>，循环水处理设施产生污泥定期清理收集于危险废物贮存间，委托有资质的单位处置</w:t>
            </w:r>
            <w:r>
              <w:rPr>
                <w:rFonts w:hint="eastAsia" w:ascii="Times New Roman" w:hAnsi="Times New Roman" w:eastAsia="宋体" w:cs="Times New Roman"/>
                <w:color w:val="auto"/>
                <w:sz w:val="24"/>
                <w:szCs w:val="24"/>
                <w:lang w:val="en-US" w:eastAsia="zh-CN"/>
              </w:rPr>
              <w:t>。</w:t>
            </w:r>
          </w:p>
          <w:p w14:paraId="112873E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冲压、钻孔、攻牙、数控机床：根据所需加工的产品方案对半成品进行机加工，加工过程会产生少量金属废屑，收集与危险废物贮存间内定期委托有资质的单位进行处理，攻牙机、多轴攻牙机、数控机床加工过程中需使用水性微乳冷却液（切削液）进行润滑与降温。</w:t>
            </w:r>
            <w:r>
              <w:rPr>
                <w:rFonts w:hint="eastAsia" w:ascii="Times New Roman" w:hAnsi="Times New Roman" w:cs="Times New Roman"/>
                <w:color w:val="auto"/>
                <w:sz w:val="24"/>
                <w:szCs w:val="24"/>
                <w:lang w:val="en-US" w:eastAsia="zh-CN"/>
              </w:rPr>
              <w:t>在机加工过程，通过持续浇注</w:t>
            </w:r>
            <w:r>
              <w:rPr>
                <w:rFonts w:hint="eastAsia" w:ascii="Times New Roman" w:hAnsi="Times New Roman" w:eastAsia="宋体" w:cs="Times New Roman"/>
                <w:color w:val="auto"/>
                <w:sz w:val="24"/>
                <w:szCs w:val="24"/>
                <w:lang w:val="en-US" w:eastAsia="zh-CN"/>
              </w:rPr>
              <w:t>水性微乳冷却液（切削液）</w:t>
            </w:r>
            <w:r>
              <w:rPr>
                <w:rFonts w:hint="eastAsia" w:ascii="Times New Roman" w:hAnsi="Times New Roman" w:cs="Times New Roman"/>
                <w:color w:val="auto"/>
                <w:sz w:val="24"/>
                <w:szCs w:val="24"/>
                <w:lang w:val="en-US" w:eastAsia="zh-CN"/>
              </w:rPr>
              <w:t>，使其在刀具与工件接触区域形成稳定的流体介质层。此过程从物理上抑制了材料碎屑因高温和机械力形成的颗粒物粉尘，并将所产生的细小金属屑与废切削液一起经切削液回收装置处理后循环使用，定期清理切削液中的沉降金属屑，收集于危险废物贮存间，委托有资质的单位处置</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因此，本项目机加工过程不产生机加工废气。</w:t>
            </w:r>
          </w:p>
          <w:p w14:paraId="587FDC0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水洗、烘干：经过机加工的部分半成品表面会残留少量的金属屑及金属粉末，需进行水洗、烘干。将带有金属屑及金属粉末的半成品放入水洗槽内进行清洗，清洗后烘干（电烘箱）。此过程仅产生清洗废水，通过循环水处理设施处理后循环使用不外排</w:t>
            </w:r>
            <w:r>
              <w:rPr>
                <w:rFonts w:hint="eastAsia" w:ascii="Times New Roman" w:hAnsi="Times New Roman" w:cs="Times New Roman"/>
                <w:color w:val="auto"/>
                <w:sz w:val="24"/>
                <w:szCs w:val="24"/>
                <w:lang w:val="en-US" w:eastAsia="zh-CN"/>
              </w:rPr>
              <w:t>，循环水处理设施产生污泥定期清理收集于危险废物贮存间，委托有资质的单位处置</w:t>
            </w:r>
            <w:r>
              <w:rPr>
                <w:rFonts w:hint="eastAsia" w:ascii="Times New Roman" w:hAnsi="Times New Roman" w:eastAsia="宋体" w:cs="Times New Roman"/>
                <w:color w:val="auto"/>
                <w:sz w:val="24"/>
                <w:szCs w:val="24"/>
                <w:lang w:val="en-US" w:eastAsia="zh-CN"/>
              </w:rPr>
              <w:t>。烘干过程主要为金属工件表面水分在高温下分解成水蒸气，因此金属工件在烘干过</w:t>
            </w:r>
            <w:r>
              <w:rPr>
                <w:rFonts w:hint="eastAsia" w:ascii="Times New Roman" w:hAnsi="Times New Roman" w:cs="Times New Roman"/>
                <w:color w:val="auto"/>
                <w:sz w:val="24"/>
                <w:szCs w:val="24"/>
                <w:lang w:val="en-US" w:eastAsia="zh-CN"/>
              </w:rPr>
              <w:t>程中</w:t>
            </w:r>
            <w:r>
              <w:rPr>
                <w:rFonts w:hint="eastAsia" w:ascii="Times New Roman" w:hAnsi="Times New Roman" w:eastAsia="宋体" w:cs="Times New Roman"/>
                <w:color w:val="auto"/>
                <w:sz w:val="24"/>
                <w:szCs w:val="24"/>
                <w:lang w:val="en-US" w:eastAsia="zh-CN"/>
              </w:rPr>
              <w:t>不产生废物污染。</w:t>
            </w:r>
          </w:p>
          <w:p w14:paraId="281BCDB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⑥喷塑：根据产品实际情况要求，部分产品需要进行喷塑。本项目喷塑工艺在其他厂区内进行，不属于本次评价范围内。因此本报告不</w:t>
            </w:r>
            <w:r>
              <w:rPr>
                <w:rFonts w:hint="eastAsia" w:ascii="Times New Roman" w:hAnsi="Times New Roman" w:cs="Times New Roman"/>
                <w:color w:val="auto"/>
                <w:sz w:val="24"/>
                <w:szCs w:val="24"/>
                <w:lang w:val="en-US" w:eastAsia="zh-CN"/>
              </w:rPr>
              <w:t>作</w:t>
            </w:r>
            <w:r>
              <w:rPr>
                <w:rFonts w:hint="eastAsia" w:ascii="Times New Roman" w:hAnsi="Times New Roman" w:eastAsia="宋体" w:cs="Times New Roman"/>
                <w:color w:val="auto"/>
                <w:sz w:val="24"/>
                <w:szCs w:val="24"/>
                <w:lang w:val="en-US" w:eastAsia="zh-CN"/>
              </w:rPr>
              <w:t>分析。</w:t>
            </w:r>
          </w:p>
          <w:p w14:paraId="6488D13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⑦检验入库：检验合格产品存放于成品仓库。不合格产品收集后</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重</w:t>
            </w:r>
            <w:r>
              <w:rPr>
                <w:rFonts w:hint="eastAsia" w:ascii="Times New Roman" w:hAnsi="Times New Roman" w:eastAsia="宋体" w:cs="Times New Roman"/>
                <w:color w:val="auto"/>
                <w:sz w:val="24"/>
                <w:szCs w:val="24"/>
                <w:lang w:val="en-US" w:eastAsia="zh-CN"/>
              </w:rPr>
              <w:t>新回到电阻炉熔化加工。</w:t>
            </w:r>
          </w:p>
          <w:p w14:paraId="3631869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bookmarkStart w:id="48" w:name="_Toc24949"/>
            <w:bookmarkStart w:id="49" w:name="_Toc13788"/>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2.3.2产污环节分析</w:t>
            </w:r>
            <w:bookmarkEnd w:id="48"/>
            <w:bookmarkEnd w:id="49"/>
          </w:p>
          <w:p w14:paraId="517A13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项目产污环节分析情况一览表详见表2.3-1</w:t>
            </w:r>
            <w:r>
              <w:rPr>
                <w:rFonts w:hint="eastAsia" w:ascii="Times New Roman" w:hAnsi="Times New Roman" w:cs="Times New Roman"/>
                <w:b w:val="0"/>
                <w:bCs w:val="0"/>
                <w:color w:val="000000" w:themeColor="text1"/>
                <w:kern w:val="0"/>
                <w:sz w:val="24"/>
                <w:szCs w:val="24"/>
                <w:highlight w:val="none"/>
                <w:u w:val="none"/>
                <w:lang w:val="en-US" w:eastAsia="zh-CN" w:bidi="ar-SA"/>
                <w14:textFill>
                  <w14:solidFill>
                    <w14:schemeClr w14:val="tx1"/>
                  </w14:solidFill>
                </w14:textFill>
              </w:rPr>
              <w:t>。</w:t>
            </w:r>
          </w:p>
          <w:p w14:paraId="7CD675F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表2.3-1 项目产污环节分析一览表</w:t>
            </w:r>
          </w:p>
          <w:tbl>
            <w:tblPr>
              <w:tblStyle w:val="24"/>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24"/>
              <w:gridCol w:w="1288"/>
              <w:gridCol w:w="1560"/>
              <w:gridCol w:w="645"/>
              <w:gridCol w:w="4230"/>
            </w:tblGrid>
            <w:tr w14:paraId="560A4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tcBorders>
                    <w:tl2br w:val="nil"/>
                    <w:tr2bl w:val="nil"/>
                  </w:tcBorders>
                  <w:vAlign w:val="center"/>
                </w:tcPr>
                <w:p w14:paraId="75F20DB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序号</w:t>
                  </w:r>
                </w:p>
              </w:tc>
              <w:tc>
                <w:tcPr>
                  <w:tcW w:w="247" w:type="pct"/>
                  <w:tcBorders>
                    <w:tl2br w:val="nil"/>
                    <w:tr2bl w:val="nil"/>
                  </w:tcBorders>
                  <w:vAlign w:val="center"/>
                </w:tcPr>
                <w:p w14:paraId="3A59386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类别</w:t>
                  </w:r>
                </w:p>
              </w:tc>
              <w:tc>
                <w:tcPr>
                  <w:tcW w:w="751" w:type="pct"/>
                  <w:tcBorders>
                    <w:tl2br w:val="nil"/>
                    <w:tr2bl w:val="nil"/>
                  </w:tcBorders>
                  <w:vAlign w:val="center"/>
                </w:tcPr>
                <w:p w14:paraId="5B291F1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污染源/污染工段</w:t>
                  </w:r>
                </w:p>
              </w:tc>
              <w:tc>
                <w:tcPr>
                  <w:tcW w:w="910" w:type="pct"/>
                  <w:tcBorders>
                    <w:tl2br w:val="nil"/>
                    <w:tr2bl w:val="nil"/>
                  </w:tcBorders>
                  <w:vAlign w:val="center"/>
                </w:tcPr>
                <w:p w14:paraId="14AB82E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主要污染物</w:t>
                  </w:r>
                </w:p>
              </w:tc>
              <w:tc>
                <w:tcPr>
                  <w:tcW w:w="376" w:type="pct"/>
                  <w:tcBorders>
                    <w:tl2br w:val="nil"/>
                    <w:tr2bl w:val="nil"/>
                  </w:tcBorders>
                  <w:vAlign w:val="center"/>
                </w:tcPr>
                <w:p w14:paraId="4F81847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排放周期</w:t>
                  </w:r>
                </w:p>
              </w:tc>
              <w:tc>
                <w:tcPr>
                  <w:tcW w:w="2467" w:type="pct"/>
                  <w:tcBorders>
                    <w:tl2br w:val="nil"/>
                    <w:tr2bl w:val="nil"/>
                  </w:tcBorders>
                  <w:vAlign w:val="center"/>
                </w:tcPr>
                <w:p w14:paraId="68C3C44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环保措施</w:t>
                  </w:r>
                </w:p>
              </w:tc>
            </w:tr>
            <w:tr w14:paraId="109D9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47" w:type="pct"/>
                  <w:vMerge w:val="restart"/>
                  <w:tcBorders>
                    <w:tl2br w:val="nil"/>
                    <w:tr2bl w:val="nil"/>
                  </w:tcBorders>
                  <w:vAlign w:val="center"/>
                </w:tcPr>
                <w:p w14:paraId="49A3FDC1">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1</w:t>
                  </w:r>
                </w:p>
              </w:tc>
              <w:tc>
                <w:tcPr>
                  <w:tcW w:w="247" w:type="pct"/>
                  <w:vMerge w:val="restart"/>
                  <w:tcBorders>
                    <w:tl2br w:val="nil"/>
                    <w:tr2bl w:val="nil"/>
                  </w:tcBorders>
                  <w:vAlign w:val="center"/>
                </w:tcPr>
                <w:p w14:paraId="61FBDD7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废水</w:t>
                  </w:r>
                </w:p>
              </w:tc>
              <w:tc>
                <w:tcPr>
                  <w:tcW w:w="751" w:type="pct"/>
                  <w:tcBorders>
                    <w:tl2br w:val="nil"/>
                    <w:tr2bl w:val="nil"/>
                  </w:tcBorders>
                  <w:vAlign w:val="center"/>
                </w:tcPr>
                <w:p w14:paraId="0FAD461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压铸脱模工序冷却水</w:t>
                  </w:r>
                </w:p>
              </w:tc>
              <w:tc>
                <w:tcPr>
                  <w:tcW w:w="910" w:type="pct"/>
                  <w:tcBorders>
                    <w:tl2br w:val="nil"/>
                    <w:tr2bl w:val="nil"/>
                  </w:tcBorders>
                  <w:vAlign w:val="center"/>
                </w:tcPr>
                <w:p w14:paraId="5CE4F9D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w:t>
                  </w:r>
                </w:p>
              </w:tc>
              <w:tc>
                <w:tcPr>
                  <w:tcW w:w="376" w:type="pct"/>
                  <w:tcBorders>
                    <w:tl2br w:val="nil"/>
                    <w:tr2bl w:val="nil"/>
                  </w:tcBorders>
                  <w:vAlign w:val="center"/>
                </w:tcPr>
                <w:p w14:paraId="2264524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467" w:type="pct"/>
                  <w:tcBorders>
                    <w:tl2br w:val="nil"/>
                    <w:tr2bl w:val="nil"/>
                  </w:tcBorders>
                  <w:vAlign w:val="center"/>
                </w:tcPr>
                <w:p w14:paraId="7C9FADA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冷却水循环使用不外排，定期补充新鲜用水</w:t>
                  </w:r>
                </w:p>
              </w:tc>
            </w:tr>
            <w:tr w14:paraId="28AE2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247" w:type="pct"/>
                  <w:vMerge w:val="continue"/>
                  <w:tcBorders>
                    <w:tl2br w:val="nil"/>
                    <w:tr2bl w:val="nil"/>
                  </w:tcBorders>
                  <w:vAlign w:val="center"/>
                </w:tcPr>
                <w:p w14:paraId="7B62848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6D31218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tcBorders>
                    <w:tl2br w:val="nil"/>
                    <w:tr2bl w:val="nil"/>
                  </w:tcBorders>
                  <w:vAlign w:val="center"/>
                </w:tcPr>
                <w:p w14:paraId="0C39F95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研磨工序冷却水</w:t>
                  </w:r>
                </w:p>
              </w:tc>
              <w:tc>
                <w:tcPr>
                  <w:tcW w:w="910" w:type="pct"/>
                  <w:vMerge w:val="restart"/>
                  <w:tcBorders>
                    <w:tl2br w:val="nil"/>
                    <w:tr2bl w:val="nil"/>
                  </w:tcBorders>
                  <w:vAlign w:val="center"/>
                </w:tcPr>
                <w:p w14:paraId="26025EA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c>
                <w:tcPr>
                  <w:tcW w:w="376" w:type="pct"/>
                  <w:vMerge w:val="restart"/>
                  <w:tcBorders>
                    <w:tl2br w:val="nil"/>
                    <w:tr2bl w:val="nil"/>
                  </w:tcBorders>
                  <w:vAlign w:val="center"/>
                </w:tcPr>
                <w:p w14:paraId="58E6663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467" w:type="pct"/>
                  <w:vMerge w:val="restart"/>
                  <w:tcBorders>
                    <w:tl2br w:val="nil"/>
                    <w:tr2bl w:val="nil"/>
                  </w:tcBorders>
                  <w:vAlign w:val="center"/>
                </w:tcPr>
                <w:p w14:paraId="7D186B6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经循环水处理系统处理后回用于生产工艺，循环使用不外排。定期补充新鲜用水</w:t>
                  </w:r>
                </w:p>
              </w:tc>
            </w:tr>
            <w:tr w14:paraId="65E0E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7" w:type="pct"/>
                  <w:vMerge w:val="continue"/>
                  <w:tcBorders>
                    <w:tl2br w:val="nil"/>
                    <w:tr2bl w:val="nil"/>
                  </w:tcBorders>
                  <w:vAlign w:val="center"/>
                </w:tcPr>
                <w:p w14:paraId="497B20E1">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42532607">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tcBorders>
                    <w:tl2br w:val="nil"/>
                    <w:tr2bl w:val="nil"/>
                  </w:tcBorders>
                  <w:vAlign w:val="center"/>
                </w:tcPr>
                <w:p w14:paraId="7B20B7DC">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半成品水洗废水</w:t>
                  </w:r>
                </w:p>
              </w:tc>
              <w:tc>
                <w:tcPr>
                  <w:tcW w:w="910" w:type="pct"/>
                  <w:vMerge w:val="continue"/>
                  <w:tcBorders>
                    <w:tl2br w:val="nil"/>
                    <w:tr2bl w:val="nil"/>
                  </w:tcBorders>
                  <w:vAlign w:val="center"/>
                </w:tcPr>
                <w:p w14:paraId="6D70C59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376" w:type="pct"/>
                  <w:vMerge w:val="continue"/>
                  <w:tcBorders>
                    <w:tl2br w:val="nil"/>
                    <w:tr2bl w:val="nil"/>
                  </w:tcBorders>
                  <w:vAlign w:val="center"/>
                </w:tcPr>
                <w:p w14:paraId="13B887D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2467" w:type="pct"/>
                  <w:vMerge w:val="continue"/>
                  <w:tcBorders>
                    <w:tl2br w:val="nil"/>
                    <w:tr2bl w:val="nil"/>
                  </w:tcBorders>
                  <w:vAlign w:val="center"/>
                </w:tcPr>
                <w:p w14:paraId="6F85DC51">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6B16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7" w:type="pct"/>
                  <w:vMerge w:val="continue"/>
                  <w:tcBorders>
                    <w:tl2br w:val="nil"/>
                    <w:tr2bl w:val="nil"/>
                  </w:tcBorders>
                  <w:vAlign w:val="center"/>
                </w:tcPr>
                <w:p w14:paraId="67A505F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41E6E93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tcBorders>
                    <w:tl2br w:val="nil"/>
                    <w:tr2bl w:val="nil"/>
                  </w:tcBorders>
                  <w:vAlign w:val="center"/>
                </w:tcPr>
                <w:p w14:paraId="751EF57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生活用水</w:t>
                  </w:r>
                </w:p>
              </w:tc>
              <w:tc>
                <w:tcPr>
                  <w:tcW w:w="910" w:type="pct"/>
                  <w:tcBorders>
                    <w:tl2br w:val="nil"/>
                    <w:tr2bl w:val="nil"/>
                  </w:tcBorders>
                  <w:vAlign w:val="center"/>
                </w:tcPr>
                <w:p w14:paraId="1E20D28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pH、COD、BOD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、SS、NH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c>
                <w:tcPr>
                  <w:tcW w:w="376" w:type="pct"/>
                  <w:tcBorders>
                    <w:tl2br w:val="nil"/>
                    <w:tr2bl w:val="nil"/>
                  </w:tcBorders>
                  <w:vAlign w:val="center"/>
                </w:tcPr>
                <w:p w14:paraId="64EB930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vAlign w:val="center"/>
                </w:tcPr>
                <w:p w14:paraId="636D28D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经化粪池预处理后接入市政污水管网排入福清市融元污水处理厂集中处理</w:t>
                  </w:r>
                </w:p>
              </w:tc>
            </w:tr>
            <w:tr w14:paraId="6EC58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47" w:type="pct"/>
                  <w:vMerge w:val="restart"/>
                  <w:tcBorders>
                    <w:tl2br w:val="nil"/>
                    <w:tr2bl w:val="nil"/>
                  </w:tcBorders>
                  <w:vAlign w:val="center"/>
                </w:tcPr>
                <w:p w14:paraId="11301E1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2</w:t>
                  </w:r>
                </w:p>
              </w:tc>
              <w:tc>
                <w:tcPr>
                  <w:tcW w:w="247" w:type="pct"/>
                  <w:vMerge w:val="restart"/>
                  <w:tcBorders>
                    <w:tl2br w:val="nil"/>
                    <w:tr2bl w:val="nil"/>
                  </w:tcBorders>
                  <w:vAlign w:val="center"/>
                </w:tcPr>
                <w:p w14:paraId="6019F0B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废气</w:t>
                  </w:r>
                </w:p>
              </w:tc>
              <w:tc>
                <w:tcPr>
                  <w:tcW w:w="751" w:type="pct"/>
                  <w:tcBorders>
                    <w:tl2br w:val="nil"/>
                    <w:tr2bl w:val="nil"/>
                  </w:tcBorders>
                  <w:shd w:val="clear" w:color="auto" w:fill="auto"/>
                  <w:vAlign w:val="center"/>
                </w:tcPr>
                <w:p w14:paraId="6C02BF78">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熔融废气</w:t>
                  </w:r>
                </w:p>
              </w:tc>
              <w:tc>
                <w:tcPr>
                  <w:tcW w:w="910" w:type="pct"/>
                  <w:tcBorders>
                    <w:tl2br w:val="nil"/>
                    <w:tr2bl w:val="nil"/>
                  </w:tcBorders>
                  <w:shd w:val="clear" w:color="auto" w:fill="auto"/>
                  <w:vAlign w:val="center"/>
                </w:tcPr>
                <w:p w14:paraId="61F1535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颗粒物</w:t>
                  </w:r>
                </w:p>
              </w:tc>
              <w:tc>
                <w:tcPr>
                  <w:tcW w:w="376" w:type="pct"/>
                  <w:tcBorders>
                    <w:tl2br w:val="nil"/>
                    <w:tr2bl w:val="nil"/>
                  </w:tcBorders>
                  <w:shd w:val="clear" w:color="auto" w:fill="auto"/>
                  <w:vAlign w:val="center"/>
                </w:tcPr>
                <w:p w14:paraId="1833E6C7">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w:t>
                  </w:r>
                </w:p>
              </w:tc>
              <w:tc>
                <w:tcPr>
                  <w:tcW w:w="2467" w:type="pct"/>
                  <w:vMerge w:val="restart"/>
                  <w:tcBorders>
                    <w:tl2br w:val="nil"/>
                    <w:tr2bl w:val="nil"/>
                  </w:tcBorders>
                  <w:shd w:val="clear" w:color="auto" w:fill="auto"/>
                  <w:vAlign w:val="center"/>
                </w:tcPr>
                <w:p w14:paraId="765A777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电弧炉</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、压铸脱模产生废气通过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“集气罩收集+</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布袋除尘器+活性炭吸附装置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处理后，通过1根15m高排气筒（DA001）排放</w:t>
                  </w:r>
                </w:p>
              </w:tc>
            </w:tr>
            <w:tr w14:paraId="4CFF0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7" w:type="pct"/>
                  <w:vMerge w:val="continue"/>
                  <w:tcBorders>
                    <w:tl2br w:val="nil"/>
                    <w:tr2bl w:val="nil"/>
                  </w:tcBorders>
                  <w:vAlign w:val="center"/>
                </w:tcPr>
                <w:p w14:paraId="6FA28D6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574F261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tcBorders>
                    <w:tl2br w:val="nil"/>
                    <w:tr2bl w:val="nil"/>
                  </w:tcBorders>
                  <w:shd w:val="clear" w:color="auto" w:fill="auto"/>
                  <w:vAlign w:val="center"/>
                </w:tcPr>
                <w:p w14:paraId="400EB339">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压铸脱模废气</w:t>
                  </w:r>
                </w:p>
              </w:tc>
              <w:tc>
                <w:tcPr>
                  <w:tcW w:w="910" w:type="pct"/>
                  <w:tcBorders>
                    <w:tl2br w:val="nil"/>
                    <w:tr2bl w:val="nil"/>
                  </w:tcBorders>
                  <w:shd w:val="clear" w:color="auto" w:fill="auto"/>
                  <w:vAlign w:val="center"/>
                </w:tcPr>
                <w:p w14:paraId="27D0989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VOCs</w:t>
                  </w:r>
                </w:p>
              </w:tc>
              <w:tc>
                <w:tcPr>
                  <w:tcW w:w="376" w:type="pct"/>
                  <w:tcBorders>
                    <w:tl2br w:val="nil"/>
                    <w:tr2bl w:val="nil"/>
                  </w:tcBorders>
                  <w:shd w:val="clear" w:color="auto" w:fill="auto"/>
                  <w:vAlign w:val="center"/>
                </w:tcPr>
                <w:p w14:paraId="194C0B5B">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w:t>
                  </w:r>
                </w:p>
              </w:tc>
              <w:tc>
                <w:tcPr>
                  <w:tcW w:w="2467" w:type="pct"/>
                  <w:vMerge w:val="continue"/>
                  <w:tcBorders>
                    <w:tl2br w:val="nil"/>
                    <w:tr2bl w:val="nil"/>
                  </w:tcBorders>
                  <w:shd w:val="clear" w:color="auto" w:fill="auto"/>
                  <w:vAlign w:val="center"/>
                </w:tcPr>
                <w:p w14:paraId="79D5A16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1BB10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restart"/>
                  <w:tcBorders>
                    <w:tl2br w:val="nil"/>
                    <w:tr2bl w:val="nil"/>
                  </w:tcBorders>
                  <w:vAlign w:val="center"/>
                </w:tcPr>
                <w:p w14:paraId="0EAF5A9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3</w:t>
                  </w:r>
                </w:p>
              </w:tc>
              <w:tc>
                <w:tcPr>
                  <w:tcW w:w="247" w:type="pct"/>
                  <w:vMerge w:val="restart"/>
                  <w:tcBorders>
                    <w:tl2br w:val="nil"/>
                    <w:tr2bl w:val="nil"/>
                  </w:tcBorders>
                  <w:vAlign w:val="center"/>
                </w:tcPr>
                <w:p w14:paraId="6A8D872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固废</w:t>
                  </w:r>
                </w:p>
              </w:tc>
              <w:tc>
                <w:tcPr>
                  <w:tcW w:w="751" w:type="pct"/>
                  <w:tcBorders>
                    <w:tl2br w:val="nil"/>
                    <w:tr2bl w:val="nil"/>
                  </w:tcBorders>
                  <w:shd w:val="clear" w:color="auto" w:fill="auto"/>
                  <w:vAlign w:val="center"/>
                </w:tcPr>
                <w:p w14:paraId="563AE5D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生活垃圾</w:t>
                  </w:r>
                </w:p>
              </w:tc>
              <w:tc>
                <w:tcPr>
                  <w:tcW w:w="910" w:type="pct"/>
                  <w:tcBorders>
                    <w:tl2br w:val="nil"/>
                    <w:tr2bl w:val="nil"/>
                  </w:tcBorders>
                  <w:shd w:val="clear" w:color="auto" w:fill="auto"/>
                  <w:vAlign w:val="center"/>
                </w:tcPr>
                <w:p w14:paraId="4C74542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纸屑、塑料袋等</w:t>
                  </w:r>
                </w:p>
              </w:tc>
              <w:tc>
                <w:tcPr>
                  <w:tcW w:w="376" w:type="pct"/>
                  <w:tcBorders>
                    <w:tl2br w:val="nil"/>
                    <w:tr2bl w:val="nil"/>
                  </w:tcBorders>
                  <w:shd w:val="clear" w:color="auto" w:fill="auto"/>
                  <w:vAlign w:val="center"/>
                </w:tcPr>
                <w:p w14:paraId="086CE02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1262240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GB" w:eastAsia="zh-CN"/>
                      <w14:textFill>
                        <w14:solidFill>
                          <w14:schemeClr w14:val="tx1"/>
                        </w14:solidFill>
                      </w14:textFill>
                    </w:rPr>
                    <w:t>厂区内设置生活垃圾桶，分类收集后委托环卫部门每日清运处置</w:t>
                  </w:r>
                </w:p>
              </w:tc>
            </w:tr>
            <w:tr w14:paraId="268C2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296F39C7">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56C17D1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vMerge w:val="restart"/>
                  <w:tcBorders>
                    <w:tl2br w:val="nil"/>
                    <w:tr2bl w:val="nil"/>
                  </w:tcBorders>
                  <w:shd w:val="clear" w:color="auto" w:fill="auto"/>
                  <w:vAlign w:val="center"/>
                </w:tcPr>
                <w:p w14:paraId="504C2E55">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生产工序</w:t>
                  </w:r>
                </w:p>
              </w:tc>
              <w:tc>
                <w:tcPr>
                  <w:tcW w:w="910" w:type="pct"/>
                  <w:tcBorders>
                    <w:tl2br w:val="nil"/>
                    <w:tr2bl w:val="nil"/>
                  </w:tcBorders>
                  <w:shd w:val="clear" w:color="auto" w:fill="auto"/>
                  <w:vAlign w:val="center"/>
                </w:tcPr>
                <w:p w14:paraId="4D9807F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打磨粉尘</w:t>
                  </w:r>
                </w:p>
              </w:tc>
              <w:tc>
                <w:tcPr>
                  <w:tcW w:w="376" w:type="pct"/>
                  <w:tcBorders>
                    <w:tl2br w:val="nil"/>
                    <w:tr2bl w:val="nil"/>
                  </w:tcBorders>
                  <w:shd w:val="clear" w:color="auto" w:fill="auto"/>
                  <w:vAlign w:val="center"/>
                </w:tcPr>
                <w:p w14:paraId="6C84EC2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4D2718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打磨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产生的金属粉尘比重大，会沉降设备周围，定期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进行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清扫</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w:t>
                  </w:r>
                  <w:r>
                    <w:rPr>
                      <w:rFonts w:hint="eastAsia" w:cs="Times New Roman"/>
                      <w:color w:val="000000" w:themeColor="text1"/>
                      <w:sz w:val="21"/>
                      <w:szCs w:val="21"/>
                      <w:lang w:val="en-US" w:eastAsia="zh-CN"/>
                      <w14:textFill>
                        <w14:solidFill>
                          <w14:schemeClr w14:val="tx1"/>
                        </w14:solidFill>
                      </w14:textFill>
                    </w:rPr>
                    <w:t>，委托环卫部门与生活垃圾一起处理</w:t>
                  </w:r>
                </w:p>
              </w:tc>
            </w:tr>
            <w:tr w14:paraId="564E5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tcBorders>
                    <w:tl2br w:val="nil"/>
                    <w:tr2bl w:val="nil"/>
                  </w:tcBorders>
                  <w:vAlign w:val="center"/>
                </w:tcPr>
                <w:p w14:paraId="1F648D4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3AD1024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vMerge w:val="continue"/>
                  <w:tcBorders>
                    <w:tl2br w:val="nil"/>
                    <w:tr2bl w:val="nil"/>
                  </w:tcBorders>
                  <w:shd w:val="clear" w:color="auto" w:fill="auto"/>
                  <w:vAlign w:val="center"/>
                </w:tcPr>
                <w:p w14:paraId="1DDC341C">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910" w:type="pct"/>
                  <w:tcBorders>
                    <w:tl2br w:val="nil"/>
                    <w:tr2bl w:val="nil"/>
                  </w:tcBorders>
                  <w:shd w:val="clear" w:color="auto" w:fill="auto"/>
                  <w:vAlign w:val="center"/>
                </w:tcPr>
                <w:p w14:paraId="31B4E26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废包装材料</w:t>
                  </w:r>
                </w:p>
              </w:tc>
              <w:tc>
                <w:tcPr>
                  <w:tcW w:w="376" w:type="pct"/>
                  <w:tcBorders>
                    <w:tl2br w:val="nil"/>
                    <w:tr2bl w:val="nil"/>
                  </w:tcBorders>
                  <w:shd w:val="clear" w:color="auto" w:fill="auto"/>
                  <w:vAlign w:val="center"/>
                </w:tcPr>
                <w:p w14:paraId="71A8FCB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57AE058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妥善分类收集</w:t>
                  </w:r>
                  <w:r>
                    <w:rPr>
                      <w:rFonts w:hint="eastAsia" w:cs="Times New Roman"/>
                      <w:color w:val="000000" w:themeColor="text1"/>
                      <w:sz w:val="21"/>
                      <w:szCs w:val="21"/>
                      <w:lang w:val="en-US" w:eastAsia="zh-CN"/>
                      <w14:textFill>
                        <w14:solidFill>
                          <w14:schemeClr w14:val="tx1"/>
                        </w14:solidFill>
                      </w14:textFill>
                    </w:rPr>
                    <w:t>于一般固废贮存间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出售给回收企业综合利用</w:t>
                  </w:r>
                </w:p>
              </w:tc>
            </w:tr>
            <w:tr w14:paraId="7FA3E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47" w:type="pct"/>
                  <w:vMerge w:val="continue"/>
                  <w:tcBorders>
                    <w:tl2br w:val="nil"/>
                    <w:tr2bl w:val="nil"/>
                  </w:tcBorders>
                  <w:vAlign w:val="center"/>
                </w:tcPr>
                <w:p w14:paraId="6F0A8D93">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tcBorders>
                    <w:tl2br w:val="nil"/>
                    <w:tr2bl w:val="nil"/>
                  </w:tcBorders>
                  <w:vAlign w:val="center"/>
                </w:tcPr>
                <w:p w14:paraId="72071EB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vMerge w:val="continue"/>
                  <w:tcBorders>
                    <w:tl2br w:val="nil"/>
                    <w:tr2bl w:val="nil"/>
                  </w:tcBorders>
                  <w:shd w:val="clear" w:color="auto" w:fill="auto"/>
                  <w:vAlign w:val="center"/>
                </w:tcPr>
                <w:p w14:paraId="25FD080D">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910" w:type="pct"/>
                  <w:tcBorders>
                    <w:tl2br w:val="nil"/>
                    <w:tr2bl w:val="nil"/>
                  </w:tcBorders>
                  <w:shd w:val="clear" w:color="auto" w:fill="auto"/>
                  <w:vAlign w:val="center"/>
                </w:tcPr>
                <w:p w14:paraId="1777AC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废边角料、</w:t>
                  </w:r>
                  <w:r>
                    <w:rPr>
                      <w:rFonts w:hint="eastAsia" w:cs="Times New Roman"/>
                      <w:bCs/>
                      <w:color w:val="000000" w:themeColor="text1"/>
                      <w:sz w:val="21"/>
                      <w:szCs w:val="21"/>
                      <w:lang w:val="en-US" w:eastAsia="zh-CN"/>
                      <w14:textFill>
                        <w14:solidFill>
                          <w14:schemeClr w14:val="tx1"/>
                        </w14:solidFill>
                      </w14:textFill>
                    </w:rPr>
                    <w:t>碎屑、</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熔融炉渣（未沾染油）</w:t>
                  </w:r>
                </w:p>
              </w:tc>
              <w:tc>
                <w:tcPr>
                  <w:tcW w:w="376" w:type="pct"/>
                  <w:tcBorders>
                    <w:tl2br w:val="nil"/>
                    <w:tr2bl w:val="nil"/>
                  </w:tcBorders>
                  <w:shd w:val="clear" w:color="auto" w:fill="auto"/>
                  <w:vAlign w:val="center"/>
                </w:tcPr>
                <w:p w14:paraId="309A907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tcBorders>
                    <w:tl2br w:val="nil"/>
                    <w:tr2bl w:val="nil"/>
                  </w:tcBorders>
                  <w:shd w:val="clear" w:color="auto" w:fill="auto"/>
                  <w:vAlign w:val="center"/>
                </w:tcPr>
                <w:p w14:paraId="371BF4D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属于一般固体废物，利用价值较高，收集后重新熔融进行回用。</w:t>
                  </w:r>
                </w:p>
              </w:tc>
            </w:tr>
            <w:tr w14:paraId="0492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vAlign w:val="center"/>
                </w:tcPr>
                <w:p w14:paraId="0ED43BE4">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1F7F72C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shd w:val="clear" w:color="auto" w:fill="auto"/>
                  <w:vAlign w:val="center"/>
                </w:tcPr>
                <w:p w14:paraId="251BEC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产品检验</w:t>
                  </w:r>
                </w:p>
              </w:tc>
              <w:tc>
                <w:tcPr>
                  <w:tcW w:w="910" w:type="pct"/>
                  <w:shd w:val="clear" w:color="auto" w:fill="auto"/>
                  <w:vAlign w:val="center"/>
                </w:tcPr>
                <w:p w14:paraId="4DDFF30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不合格产品</w:t>
                  </w:r>
                </w:p>
              </w:tc>
              <w:tc>
                <w:tcPr>
                  <w:tcW w:w="376" w:type="pct"/>
                  <w:shd w:val="clear" w:color="auto" w:fill="auto"/>
                  <w:vAlign w:val="center"/>
                </w:tcPr>
                <w:p w14:paraId="085890C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shd w:val="clear" w:color="auto" w:fill="auto"/>
                  <w:vAlign w:val="center"/>
                </w:tcPr>
                <w:p w14:paraId="4E00ED7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生产过程所产生的不合格产品</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，重新回到电阻炉熔化加工</w:t>
                  </w:r>
                </w:p>
              </w:tc>
            </w:tr>
            <w:tr w14:paraId="48C50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7" w:type="pct"/>
                  <w:vMerge w:val="continue"/>
                  <w:vAlign w:val="center"/>
                </w:tcPr>
                <w:p w14:paraId="024CAF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7" w:type="pct"/>
                  <w:vMerge w:val="continue"/>
                  <w:vAlign w:val="center"/>
                </w:tcPr>
                <w:p w14:paraId="6E89E4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1" w:type="pct"/>
                  <w:shd w:val="clear" w:color="auto" w:fill="auto"/>
                  <w:vAlign w:val="center"/>
                </w:tcPr>
                <w:p w14:paraId="10671D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p>
              </w:tc>
              <w:tc>
                <w:tcPr>
                  <w:tcW w:w="910" w:type="pct"/>
                  <w:shd w:val="clear" w:color="auto" w:fill="auto"/>
                  <w:vAlign w:val="center"/>
                </w:tcPr>
                <w:p w14:paraId="5947D46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布袋除尘器收集的粉尘及废布袋</w:t>
                  </w:r>
                </w:p>
              </w:tc>
              <w:tc>
                <w:tcPr>
                  <w:tcW w:w="376" w:type="pct"/>
                  <w:shd w:val="clear" w:color="auto" w:fill="auto"/>
                  <w:vAlign w:val="center"/>
                </w:tcPr>
                <w:p w14:paraId="028CF74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连续</w:t>
                  </w:r>
                </w:p>
              </w:tc>
              <w:tc>
                <w:tcPr>
                  <w:tcW w:w="2467" w:type="pct"/>
                  <w:shd w:val="clear" w:color="auto" w:fill="auto"/>
                  <w:vAlign w:val="center"/>
                </w:tcPr>
                <w:p w14:paraId="4F3A456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收集粉尘主要为废金属颗粒物委托环卫部门定期处置，废布袋外售回收企业综合利用</w:t>
                  </w:r>
                </w:p>
              </w:tc>
            </w:tr>
            <w:tr w14:paraId="19C9B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47" w:type="pct"/>
                  <w:vMerge w:val="continue"/>
                  <w:vAlign w:val="center"/>
                </w:tcPr>
                <w:p w14:paraId="23A6CEBA">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2C37DCC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vMerge w:val="restart"/>
                  <w:shd w:val="clear" w:color="auto" w:fill="auto"/>
                  <w:vAlign w:val="center"/>
                </w:tcPr>
                <w:p w14:paraId="4DDBD5F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生产工序</w:t>
                  </w:r>
                </w:p>
              </w:tc>
              <w:tc>
                <w:tcPr>
                  <w:tcW w:w="910" w:type="pct"/>
                  <w:shd w:val="clear" w:color="auto" w:fill="auto"/>
                  <w:vAlign w:val="center"/>
                </w:tcPr>
                <w:p w14:paraId="73713AD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废切削液</w:t>
                  </w:r>
                  <w:r>
                    <w:rPr>
                      <w:rFonts w:hint="eastAsia" w:cs="Times New Roman"/>
                      <w:color w:val="000000" w:themeColor="text1"/>
                      <w:kern w:val="2"/>
                      <w:sz w:val="21"/>
                      <w:szCs w:val="21"/>
                      <w:highlight w:val="none"/>
                      <w:vertAlign w:val="baseline"/>
                      <w:lang w:val="en-US" w:eastAsia="zh-CN" w:bidi="ar-SA"/>
                      <w14:textFill>
                        <w14:solidFill>
                          <w14:schemeClr w14:val="tx1"/>
                        </w14:solidFill>
                      </w14:textFill>
                    </w:rPr>
                    <w:t>及金属渣</w:t>
                  </w:r>
                </w:p>
              </w:tc>
              <w:tc>
                <w:tcPr>
                  <w:tcW w:w="376" w:type="pct"/>
                  <w:vMerge w:val="restart"/>
                  <w:shd w:val="clear" w:color="auto" w:fill="auto"/>
                  <w:vAlign w:val="center"/>
                </w:tcPr>
                <w:p w14:paraId="497898C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间歇</w:t>
                  </w:r>
                </w:p>
              </w:tc>
              <w:tc>
                <w:tcPr>
                  <w:tcW w:w="2467" w:type="pct"/>
                  <w:vMerge w:val="restart"/>
                  <w:shd w:val="clear" w:color="auto" w:fill="auto"/>
                  <w:vAlign w:val="center"/>
                </w:tcPr>
                <w:p w14:paraId="1CE63A6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w:t>
                  </w:r>
                  <w:r>
                    <w:rPr>
                      <w:rFonts w:hint="eastAsia" w:cs="Times New Roman"/>
                      <w:color w:val="auto"/>
                      <w:sz w:val="21"/>
                      <w:szCs w:val="21"/>
                      <w:highlight w:val="none"/>
                      <w:vertAlign w:val="baseline"/>
                      <w:lang w:val="en-US" w:eastAsia="zh-CN"/>
                    </w:rPr>
                    <w:t>8-10</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，存放废活性炭、废机油等危险废物。贮存间内张贴明</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显警示标志并设置围堰及导流沟，地面刷环氧树脂漆。并与有资质的单位签署危废委托协调</w:t>
                  </w:r>
                </w:p>
              </w:tc>
            </w:tr>
            <w:tr w14:paraId="7E4DB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vAlign w:val="center"/>
                </w:tcPr>
                <w:p w14:paraId="4EB59322">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63B0C8E0">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vMerge w:val="continue"/>
                  <w:shd w:val="clear" w:color="auto" w:fill="auto"/>
                  <w:vAlign w:val="center"/>
                </w:tcPr>
                <w:p w14:paraId="5056209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910" w:type="pct"/>
                  <w:shd w:val="clear" w:color="auto" w:fill="auto"/>
                  <w:vAlign w:val="center"/>
                </w:tcPr>
                <w:p w14:paraId="3942895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熔融炉渣（沾染油）</w:t>
                  </w:r>
                </w:p>
              </w:tc>
              <w:tc>
                <w:tcPr>
                  <w:tcW w:w="376" w:type="pct"/>
                  <w:vMerge w:val="continue"/>
                  <w:shd w:val="clear" w:color="auto" w:fill="auto"/>
                  <w:vAlign w:val="center"/>
                </w:tcPr>
                <w:p w14:paraId="3F59D32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467" w:type="pct"/>
                  <w:vMerge w:val="continue"/>
                  <w:shd w:val="clear" w:color="auto" w:fill="auto"/>
                  <w:vAlign w:val="center"/>
                </w:tcPr>
                <w:p w14:paraId="1DDC1DF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244F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47" w:type="pct"/>
                  <w:vMerge w:val="continue"/>
                  <w:vAlign w:val="center"/>
                </w:tcPr>
                <w:p w14:paraId="01011FDF">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3162EB8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vMerge w:val="continue"/>
                  <w:shd w:val="clear" w:color="auto" w:fill="auto"/>
                  <w:vAlign w:val="center"/>
                </w:tcPr>
                <w:p w14:paraId="3F9E74D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910" w:type="pct"/>
                  <w:shd w:val="clear" w:color="auto" w:fill="auto"/>
                  <w:vAlign w:val="center"/>
                </w:tcPr>
                <w:p w14:paraId="368585B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压铸脱模剂废包装桶</w:t>
                  </w:r>
                </w:p>
              </w:tc>
              <w:tc>
                <w:tcPr>
                  <w:tcW w:w="376" w:type="pct"/>
                  <w:vMerge w:val="continue"/>
                  <w:shd w:val="clear" w:color="auto" w:fill="auto"/>
                  <w:vAlign w:val="center"/>
                </w:tcPr>
                <w:p w14:paraId="7C32907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467" w:type="pct"/>
                  <w:vMerge w:val="continue"/>
                  <w:shd w:val="clear" w:color="auto" w:fill="auto"/>
                  <w:vAlign w:val="center"/>
                </w:tcPr>
                <w:p w14:paraId="104B7B1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C5BF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247" w:type="pct"/>
                  <w:vMerge w:val="continue"/>
                  <w:vAlign w:val="center"/>
                </w:tcPr>
                <w:p w14:paraId="72F6A10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247" w:type="pct"/>
                  <w:vMerge w:val="continue"/>
                  <w:vAlign w:val="center"/>
                </w:tcPr>
                <w:p w14:paraId="1F25D07E">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p>
              </w:tc>
              <w:tc>
                <w:tcPr>
                  <w:tcW w:w="751" w:type="pct"/>
                  <w:shd w:val="clear" w:color="auto" w:fill="auto"/>
                  <w:vAlign w:val="center"/>
                </w:tcPr>
                <w:p w14:paraId="2189AA4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废气处理</w:t>
                  </w:r>
                </w:p>
              </w:tc>
              <w:tc>
                <w:tcPr>
                  <w:tcW w:w="910" w:type="pct"/>
                  <w:shd w:val="clear" w:color="auto" w:fill="auto"/>
                  <w:vAlign w:val="center"/>
                </w:tcPr>
                <w:p w14:paraId="5D4923A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废活性炭</w:t>
                  </w:r>
                </w:p>
              </w:tc>
              <w:tc>
                <w:tcPr>
                  <w:tcW w:w="376" w:type="pct"/>
                  <w:vMerge w:val="continue"/>
                  <w:shd w:val="clear" w:color="auto" w:fill="auto"/>
                  <w:vAlign w:val="center"/>
                </w:tcPr>
                <w:p w14:paraId="7A885A8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467" w:type="pct"/>
                  <w:vMerge w:val="continue"/>
                  <w:shd w:val="clear" w:color="auto" w:fill="auto"/>
                  <w:vAlign w:val="center"/>
                </w:tcPr>
                <w:p w14:paraId="5E68B95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7E51F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247" w:type="pct"/>
                  <w:vMerge w:val="continue"/>
                  <w:vAlign w:val="center"/>
                </w:tcPr>
                <w:p w14:paraId="10C6850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7" w:type="pct"/>
                  <w:vMerge w:val="continue"/>
                  <w:vAlign w:val="center"/>
                </w:tcPr>
                <w:p w14:paraId="6166EBD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1" w:type="pct"/>
                  <w:shd w:val="clear" w:color="auto" w:fill="auto"/>
                  <w:vAlign w:val="center"/>
                </w:tcPr>
                <w:p w14:paraId="60F55FA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设备维护</w:t>
                  </w:r>
                </w:p>
              </w:tc>
              <w:tc>
                <w:tcPr>
                  <w:tcW w:w="910" w:type="pct"/>
                  <w:shd w:val="clear" w:color="auto" w:fill="auto"/>
                  <w:vAlign w:val="center"/>
                </w:tcPr>
                <w:p w14:paraId="743A769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废机油、废液压油</w:t>
                  </w:r>
                </w:p>
              </w:tc>
              <w:tc>
                <w:tcPr>
                  <w:tcW w:w="376" w:type="pct"/>
                  <w:vMerge w:val="continue"/>
                  <w:shd w:val="clear" w:color="auto" w:fill="auto"/>
                  <w:vAlign w:val="center"/>
                </w:tcPr>
                <w:p w14:paraId="15E3E4B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467" w:type="pct"/>
                  <w:vMerge w:val="continue"/>
                  <w:shd w:val="clear" w:color="auto" w:fill="auto"/>
                  <w:vAlign w:val="center"/>
                </w:tcPr>
                <w:p w14:paraId="139B14A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r>
            <w:tr w14:paraId="5DD19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vAlign w:val="center"/>
                </w:tcPr>
                <w:p w14:paraId="2A3FD87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47" w:type="pct"/>
                  <w:vMerge w:val="continue"/>
                  <w:vAlign w:val="center"/>
                </w:tcPr>
                <w:p w14:paraId="430FFB9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1" w:type="pct"/>
                  <w:shd w:val="clear" w:color="auto" w:fill="auto"/>
                  <w:vAlign w:val="center"/>
                </w:tcPr>
                <w:p w14:paraId="505220B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循环水处理设施</w:t>
                  </w:r>
                </w:p>
              </w:tc>
              <w:tc>
                <w:tcPr>
                  <w:tcW w:w="910" w:type="pct"/>
                  <w:shd w:val="clear" w:color="auto" w:fill="auto"/>
                  <w:vAlign w:val="center"/>
                </w:tcPr>
                <w:p w14:paraId="14E528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污泥</w:t>
                  </w:r>
                </w:p>
              </w:tc>
              <w:tc>
                <w:tcPr>
                  <w:tcW w:w="376" w:type="pct"/>
                  <w:vMerge w:val="continue"/>
                  <w:shd w:val="clear" w:color="auto" w:fill="auto"/>
                  <w:vAlign w:val="center"/>
                </w:tcPr>
                <w:p w14:paraId="1315426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467" w:type="pct"/>
                  <w:vMerge w:val="continue"/>
                  <w:shd w:val="clear" w:color="auto" w:fill="auto"/>
                  <w:vAlign w:val="center"/>
                </w:tcPr>
                <w:p w14:paraId="5B533F8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r>
            <w:tr w14:paraId="6244F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247" w:type="pct"/>
                  <w:vAlign w:val="center"/>
                </w:tcPr>
                <w:p w14:paraId="3D907765">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4</w:t>
                  </w:r>
                </w:p>
              </w:tc>
              <w:tc>
                <w:tcPr>
                  <w:tcW w:w="247" w:type="pct"/>
                  <w:vAlign w:val="center"/>
                </w:tcPr>
                <w:p w14:paraId="3844B736">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vertAlign w:val="baseline"/>
                      <w:lang w:val="en-US" w:eastAsia="zh-CN" w:bidi="ar-SA"/>
                      <w14:textFill>
                        <w14:solidFill>
                          <w14:schemeClr w14:val="tx1"/>
                        </w14:solidFill>
                      </w14:textFill>
                    </w:rPr>
                    <w:t>噪声</w:t>
                  </w:r>
                </w:p>
              </w:tc>
              <w:tc>
                <w:tcPr>
                  <w:tcW w:w="751" w:type="pct"/>
                  <w:shd w:val="clear" w:color="auto" w:fill="auto"/>
                  <w:vAlign w:val="center"/>
                </w:tcPr>
                <w:p w14:paraId="57E1846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生产设备</w:t>
                  </w:r>
                </w:p>
              </w:tc>
              <w:tc>
                <w:tcPr>
                  <w:tcW w:w="910" w:type="pct"/>
                  <w:shd w:val="clear" w:color="auto" w:fill="auto"/>
                  <w:vAlign w:val="center"/>
                </w:tcPr>
                <w:p w14:paraId="6162408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Leq</w:t>
                  </w:r>
                </w:p>
              </w:tc>
              <w:tc>
                <w:tcPr>
                  <w:tcW w:w="376" w:type="pct"/>
                  <w:shd w:val="clear" w:color="auto" w:fill="auto"/>
                  <w:vAlign w:val="center"/>
                </w:tcPr>
                <w:p w14:paraId="487A580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连续</w:t>
                  </w:r>
                </w:p>
              </w:tc>
              <w:tc>
                <w:tcPr>
                  <w:tcW w:w="2467" w:type="pct"/>
                  <w:shd w:val="clear" w:color="auto" w:fill="auto"/>
                  <w:vAlign w:val="center"/>
                </w:tcPr>
                <w:p w14:paraId="34538EC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厂房隔声、设备基础减振等综合降噪措施</w:t>
                  </w:r>
                </w:p>
              </w:tc>
            </w:tr>
          </w:tbl>
          <w:p w14:paraId="30D39F7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pPr>
          </w:p>
        </w:tc>
      </w:tr>
      <w:tr w14:paraId="7872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 w:type="pct"/>
            <w:vAlign w:val="center"/>
          </w:tcPr>
          <w:p w14:paraId="35D504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ascii="Times New Roman" w:hAnsi="Times New Roman"/>
                <w:bCs/>
                <w:color w:val="000000" w:themeColor="text1"/>
                <w:kern w:val="2"/>
                <w:sz w:val="24"/>
                <w:szCs w:val="24"/>
                <w14:textFill>
                  <w14:solidFill>
                    <w14:schemeClr w14:val="tx1"/>
                  </w14:solidFill>
                </w14:textFill>
              </w:rPr>
              <w:t>与项目有关的原有环境污染问题</w:t>
            </w:r>
          </w:p>
        </w:tc>
        <w:tc>
          <w:tcPr>
            <w:tcW w:w="4739" w:type="pct"/>
            <w:vAlign w:val="center"/>
          </w:tcPr>
          <w:p w14:paraId="1DDC777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default" w:ascii="Times New Roman" w:hAnsi="Times New Roman" w:cs="Times New Roman"/>
                <w:b w:val="0"/>
                <w:bCs w:val="0"/>
                <w:color w:val="000000" w:themeColor="text1"/>
                <w:sz w:val="24"/>
                <w:szCs w:val="24"/>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u w:val="none"/>
                <w:lang w:val="en-US" w:eastAsia="zh-CN" w:bidi="ar-SA"/>
                <w14:textFill>
                  <w14:solidFill>
                    <w14:schemeClr w14:val="tx1"/>
                  </w14:solidFill>
                </w14:textFill>
              </w:rPr>
              <w:t>新建项目，购置已建厂房进行生产，不涉及项目有关的原有环境污染问题</w:t>
            </w:r>
          </w:p>
        </w:tc>
      </w:tr>
    </w:tbl>
    <w:p w14:paraId="354DADD8">
      <w:pPr>
        <w:rPr>
          <w:rFonts w:hint="default" w:ascii="Times New Roman" w:hAnsi="Times New Roman" w:eastAsia="黑体" w:cs="Times New Roman"/>
          <w:snapToGrid w:val="0"/>
          <w:color w:val="auto"/>
          <w:sz w:val="30"/>
          <w:szCs w:val="30"/>
          <w:u w:val="none"/>
        </w:rPr>
      </w:pPr>
      <w:bookmarkStart w:id="50" w:name="_Toc7756"/>
      <w:r>
        <w:rPr>
          <w:rFonts w:hint="default" w:ascii="Times New Roman" w:hAnsi="Times New Roman" w:eastAsia="黑体" w:cs="Times New Roman"/>
          <w:snapToGrid w:val="0"/>
          <w:color w:val="000000" w:themeColor="text1"/>
          <w:sz w:val="30"/>
          <w:szCs w:val="30"/>
          <w:u w:val="none"/>
          <w14:textFill>
            <w14:solidFill>
              <w14:schemeClr w14:val="tx1"/>
            </w14:solidFill>
          </w14:textFill>
        </w:rPr>
        <w:br w:type="page"/>
      </w:r>
    </w:p>
    <w:p w14:paraId="5B565178">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51" w:name="_Toc29722"/>
      <w:bookmarkStart w:id="52" w:name="_Toc15761"/>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50"/>
      <w:bookmarkEnd w:id="51"/>
      <w:bookmarkEnd w:id="52"/>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9"/>
      </w:tblGrid>
      <w:tr w14:paraId="34E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456" w:type="dxa"/>
            <w:vAlign w:val="center"/>
          </w:tcPr>
          <w:p w14:paraId="021708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39DE06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647E765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71F55191">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4F2DB76B">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53" w:name="_Toc18783"/>
            <w:bookmarkStart w:id="54" w:name="_Toc32076"/>
            <w:r>
              <w:rPr>
                <w:rFonts w:hint="eastAsia" w:ascii="Times New Roman" w:hAnsi="Times New Roman" w:eastAsia="宋体" w:cs="Times New Roman"/>
                <w:color w:val="auto"/>
                <w:sz w:val="28"/>
                <w:szCs w:val="28"/>
                <w:u w:val="none"/>
                <w:lang w:val="en-US" w:eastAsia="zh-CN"/>
              </w:rPr>
              <w:t>3.1大气环境质量现状</w:t>
            </w:r>
            <w:bookmarkEnd w:id="53"/>
            <w:bookmarkEnd w:id="54"/>
          </w:p>
          <w:p w14:paraId="0F23A5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5" w:name="_Toc4517"/>
            <w:bookmarkStart w:id="56" w:name="_Toc3135"/>
            <w:r>
              <w:rPr>
                <w:rFonts w:hint="eastAsia" w:ascii="Times New Roman" w:hAnsi="Times New Roman" w:eastAsia="宋体" w:cs="Times New Roman"/>
                <w:b/>
                <w:bCs/>
                <w:color w:val="auto"/>
                <w:sz w:val="24"/>
                <w:szCs w:val="24"/>
                <w:u w:val="none"/>
                <w:lang w:val="en-US" w:eastAsia="zh-CN"/>
              </w:rPr>
              <w:t>3.1.1环境空气质量功能区划</w:t>
            </w:r>
            <w:bookmarkEnd w:id="55"/>
            <w:bookmarkEnd w:id="56"/>
          </w:p>
          <w:p w14:paraId="1AC459E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57" w:name="_Toc338850492"/>
            <w:bookmarkStart w:id="58" w:name="_Toc339964236"/>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》的规定，项目所在区域环境空气功能规划为二类区，环境空气质量执行《环境空气质量标准》</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GB3095-2012</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及其修改单中的二级标准。项目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57"/>
            <w:bookmarkEnd w:id="58"/>
          </w:p>
          <w:p w14:paraId="2FFA32A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 项目环境空气标准一览表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32"/>
              <w:gridCol w:w="2033"/>
              <w:gridCol w:w="1589"/>
              <w:gridCol w:w="3279"/>
            </w:tblGrid>
            <w:tr w14:paraId="55B095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618" w:hRule="atLeast"/>
                <w:jc w:val="center"/>
              </w:trPr>
              <w:tc>
                <w:tcPr>
                  <w:tcW w:w="956" w:type="pct"/>
                  <w:noWrap w:val="0"/>
                  <w:vAlign w:val="center"/>
                </w:tcPr>
                <w:p w14:paraId="051763A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91" w:type="pct"/>
                  <w:noWrap w:val="0"/>
                  <w:vAlign w:val="center"/>
                </w:tcPr>
                <w:p w14:paraId="1B63E8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931" w:type="pct"/>
                  <w:noWrap w:val="0"/>
                  <w:vAlign w:val="center"/>
                </w:tcPr>
                <w:p w14:paraId="0D48D5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1920" w:type="pct"/>
                  <w:noWrap w:val="0"/>
                  <w:vAlign w:val="center"/>
                </w:tcPr>
                <w:p w14:paraId="17BA828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1F9224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68" w:hRule="atLeast"/>
                <w:jc w:val="center"/>
              </w:trPr>
              <w:tc>
                <w:tcPr>
                  <w:tcW w:w="956" w:type="pct"/>
                  <w:vMerge w:val="restart"/>
                  <w:noWrap w:val="0"/>
                  <w:vAlign w:val="center"/>
                </w:tcPr>
                <w:p w14:paraId="17D0D3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91" w:type="pct"/>
                  <w:noWrap w:val="0"/>
                  <w:vAlign w:val="center"/>
                </w:tcPr>
                <w:p w14:paraId="5369CC4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3A5A04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70μg/m</w:t>
                  </w:r>
                  <w:r>
                    <w:rPr>
                      <w:rFonts w:hint="default" w:ascii="Times New Roman" w:hAnsi="Times New Roman" w:eastAsia="宋体" w:cs="Times New Roman"/>
                      <w:color w:val="auto"/>
                      <w:sz w:val="21"/>
                      <w:szCs w:val="21"/>
                      <w:vertAlign w:val="superscript"/>
                    </w:rPr>
                    <w:t>3</w:t>
                  </w:r>
                </w:p>
              </w:tc>
              <w:tc>
                <w:tcPr>
                  <w:tcW w:w="1920" w:type="pct"/>
                  <w:vMerge w:val="restart"/>
                  <w:noWrap w:val="0"/>
                  <w:vAlign w:val="center"/>
                </w:tcPr>
                <w:p w14:paraId="2B34A07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GB309</w:t>
                  </w:r>
                  <w:r>
                    <w:rPr>
                      <w:rFonts w:hint="default" w:ascii="Times New Roman" w:hAnsi="Times New Roman" w:eastAsia="宋体" w:cs="Times New Roman"/>
                      <w:color w:val="auto"/>
                      <w:sz w:val="21"/>
                      <w:szCs w:val="21"/>
                      <w:lang w:eastAsia="zh-CN"/>
                    </w:rPr>
                    <w:t>6-2</w:t>
                  </w:r>
                  <w:r>
                    <w:rPr>
                      <w:rFonts w:hint="default" w:ascii="Times New Roman" w:hAnsi="Times New Roman" w:eastAsia="宋体" w:cs="Times New Roman"/>
                      <w:color w:val="auto"/>
                      <w:sz w:val="21"/>
                      <w:szCs w:val="21"/>
                    </w:rPr>
                    <w:t>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及其修改单中的二级标准</w:t>
                  </w:r>
                </w:p>
              </w:tc>
            </w:tr>
            <w:tr w14:paraId="464649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0087F55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1D2096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0C21FE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6B1C5F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091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restart"/>
                  <w:noWrap w:val="0"/>
                  <w:vAlign w:val="center"/>
                </w:tcPr>
                <w:p w14:paraId="78B37F5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191" w:type="pct"/>
                  <w:noWrap w:val="0"/>
                  <w:vAlign w:val="center"/>
                </w:tcPr>
                <w:p w14:paraId="4EA38C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5B37634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7398D7B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89194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417FA4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7754D3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15F8FD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635CAC6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FFD13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6B6373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6B3AA7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1898EA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189660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306C9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52" w:hRule="atLeast"/>
                <w:jc w:val="center"/>
              </w:trPr>
              <w:tc>
                <w:tcPr>
                  <w:tcW w:w="956" w:type="pct"/>
                  <w:vMerge w:val="continue"/>
                  <w:noWrap w:val="0"/>
                  <w:vAlign w:val="center"/>
                </w:tcPr>
                <w:p w14:paraId="7B2FC1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5DD556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228833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59E22D5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FC7D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64D25B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A42B75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36AE8FA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AD287E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96E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restart"/>
                  <w:noWrap w:val="0"/>
                  <w:vAlign w:val="center"/>
                </w:tcPr>
                <w:p w14:paraId="4C9956E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91" w:type="pct"/>
                  <w:noWrap w:val="0"/>
                  <w:vAlign w:val="center"/>
                </w:tcPr>
                <w:p w14:paraId="36D0D4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931" w:type="pct"/>
                  <w:noWrap w:val="0"/>
                  <w:vAlign w:val="center"/>
                </w:tcPr>
                <w:p w14:paraId="76066D0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159D7E99">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31DD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02" w:hRule="atLeast"/>
                <w:jc w:val="center"/>
              </w:trPr>
              <w:tc>
                <w:tcPr>
                  <w:tcW w:w="956" w:type="pct"/>
                  <w:vMerge w:val="continue"/>
                  <w:noWrap w:val="0"/>
                  <w:vAlign w:val="center"/>
                </w:tcPr>
                <w:p w14:paraId="6E2A489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22058DD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7E08E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3286BE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7A5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85" w:hRule="atLeast"/>
                <w:jc w:val="center"/>
              </w:trPr>
              <w:tc>
                <w:tcPr>
                  <w:tcW w:w="956" w:type="pct"/>
                  <w:vMerge w:val="continue"/>
                  <w:noWrap w:val="0"/>
                  <w:vAlign w:val="center"/>
                </w:tcPr>
                <w:p w14:paraId="4DB1103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91" w:type="pct"/>
                  <w:noWrap w:val="0"/>
                  <w:vAlign w:val="center"/>
                </w:tcPr>
                <w:p w14:paraId="0560EE4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931" w:type="pct"/>
                  <w:noWrap w:val="0"/>
                  <w:vAlign w:val="center"/>
                </w:tcPr>
                <w:p w14:paraId="6216B64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4A93AC1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ADDDA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2" w:hRule="atLeast"/>
                <w:jc w:val="center"/>
              </w:trPr>
              <w:tc>
                <w:tcPr>
                  <w:tcW w:w="956" w:type="pct"/>
                  <w:vMerge w:val="restart"/>
                  <w:noWrap w:val="0"/>
                  <w:vAlign w:val="center"/>
                </w:tcPr>
                <w:p w14:paraId="0B1D020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191" w:type="pct"/>
                  <w:noWrap w:val="0"/>
                  <w:vAlign w:val="center"/>
                </w:tcPr>
                <w:p w14:paraId="0CF18B0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931" w:type="pct"/>
                  <w:noWrap w:val="0"/>
                  <w:vAlign w:val="center"/>
                </w:tcPr>
                <w:p w14:paraId="6AEC3E7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6D191F1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84C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535" w:hRule="atLeast"/>
                <w:jc w:val="center"/>
              </w:trPr>
              <w:tc>
                <w:tcPr>
                  <w:tcW w:w="956" w:type="pct"/>
                  <w:vMerge w:val="continue"/>
                  <w:noWrap w:val="0"/>
                  <w:vAlign w:val="center"/>
                </w:tcPr>
                <w:p w14:paraId="6BF1A948">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6E89505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6E6F279C">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1920" w:type="pct"/>
                  <w:vMerge w:val="continue"/>
                  <w:noWrap w:val="0"/>
                  <w:vAlign w:val="center"/>
                </w:tcPr>
                <w:p w14:paraId="36B6810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F5DDA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51" w:hRule="atLeast"/>
                <w:jc w:val="center"/>
              </w:trPr>
              <w:tc>
                <w:tcPr>
                  <w:tcW w:w="956" w:type="pct"/>
                  <w:vMerge w:val="restart"/>
                  <w:noWrap w:val="0"/>
                  <w:vAlign w:val="center"/>
                </w:tcPr>
                <w:p w14:paraId="4EE852C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191" w:type="pct"/>
                  <w:noWrap w:val="0"/>
                  <w:vAlign w:val="center"/>
                </w:tcPr>
                <w:p w14:paraId="4097354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931" w:type="pct"/>
                  <w:noWrap w:val="0"/>
                  <w:vAlign w:val="center"/>
                </w:tcPr>
                <w:p w14:paraId="6F8934A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2381B86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5046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69" w:hRule="atLeast"/>
                <w:jc w:val="center"/>
              </w:trPr>
              <w:tc>
                <w:tcPr>
                  <w:tcW w:w="956" w:type="pct"/>
                  <w:vMerge w:val="continue"/>
                  <w:noWrap w:val="0"/>
                  <w:vAlign w:val="center"/>
                </w:tcPr>
                <w:p w14:paraId="29E97A3B">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91" w:type="pct"/>
                  <w:noWrap w:val="0"/>
                  <w:vAlign w:val="center"/>
                </w:tcPr>
                <w:p w14:paraId="366276BB">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931" w:type="pct"/>
                  <w:noWrap w:val="0"/>
                  <w:vAlign w:val="center"/>
                </w:tcPr>
                <w:p w14:paraId="2B27298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1920" w:type="pct"/>
                  <w:vMerge w:val="continue"/>
                  <w:noWrap w:val="0"/>
                  <w:vAlign w:val="center"/>
                </w:tcPr>
                <w:p w14:paraId="0D243AD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677E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956" w:type="pct"/>
                  <w:noWrap w:val="0"/>
                  <w:vAlign w:val="center"/>
                </w:tcPr>
                <w:p w14:paraId="74B58C1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191" w:type="pct"/>
                  <w:noWrap w:val="0"/>
                  <w:vAlign w:val="center"/>
                </w:tcPr>
                <w:p w14:paraId="6AF439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931" w:type="pct"/>
                  <w:noWrap w:val="0"/>
                  <w:vAlign w:val="center"/>
                </w:tcPr>
                <w:p w14:paraId="623908B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1920" w:type="pct"/>
                  <w:noWrap w:val="0"/>
                  <w:vAlign w:val="center"/>
                </w:tcPr>
                <w:p w14:paraId="521DCD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rPr>
                    <w:t>《大气污染物综合排放标准详解》</w:t>
                  </w:r>
                  <w:r>
                    <w:rPr>
                      <w:rFonts w:hint="eastAsia"/>
                      <w:lang w:eastAsia="zh-CN"/>
                    </w:rPr>
                    <w:t>（</w:t>
                  </w:r>
                  <w:r>
                    <w:t>GB 16297-1996</w:t>
                  </w:r>
                  <w:r>
                    <w:rPr>
                      <w:rFonts w:hint="eastAsia"/>
                      <w:lang w:eastAsia="zh-CN"/>
                    </w:rPr>
                    <w:t>）</w:t>
                  </w:r>
                  <w:r>
                    <w:rPr>
                      <w:rFonts w:hint="eastAsia"/>
                    </w:rPr>
                    <w:t>中的环境背景浓度取值</w:t>
                  </w:r>
                </w:p>
              </w:tc>
            </w:tr>
          </w:tbl>
          <w:p w14:paraId="1AEC68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59" w:name="_Toc4542"/>
            <w:bookmarkStart w:id="60" w:name="_Toc31922"/>
            <w:r>
              <w:rPr>
                <w:rFonts w:hint="default" w:ascii="Times New Roman" w:hAnsi="Times New Roman" w:eastAsia="宋体" w:cs="Times New Roman"/>
                <w:b/>
                <w:bCs/>
                <w:color w:val="auto"/>
                <w:sz w:val="24"/>
                <w:szCs w:val="24"/>
                <w:u w:val="none"/>
                <w:lang w:val="en-US" w:eastAsia="zh-CN"/>
              </w:rPr>
              <w:t>3.1.2环境空气质量现状</w:t>
            </w:r>
            <w:bookmarkEnd w:id="59"/>
            <w:bookmarkEnd w:id="60"/>
          </w:p>
          <w:p w14:paraId="1D823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1001848">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6318F058">
            <w:pPr>
              <w:pStyle w:val="43"/>
              <w:keepLines w:val="0"/>
              <w:pageBreakBefore w:val="0"/>
              <w:widowControl w:val="0"/>
              <w:kinsoku/>
              <w:wordWrap/>
              <w:topLinePunct w:val="0"/>
              <w:autoSpaceDE/>
              <w:autoSpaceDN/>
              <w:bidi w:val="0"/>
              <w:ind w:firstLine="480"/>
              <w:textAlignment w:val="auto"/>
              <w:outlineLvl w:val="9"/>
              <w:rPr>
                <w:rFonts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w:t>
            </w:r>
            <w:r>
              <w:rPr>
                <w:rFonts w:cs="Times New Roman"/>
                <w:color w:val="auto"/>
                <w:highlight w:val="none"/>
              </w:rPr>
              <w:t>福建省生态环境厅发布的</w:t>
            </w:r>
            <w:r>
              <w:rPr>
                <w:rFonts w:hint="eastAsia" w:cs="Times New Roman"/>
                <w:color w:val="auto"/>
                <w:highlight w:val="none"/>
              </w:rPr>
              <w:t>“2024年12月福建省城市环境空气质量状况”</w:t>
            </w:r>
            <w:r>
              <w:rPr>
                <w:rFonts w:cs="Times New Roman"/>
                <w:color w:val="auto"/>
                <w:highlight w:val="none"/>
              </w:rPr>
              <w:t>（</w:t>
            </w:r>
            <w:r>
              <w:rPr>
                <w:rFonts w:hint="eastAsia" w:cs="Times New Roman"/>
                <w:color w:val="auto"/>
                <w:highlight w:val="none"/>
              </w:rPr>
              <w:t>https://sthjt.fujian.gov.cn/zwgk/sjfb/hjsj/zlph/202502/t20250208_6712419.htm</w:t>
            </w:r>
            <w:r>
              <w:rPr>
                <w:rFonts w:cs="Times New Roman"/>
                <w:color w:val="auto"/>
                <w:highlight w:val="none"/>
              </w:rPr>
              <w:t>）</w:t>
            </w:r>
            <w:r>
              <w:rPr>
                <w:rFonts w:hint="eastAsia" w:cs="Times New Roman"/>
                <w:color w:val="auto"/>
                <w:highlight w:val="none"/>
              </w:rPr>
              <w:t>显示：</w:t>
            </w:r>
            <w:r>
              <w:rPr>
                <w:rFonts w:hint="eastAsia" w:cs="Times New Roman"/>
                <w:color w:val="auto"/>
                <w:kern w:val="0"/>
                <w:sz w:val="24"/>
                <w:szCs w:val="24"/>
                <w:lang w:val="en-US" w:eastAsia="zh-CN"/>
              </w:rPr>
              <w:t>2024年1-12月，</w:t>
            </w:r>
            <w:r>
              <w:rPr>
                <w:rFonts w:cs="Times New Roman"/>
                <w:color w:val="auto"/>
                <w:highlight w:val="none"/>
              </w:rPr>
              <w:t>福州市环境空气质量综合指数</w:t>
            </w:r>
            <w:r>
              <w:rPr>
                <w:rFonts w:hint="eastAsia" w:cs="Times New Roman"/>
                <w:color w:val="auto"/>
                <w:highlight w:val="none"/>
                <w:lang w:val="en-US" w:eastAsia="zh-CN"/>
              </w:rPr>
              <w:t>2.40</w:t>
            </w:r>
            <w:r>
              <w:rPr>
                <w:rFonts w:cs="Times New Roman"/>
                <w:color w:val="auto"/>
                <w:highlight w:val="none"/>
              </w:rPr>
              <w:t>，达标天数比例在</w:t>
            </w:r>
            <w:r>
              <w:rPr>
                <w:rFonts w:hint="eastAsia" w:cs="Times New Roman"/>
                <w:color w:val="auto"/>
                <w:highlight w:val="none"/>
                <w:lang w:val="en-US" w:eastAsia="zh-CN"/>
              </w:rPr>
              <w:t>98.1</w:t>
            </w:r>
            <w:r>
              <w:rPr>
                <w:rFonts w:cs="Times New Roman"/>
                <w:color w:val="auto"/>
                <w:highlight w:val="none"/>
              </w:rPr>
              <w:t>%，各污染物平均浓度均优于《环境空气质量标准》（GB 3095-2012）中二级标准限值，</w:t>
            </w:r>
            <w:r>
              <w:rPr>
                <w:rFonts w:hint="eastAsia" w:cs="Times New Roman"/>
                <w:color w:val="auto"/>
                <w:highlight w:val="none"/>
              </w:rPr>
              <w:t>福清市</w:t>
            </w:r>
            <w:r>
              <w:rPr>
                <w:rFonts w:cs="Times New Roman"/>
                <w:color w:val="auto"/>
                <w:highlight w:val="none"/>
              </w:rPr>
              <w:t>环境空气质量综合指数</w:t>
            </w:r>
            <w:r>
              <w:rPr>
                <w:rFonts w:hint="eastAsia" w:cs="Times New Roman"/>
                <w:color w:val="auto"/>
                <w:highlight w:val="none"/>
                <w:lang w:val="en-US" w:eastAsia="zh-CN"/>
              </w:rPr>
              <w:t>2.17</w:t>
            </w:r>
            <w:r>
              <w:rPr>
                <w:rFonts w:cs="Times New Roman"/>
                <w:color w:val="auto"/>
                <w:highlight w:val="none"/>
              </w:rPr>
              <w:t>，达标天数比例在</w:t>
            </w:r>
            <w:r>
              <w:rPr>
                <w:rFonts w:hint="eastAsia" w:cs="Times New Roman"/>
                <w:color w:val="auto"/>
                <w:highlight w:val="none"/>
              </w:rPr>
              <w:t>9</w:t>
            </w:r>
            <w:r>
              <w:rPr>
                <w:rFonts w:hint="eastAsia" w:cs="Times New Roman"/>
                <w:color w:val="auto"/>
                <w:highlight w:val="none"/>
                <w:lang w:val="en-US" w:eastAsia="zh-CN"/>
              </w:rPr>
              <w:t>9.7</w:t>
            </w:r>
            <w:r>
              <w:rPr>
                <w:rFonts w:cs="Times New Roman"/>
                <w:color w:val="auto"/>
                <w:highlight w:val="none"/>
              </w:rPr>
              <w:t>%，因此</w:t>
            </w:r>
            <w:r>
              <w:rPr>
                <w:rFonts w:hint="eastAsia" w:cs="Times New Roman"/>
                <w:color w:val="auto"/>
                <w:highlight w:val="none"/>
              </w:rPr>
              <w:t>福清市</w:t>
            </w:r>
            <w:r>
              <w:rPr>
                <w:rFonts w:cs="Times New Roman"/>
                <w:color w:val="auto"/>
                <w:highlight w:val="none"/>
              </w:rPr>
              <w:t>属于达标区</w:t>
            </w:r>
            <w:r>
              <w:rPr>
                <w:rFonts w:hint="eastAsia" w:cs="Times New Roman"/>
                <w:color w:val="auto"/>
                <w:highlight w:val="none"/>
              </w:rPr>
              <w:t>，</w:t>
            </w:r>
            <w:r>
              <w:rPr>
                <w:rFonts w:cs="Times New Roman"/>
                <w:color w:val="auto"/>
                <w:highlight w:val="none"/>
              </w:rPr>
              <w:t>详见图3.1-1</w:t>
            </w:r>
            <w:r>
              <w:rPr>
                <w:rFonts w:hint="eastAsia" w:cs="Times New Roman"/>
                <w:color w:val="auto"/>
                <w:highlight w:val="none"/>
              </w:rPr>
              <w:t>和图3.1-2</w:t>
            </w:r>
            <w:r>
              <w:rPr>
                <w:rFonts w:cs="Times New Roman"/>
                <w:color w:val="auto"/>
                <w:highlight w:val="none"/>
              </w:rPr>
              <w:t>。</w:t>
            </w:r>
          </w:p>
          <w:p w14:paraId="37901496">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eastAsia" w:ascii="Times New Roman" w:hAnsi="Times New Roman" w:eastAsia="宋体" w:cs="Times New Roman"/>
                <w:b/>
                <w:bCs w:val="0"/>
                <w:color w:val="auto"/>
                <w:sz w:val="24"/>
                <w:szCs w:val="24"/>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275590</wp:posOffset>
                      </wp:positionH>
                      <wp:positionV relativeFrom="paragraph">
                        <wp:posOffset>1718945</wp:posOffset>
                      </wp:positionV>
                      <wp:extent cx="5067300" cy="238125"/>
                      <wp:effectExtent l="13970" t="13970" r="24130" b="14605"/>
                      <wp:wrapNone/>
                      <wp:docPr id="176" name="矩形 176"/>
                      <wp:cNvGraphicFramePr/>
                      <a:graphic xmlns:a="http://schemas.openxmlformats.org/drawingml/2006/main">
                        <a:graphicData uri="http://schemas.microsoft.com/office/word/2010/wordprocessingShape">
                          <wps:wsp>
                            <wps:cNvSpPr/>
                            <wps:spPr>
                              <a:xfrm>
                                <a:off x="1464945" y="6966585"/>
                                <a:ext cx="5067300" cy="2381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pt;margin-top:135.35pt;height:18.75pt;width:399pt;z-index:251665408;v-text-anchor:middle;mso-width-relative:page;mso-height-relative:page;" filled="f" stroked="t" coordsize="21600,21600" o:gfxdata="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ch9sdkAAAAKAQAADwAAAAAAAAABACAAAAAi&#10;AAAAZHJzL2Rvd25yZXYueG1sUEsBAhQAFAAAAAgAh07iQARMjuZ7AgAA2wQAAA4AAAAAAAAAAQAg&#10;AAAAKAEAAGRycy9lMm9Eb2MueG1sUEsFBgAAAAAGAAYAWQEAABUGAAAAAA==&#10;">
                      <v:fill on="f" focussize="0,0"/>
                      <v:stroke weight="2.25pt" color="#FF0000 [2404]" miterlimit="8" joinstyle="miter"/>
                      <v:imagedata o:title=""/>
                      <o:lock v:ext="edit" aspectratio="f"/>
                    </v:rect>
                  </w:pict>
                </mc:Fallback>
              </mc:AlternateContent>
            </w:r>
            <w:r>
              <w:rPr>
                <w:color w:val="auto"/>
                <w:highlight w:val="none"/>
              </w:rPr>
              <w:drawing>
                <wp:anchor distT="0" distB="0" distL="114300" distR="114300" simplePos="0" relativeHeight="251664384" behindDoc="0" locked="0" layoutInCell="1" allowOverlap="1">
                  <wp:simplePos x="0" y="0"/>
                  <wp:positionH relativeFrom="column">
                    <wp:posOffset>635</wp:posOffset>
                  </wp:positionH>
                  <wp:positionV relativeFrom="paragraph">
                    <wp:posOffset>363855</wp:posOffset>
                  </wp:positionV>
                  <wp:extent cx="5462905" cy="3629660"/>
                  <wp:effectExtent l="0" t="0" r="4445" b="8890"/>
                  <wp:wrapNone/>
                  <wp:docPr id="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
                          <pic:cNvPicPr>
                            <a:picLocks noChangeAspect="1"/>
                          </pic:cNvPicPr>
                        </pic:nvPicPr>
                        <pic:blipFill>
                          <a:blip r:embed="rId18"/>
                          <a:stretch>
                            <a:fillRect/>
                          </a:stretch>
                        </pic:blipFill>
                        <pic:spPr>
                          <a:xfrm>
                            <a:off x="0" y="0"/>
                            <a:ext cx="5462905" cy="3629660"/>
                          </a:xfrm>
                          <a:prstGeom prst="rect">
                            <a:avLst/>
                          </a:prstGeom>
                          <a:noFill/>
                          <a:ln>
                            <a:noFill/>
                          </a:ln>
                        </pic:spPr>
                      </pic:pic>
                    </a:graphicData>
                  </a:graphic>
                </wp:anchor>
              </w:drawing>
            </w:r>
            <w:r>
              <w:drawing>
                <wp:inline distT="0" distB="0" distL="114300" distR="114300">
                  <wp:extent cx="5466080" cy="3946525"/>
                  <wp:effectExtent l="0" t="0" r="127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466080" cy="3946525"/>
                          </a:xfrm>
                          <a:prstGeom prst="rect">
                            <a:avLst/>
                          </a:prstGeom>
                          <a:noFill/>
                          <a:ln>
                            <a:noFill/>
                          </a:ln>
                        </pic:spPr>
                      </pic:pic>
                    </a:graphicData>
                  </a:graphic>
                </wp:inline>
              </w:drawing>
            </w:r>
            <w:bookmarkStart w:id="61" w:name="_Toc17982"/>
          </w:p>
          <w:p w14:paraId="3974FB12">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sz w:val="21"/>
              </w:rPr>
            </w:pPr>
            <w:r>
              <w:rPr>
                <w:rFonts w:hint="eastAsia" w:ascii="Times New Roman" w:hAnsi="Times New Roman" w:eastAsia="宋体" w:cs="Times New Roman"/>
                <w:b/>
                <w:bCs w:val="0"/>
                <w:color w:val="auto"/>
                <w:sz w:val="24"/>
                <w:szCs w:val="24"/>
                <w:lang w:val="en-US" w:eastAsia="zh-CN"/>
              </w:rPr>
              <w:t>图3.1-1 202</w:t>
            </w: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月设区城市环境空气质量状况截图</w:t>
            </w:r>
            <w:bookmarkEnd w:id="61"/>
            <w:bookmarkStart w:id="62" w:name="_Toc16830"/>
            <w:r>
              <w:rPr>
                <w:sz w:val="21"/>
              </w:rPr>
              <mc:AlternateContent>
                <mc:Choice Requires="wps">
                  <w:drawing>
                    <wp:anchor distT="0" distB="0" distL="114300" distR="114300" simplePos="0" relativeHeight="251667456" behindDoc="0" locked="0" layoutInCell="1" allowOverlap="1">
                      <wp:simplePos x="0" y="0"/>
                      <wp:positionH relativeFrom="column">
                        <wp:posOffset>961390</wp:posOffset>
                      </wp:positionH>
                      <wp:positionV relativeFrom="paragraph">
                        <wp:posOffset>2030095</wp:posOffset>
                      </wp:positionV>
                      <wp:extent cx="4419600" cy="266700"/>
                      <wp:effectExtent l="14605" t="13970" r="23495" b="24130"/>
                      <wp:wrapNone/>
                      <wp:docPr id="178" name="矩形 178"/>
                      <wp:cNvGraphicFramePr/>
                      <a:graphic xmlns:a="http://schemas.openxmlformats.org/drawingml/2006/main">
                        <a:graphicData uri="http://schemas.microsoft.com/office/word/2010/wordprocessingShape">
                          <wps:wsp>
                            <wps:cNvSpPr/>
                            <wps:spPr>
                              <a:xfrm>
                                <a:off x="2141220" y="3329940"/>
                                <a:ext cx="4419600" cy="2667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7pt;margin-top:159.85pt;height:21pt;width:348pt;z-index:251667456;v-text-anchor:middle;mso-width-relative:page;mso-height-relative:page;" filled="f" stroked="t" coordsize="21600,21600" o:gfxdata="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k+ggPZAAAACwEAAA8AAAAAAAAAAQAgAAAAIgAA&#10;AGRycy9kb3ducmV2LnhtbFBLAQIUABQAAAAIAIdO4kBy0VPIeQIAANsEAAAOAAAAAAAAAAEAIAAA&#10;ACgBAABkcnMvZTJvRG9jLnhtbFBLBQYAAAAABgAGAFkBAAATBgAAAAA=&#10;">
                      <v:fill on="f" focussize="0,0"/>
                      <v:stroke weight="2.25pt" color="#FF0000 [2404]" miterlimit="8" joinstyle="miter"/>
                      <v:imagedata o:title=""/>
                      <o:lock v:ext="edit" aspectratio="f"/>
                    </v:rect>
                  </w:pict>
                </mc:Fallback>
              </mc:AlternateContent>
            </w:r>
            <w:bookmarkEnd w:id="62"/>
            <w:bookmarkStart w:id="63" w:name="_Toc24363"/>
          </w:p>
          <w:p w14:paraId="5E2A5677">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965200</wp:posOffset>
                      </wp:positionH>
                      <wp:positionV relativeFrom="paragraph">
                        <wp:posOffset>1484630</wp:posOffset>
                      </wp:positionV>
                      <wp:extent cx="4374515" cy="238125"/>
                      <wp:effectExtent l="13970" t="13970" r="31115" b="14605"/>
                      <wp:wrapNone/>
                      <wp:docPr id="52" name="矩形 52"/>
                      <wp:cNvGraphicFramePr/>
                      <a:graphic xmlns:a="http://schemas.openxmlformats.org/drawingml/2006/main">
                        <a:graphicData uri="http://schemas.microsoft.com/office/word/2010/wordprocessingShape">
                          <wps:wsp>
                            <wps:cNvSpPr/>
                            <wps:spPr>
                              <a:xfrm>
                                <a:off x="0" y="0"/>
                                <a:ext cx="4374515" cy="23812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pt;margin-top:116.9pt;height:18.75pt;width:344.45pt;z-index:251668480;v-text-anchor:middle;mso-width-relative:page;mso-height-relative:page;" filled="f" stroked="t" coordsize="21600,21600" o:gfxdata="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A+sqNkAAAALAQAADwAAAAAAAAABACAAAAAiAAAAZHJzL2Rvd25yZXYu&#10;eG1sUEsBAhQAFAAAAAgAh07iQKCFh/xsAgAAzQQAAA4AAAAAAAAAAQAgAAAAKAEAAGRycy9lMm9E&#10;b2MueG1sUEsFBgAAAAAGAAYAWQEAAAYGAAAAAA==&#10;">
                      <v:fill on="f" focussize="0,0"/>
                      <v:stroke weight="2.25pt" color="#FF0000 [2404]" miterlimit="8" joinstyle="miter"/>
                      <v:imagedata o:title=""/>
                      <o:lock v:ext="edit" aspectratio="f"/>
                    </v:rect>
                  </w:pict>
                </mc:Fallback>
              </mc:AlternateContent>
            </w:r>
            <w:r>
              <w:rPr>
                <w:color w:val="auto"/>
                <w:highlight w:val="none"/>
              </w:rPr>
              <w:drawing>
                <wp:anchor distT="0" distB="0" distL="114300" distR="114300" simplePos="0" relativeHeight="251666432" behindDoc="0" locked="0" layoutInCell="1" allowOverlap="1">
                  <wp:simplePos x="0" y="0"/>
                  <wp:positionH relativeFrom="column">
                    <wp:posOffset>95885</wp:posOffset>
                  </wp:positionH>
                  <wp:positionV relativeFrom="paragraph">
                    <wp:posOffset>36830</wp:posOffset>
                  </wp:positionV>
                  <wp:extent cx="5289550" cy="2591435"/>
                  <wp:effectExtent l="0" t="0" r="6350" b="18415"/>
                  <wp:wrapTopAndBottom/>
                  <wp:docPr id="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pic:cNvPicPr>
                            <a:picLocks noChangeAspect="1"/>
                          </pic:cNvPicPr>
                        </pic:nvPicPr>
                        <pic:blipFill>
                          <a:blip r:embed="rId20"/>
                          <a:stretch>
                            <a:fillRect/>
                          </a:stretch>
                        </pic:blipFill>
                        <pic:spPr>
                          <a:xfrm>
                            <a:off x="0" y="0"/>
                            <a:ext cx="5289550" cy="2591435"/>
                          </a:xfrm>
                          <a:prstGeom prst="rect">
                            <a:avLst/>
                          </a:prstGeom>
                          <a:noFill/>
                          <a:ln>
                            <a:noFill/>
                          </a:ln>
                        </pic:spPr>
                      </pic:pic>
                    </a:graphicData>
                  </a:graphic>
                </wp:anchor>
              </w:drawing>
            </w:r>
            <w:r>
              <w:rPr>
                <w:rFonts w:hint="eastAsia" w:ascii="Times New Roman" w:hAnsi="Times New Roman" w:eastAsia="宋体" w:cs="Times New Roman"/>
                <w:b/>
                <w:bCs w:val="0"/>
                <w:color w:val="auto"/>
                <w:sz w:val="24"/>
                <w:szCs w:val="24"/>
                <w:lang w:val="en-US" w:eastAsia="zh-CN"/>
              </w:rPr>
              <w:t>图3.1-2 202</w:t>
            </w:r>
            <w:r>
              <w:rPr>
                <w:rFonts w:hint="eastAsia" w:cs="Times New Roman"/>
                <w:b/>
                <w:bCs w:val="0"/>
                <w:color w:val="auto"/>
                <w:sz w:val="24"/>
                <w:szCs w:val="24"/>
                <w:lang w:val="en-US" w:eastAsia="zh-CN"/>
              </w:rPr>
              <w:t>4</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月县级城市环境空气质量状况截图</w:t>
            </w:r>
            <w:bookmarkEnd w:id="63"/>
          </w:p>
          <w:p w14:paraId="48ECA894">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32ABA6">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1E2BF292">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（2）其他</w:t>
            </w:r>
            <w:r>
              <w:rPr>
                <w:rFonts w:hint="eastAsia" w:ascii="Times New Roman" w:hAnsi="Times New Roman" w:eastAsia="宋体" w:cs="Times New Roman"/>
                <w:color w:val="auto"/>
                <w:kern w:val="0"/>
                <w:sz w:val="24"/>
              </w:rPr>
              <w:t>污染因子</w:t>
            </w:r>
          </w:p>
          <w:p w14:paraId="7E196359">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①</w:t>
            </w:r>
            <w:r>
              <w:rPr>
                <w:rFonts w:hint="eastAsia" w:cs="Times New Roman"/>
                <w:color w:val="auto"/>
                <w:kern w:val="0"/>
                <w:sz w:val="24"/>
                <w:lang w:val="en-US" w:eastAsia="zh-CN"/>
              </w:rPr>
              <w:t>颗粒物</w:t>
            </w:r>
          </w:p>
          <w:p w14:paraId="226DAF4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根据环境影响评价网</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 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3920FC4E">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eastAsia" w:cs="Times New Roman"/>
                <w:color w:val="auto"/>
                <w:kern w:val="0"/>
                <w:sz w:val="24"/>
                <w:lang w:val="en-US" w:eastAsia="zh-CN"/>
              </w:rPr>
              <w:t>根据建设项目区域环境情况，结合本项目的特征因子，确定本项目大气环境现状调查特征因子为颗粒物，本评价引用《************项目环境影响评价报告表》中于2025年10月委托*******有限公司对项目周边最近敏感点“下田村”空气环境现状进行监测《******有限公司现状监测》中的数据。（检测报告</w:t>
            </w:r>
            <w:r>
              <w:rPr>
                <w:rFonts w:hint="eastAsia" w:cs="Times New Roman"/>
                <w:b/>
                <w:bCs/>
                <w:color w:val="auto"/>
                <w:kern w:val="0"/>
                <w:sz w:val="24"/>
                <w:highlight w:val="none"/>
                <w:lang w:val="en-US" w:eastAsia="zh-CN"/>
              </w:rPr>
              <w:t>详见附件十七</w:t>
            </w:r>
            <w:r>
              <w:rPr>
                <w:rFonts w:hint="eastAsia" w:cs="Times New Roman"/>
                <w:color w:val="auto"/>
                <w:kern w:val="0"/>
                <w:sz w:val="24"/>
                <w:lang w:val="en-US" w:eastAsia="zh-CN"/>
              </w:rPr>
              <w:t>），监测点下田村距本项目</w:t>
            </w:r>
            <w:r>
              <w:rPr>
                <w:rFonts w:hint="default" w:cs="Times New Roman"/>
                <w:color w:val="auto"/>
                <w:kern w:val="0"/>
                <w:sz w:val="24"/>
                <w:lang w:val="en-US" w:eastAsia="zh-CN"/>
              </w:rPr>
              <w:t>西南侧约</w:t>
            </w:r>
            <w:r>
              <w:rPr>
                <w:rFonts w:hint="eastAsia" w:cs="Times New Roman"/>
                <w:color w:val="auto"/>
                <w:kern w:val="0"/>
                <w:sz w:val="24"/>
                <w:lang w:val="en-US" w:eastAsia="zh-CN"/>
              </w:rPr>
              <w:t>287</w:t>
            </w:r>
            <w:r>
              <w:rPr>
                <w:rFonts w:hint="default" w:cs="Times New Roman"/>
                <w:color w:val="auto"/>
                <w:kern w:val="0"/>
                <w:sz w:val="24"/>
                <w:lang w:val="en-US" w:eastAsia="zh-CN"/>
              </w:rPr>
              <w:t>m</w:t>
            </w:r>
            <w:r>
              <w:rPr>
                <w:rFonts w:hint="eastAsia" w:cs="Times New Roman"/>
                <w:color w:val="auto"/>
                <w:kern w:val="0"/>
                <w:sz w:val="24"/>
                <w:lang w:val="en-US" w:eastAsia="zh-CN"/>
              </w:rPr>
              <w:t>处。</w:t>
            </w:r>
          </w:p>
          <w:p w14:paraId="5E3DE811">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cs="Times New Roman"/>
                <w:color w:val="auto"/>
                <w:kern w:val="0"/>
                <w:sz w:val="24"/>
                <w:lang w:val="en-US" w:eastAsia="zh-CN"/>
              </w:rPr>
            </w:pPr>
            <w:r>
              <w:rPr>
                <w:rFonts w:hint="eastAsia" w:cs="Times New Roman"/>
                <w:color w:val="auto"/>
                <w:kern w:val="0"/>
                <w:sz w:val="24"/>
                <w:lang w:val="en-US" w:eastAsia="zh-CN"/>
              </w:rPr>
              <w:t>引用监测评价结果详见表3.1-2，监测点位于本项目位置关系图详见图3.1-3。</w:t>
            </w:r>
          </w:p>
          <w:p w14:paraId="09BE76B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表3.1-2 大气环境质量现状监测结果一览表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736"/>
              <w:gridCol w:w="3623"/>
              <w:gridCol w:w="1256"/>
              <w:gridCol w:w="884"/>
            </w:tblGrid>
            <w:tr w14:paraId="177B1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tcBorders>
                    <w:tl2br w:val="nil"/>
                    <w:tr2bl w:val="nil"/>
                  </w:tcBorders>
                  <w:vAlign w:val="center"/>
                </w:tcPr>
                <w:p w14:paraId="03245E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采样监测点位</w:t>
                  </w:r>
                </w:p>
              </w:tc>
              <w:tc>
                <w:tcPr>
                  <w:tcW w:w="1017" w:type="pct"/>
                  <w:tcBorders>
                    <w:tl2br w:val="nil"/>
                    <w:tr2bl w:val="nil"/>
                  </w:tcBorders>
                  <w:vAlign w:val="center"/>
                </w:tcPr>
                <w:p w14:paraId="65EC15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监测项目</w:t>
                  </w:r>
                </w:p>
              </w:tc>
              <w:tc>
                <w:tcPr>
                  <w:tcW w:w="2123" w:type="pct"/>
                  <w:tcBorders>
                    <w:tl2br w:val="nil"/>
                    <w:tr2bl w:val="nil"/>
                  </w:tcBorders>
                  <w:vAlign w:val="center"/>
                </w:tcPr>
                <w:p w14:paraId="706283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采样日期</w:t>
                  </w:r>
                </w:p>
              </w:tc>
              <w:tc>
                <w:tcPr>
                  <w:tcW w:w="736" w:type="pct"/>
                  <w:tcBorders>
                    <w:tl2br w:val="nil"/>
                    <w:tr2bl w:val="nil"/>
                  </w:tcBorders>
                  <w:vAlign w:val="center"/>
                </w:tcPr>
                <w:p w14:paraId="4C893D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监测结果</w:t>
                  </w:r>
                </w:p>
              </w:tc>
              <w:tc>
                <w:tcPr>
                  <w:tcW w:w="518" w:type="pct"/>
                  <w:tcBorders>
                    <w:tl2br w:val="nil"/>
                    <w:tr2bl w:val="nil"/>
                  </w:tcBorders>
                  <w:vAlign w:val="center"/>
                </w:tcPr>
                <w:p w14:paraId="39B4D6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cs="Times New Roman"/>
                      <w:b w:val="0"/>
                      <w:bCs w:val="0"/>
                      <w:color w:val="auto"/>
                      <w:sz w:val="24"/>
                      <w:szCs w:val="24"/>
                      <w:u w:val="none"/>
                      <w:vertAlign w:val="baseline"/>
                      <w:lang w:val="en-US" w:eastAsia="zh-CN"/>
                    </w:rPr>
                    <w:t>单位</w:t>
                  </w:r>
                </w:p>
              </w:tc>
            </w:tr>
            <w:tr w14:paraId="573AA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restart"/>
                  <w:tcBorders>
                    <w:tl2br w:val="nil"/>
                    <w:tr2bl w:val="nil"/>
                  </w:tcBorders>
                  <w:vAlign w:val="center"/>
                </w:tcPr>
                <w:p w14:paraId="1EBA49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cs="Times New Roman"/>
                      <w:b w:val="0"/>
                      <w:bCs w:val="0"/>
                      <w:color w:val="auto"/>
                      <w:sz w:val="24"/>
                      <w:szCs w:val="24"/>
                      <w:u w:val="none"/>
                      <w:vertAlign w:val="baseline"/>
                      <w:lang w:val="en-US" w:eastAsia="zh-CN"/>
                    </w:rPr>
                    <w:t>下田村</w:t>
                  </w:r>
                </w:p>
              </w:tc>
              <w:tc>
                <w:tcPr>
                  <w:tcW w:w="1017" w:type="pct"/>
                  <w:vMerge w:val="restart"/>
                  <w:tcBorders>
                    <w:tl2br w:val="nil"/>
                    <w:tr2bl w:val="nil"/>
                  </w:tcBorders>
                  <w:vAlign w:val="center"/>
                </w:tcPr>
                <w:p w14:paraId="2D66D66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r>
                    <w:rPr>
                      <w:rFonts w:hint="eastAsia" w:ascii="Times New Roman" w:hAnsi="Times New Roman" w:cs="Times New Roman"/>
                      <w:b w:val="0"/>
                      <w:bCs w:val="0"/>
                      <w:color w:val="auto"/>
                      <w:sz w:val="24"/>
                      <w:szCs w:val="24"/>
                      <w:u w:val="none"/>
                      <w:vertAlign w:val="baseline"/>
                      <w:lang w:val="en-US" w:eastAsia="zh-CN"/>
                    </w:rPr>
                    <w:t>总悬浮颗粒物</w:t>
                  </w:r>
                </w:p>
                <w:p w14:paraId="3D7809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TSP</w:t>
                  </w:r>
                  <w:r>
                    <w:rPr>
                      <w:rFonts w:hint="eastAsia" w:cs="Times New Roman"/>
                      <w:b w:val="0"/>
                      <w:bCs w:val="0"/>
                      <w:color w:val="auto"/>
                      <w:sz w:val="24"/>
                      <w:szCs w:val="24"/>
                      <w:u w:val="none"/>
                      <w:vertAlign w:val="baseline"/>
                      <w:lang w:val="en-US" w:eastAsia="zh-CN"/>
                    </w:rPr>
                    <w:t>)</w:t>
                  </w:r>
                </w:p>
              </w:tc>
              <w:tc>
                <w:tcPr>
                  <w:tcW w:w="2123" w:type="pct"/>
                  <w:tcBorders>
                    <w:tl2br w:val="nil"/>
                    <w:tr2bl w:val="nil"/>
                  </w:tcBorders>
                  <w:vAlign w:val="center"/>
                </w:tcPr>
                <w:p w14:paraId="33E2D1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p>
              </w:tc>
              <w:tc>
                <w:tcPr>
                  <w:tcW w:w="736" w:type="pct"/>
                  <w:tcBorders>
                    <w:tl2br w:val="nil"/>
                    <w:tr2bl w:val="nil"/>
                  </w:tcBorders>
                  <w:vAlign w:val="center"/>
                </w:tcPr>
                <w:p w14:paraId="0CECBD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p>
              </w:tc>
              <w:tc>
                <w:tcPr>
                  <w:tcW w:w="518" w:type="pct"/>
                  <w:vMerge w:val="restart"/>
                  <w:tcBorders>
                    <w:tl2br w:val="nil"/>
                    <w:tr2bl w:val="nil"/>
                  </w:tcBorders>
                  <w:vAlign w:val="center"/>
                </w:tcPr>
                <w:p w14:paraId="5F78A3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cs="Times New Roman"/>
                      <w:b w:val="0"/>
                      <w:bCs w:val="0"/>
                      <w:color w:val="auto"/>
                      <w:sz w:val="24"/>
                      <w:szCs w:val="24"/>
                      <w:u w:val="none"/>
                      <w:vertAlign w:val="baseline"/>
                      <w:lang w:val="en-US" w:eastAsia="zh-CN"/>
                    </w:rPr>
                    <w:t>mg/m</w:t>
                  </w:r>
                  <w:r>
                    <w:rPr>
                      <w:rFonts w:hint="eastAsia" w:ascii="Times New Roman" w:hAnsi="Times New Roman" w:cs="Times New Roman"/>
                      <w:b w:val="0"/>
                      <w:bCs w:val="0"/>
                      <w:color w:val="auto"/>
                      <w:sz w:val="24"/>
                      <w:szCs w:val="24"/>
                      <w:u w:val="none"/>
                      <w:vertAlign w:val="superscript"/>
                      <w:lang w:val="en-US" w:eastAsia="zh-CN"/>
                    </w:rPr>
                    <w:t>3</w:t>
                  </w:r>
                </w:p>
              </w:tc>
            </w:tr>
            <w:tr w14:paraId="00155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14:paraId="7CB5143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1017" w:type="pct"/>
                  <w:vMerge w:val="continue"/>
                  <w:tcBorders>
                    <w:tl2br w:val="nil"/>
                    <w:tr2bl w:val="nil"/>
                  </w:tcBorders>
                  <w:vAlign w:val="center"/>
                </w:tcPr>
                <w:p w14:paraId="6EDE73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2123" w:type="pct"/>
                  <w:tcBorders>
                    <w:tl2br w:val="nil"/>
                    <w:tr2bl w:val="nil"/>
                  </w:tcBorders>
                  <w:vAlign w:val="center"/>
                </w:tcPr>
                <w:p w14:paraId="199571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p>
              </w:tc>
              <w:tc>
                <w:tcPr>
                  <w:tcW w:w="736" w:type="pct"/>
                  <w:tcBorders>
                    <w:tl2br w:val="nil"/>
                    <w:tr2bl w:val="nil"/>
                  </w:tcBorders>
                  <w:vAlign w:val="center"/>
                </w:tcPr>
                <w:p w14:paraId="4B2CAD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p>
              </w:tc>
              <w:tc>
                <w:tcPr>
                  <w:tcW w:w="518" w:type="pct"/>
                  <w:vMerge w:val="continue"/>
                  <w:tcBorders>
                    <w:tl2br w:val="nil"/>
                    <w:tr2bl w:val="nil"/>
                  </w:tcBorders>
                  <w:vAlign w:val="center"/>
                </w:tcPr>
                <w:p w14:paraId="6F8572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p>
              </w:tc>
            </w:tr>
            <w:tr w14:paraId="39D4E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4" w:type="pct"/>
                  <w:vMerge w:val="continue"/>
                  <w:tcBorders>
                    <w:tl2br w:val="nil"/>
                    <w:tr2bl w:val="nil"/>
                  </w:tcBorders>
                  <w:vAlign w:val="center"/>
                </w:tcPr>
                <w:p w14:paraId="515048C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1017" w:type="pct"/>
                  <w:vMerge w:val="continue"/>
                  <w:tcBorders>
                    <w:tl2br w:val="nil"/>
                    <w:tr2bl w:val="nil"/>
                  </w:tcBorders>
                  <w:vAlign w:val="center"/>
                </w:tcPr>
                <w:p w14:paraId="13AAB1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b w:val="0"/>
                      <w:bCs w:val="0"/>
                      <w:color w:val="auto"/>
                      <w:sz w:val="24"/>
                      <w:szCs w:val="24"/>
                      <w:u w:val="none"/>
                      <w:vertAlign w:val="baseline"/>
                      <w:lang w:val="en-US" w:eastAsia="zh-CN"/>
                    </w:rPr>
                  </w:pPr>
                </w:p>
              </w:tc>
              <w:tc>
                <w:tcPr>
                  <w:tcW w:w="2123" w:type="pct"/>
                  <w:tcBorders>
                    <w:tl2br w:val="nil"/>
                    <w:tr2bl w:val="nil"/>
                  </w:tcBorders>
                  <w:vAlign w:val="center"/>
                </w:tcPr>
                <w:p w14:paraId="27C939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p>
              </w:tc>
              <w:tc>
                <w:tcPr>
                  <w:tcW w:w="736" w:type="pct"/>
                  <w:tcBorders>
                    <w:tl2br w:val="nil"/>
                    <w:tr2bl w:val="nil"/>
                  </w:tcBorders>
                  <w:vAlign w:val="center"/>
                </w:tcPr>
                <w:p w14:paraId="0802A6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w:t>
                  </w:r>
                </w:p>
              </w:tc>
              <w:tc>
                <w:tcPr>
                  <w:tcW w:w="518" w:type="pct"/>
                  <w:vMerge w:val="continue"/>
                  <w:tcBorders>
                    <w:tl2br w:val="nil"/>
                    <w:tr2bl w:val="nil"/>
                  </w:tcBorders>
                  <w:vAlign w:val="center"/>
                </w:tcPr>
                <w:p w14:paraId="635CCB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p>
              </w:tc>
            </w:tr>
          </w:tbl>
          <w:p w14:paraId="5A9D477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sz w:val="24"/>
                <w:szCs w:val="22"/>
                <w:highlight w:val="none"/>
                <w:vertAlign w:val="baseline"/>
                <w:lang w:val="en-US" w:eastAsia="zh-CN"/>
              </w:rPr>
            </w:pPr>
            <w:r>
              <w:rPr>
                <w:rFonts w:hint="eastAsia" w:ascii="Times New Roman" w:hAnsi="Times New Roman" w:eastAsia="宋体" w:cs="Times New Roman"/>
                <w:color w:val="auto"/>
                <w:sz w:val="24"/>
                <w:szCs w:val="22"/>
                <w:highlight w:val="none"/>
                <w:lang w:val="en-US" w:eastAsia="zh-CN"/>
              </w:rPr>
              <w:t>根据表3.1-2</w:t>
            </w:r>
            <w:r>
              <w:rPr>
                <w:rFonts w:hint="eastAsia" w:cs="Times New Roman"/>
                <w:color w:val="auto"/>
                <w:sz w:val="24"/>
                <w:szCs w:val="22"/>
                <w:highlight w:val="none"/>
                <w:lang w:val="en-US" w:eastAsia="zh-CN"/>
              </w:rPr>
              <w:t>可知，项目所在区域内特征污染因子总悬浮颗粒物（TSP）浓度值可符合本评价选用的标准要求300ug/m</w:t>
            </w:r>
            <w:r>
              <w:rPr>
                <w:rFonts w:hint="eastAsia" w:cs="Times New Roman"/>
                <w:color w:val="auto"/>
                <w:sz w:val="24"/>
                <w:szCs w:val="22"/>
                <w:highlight w:val="none"/>
                <w:vertAlign w:val="superscript"/>
                <w:lang w:val="en-US" w:eastAsia="zh-CN"/>
              </w:rPr>
              <w:t>3</w:t>
            </w:r>
            <w:r>
              <w:rPr>
                <w:rFonts w:hint="eastAsia" w:cs="Times New Roman"/>
                <w:color w:val="auto"/>
                <w:sz w:val="24"/>
                <w:szCs w:val="22"/>
                <w:highlight w:val="none"/>
                <w:vertAlign w:val="baseline"/>
                <w:lang w:val="en-US" w:eastAsia="zh-CN"/>
              </w:rPr>
              <w:t>（参照执行《环境空气质量标准》（GB3096-2012）表2 环境空气污染物其他浓度限值中总悬浮颗粒物（TSP）24小时平均值）。</w:t>
            </w:r>
          </w:p>
          <w:p w14:paraId="58092811">
            <w:pPr>
              <w:keepLines w:val="0"/>
              <w:pageBreakBefore w:val="0"/>
              <w:widowControl w:val="0"/>
              <w:kinsoku/>
              <w:wordWrap/>
              <w:topLinePunct w:val="0"/>
              <w:autoSpaceDE/>
              <w:autoSpaceDN/>
              <w:bidi w:val="0"/>
              <w:adjustRightInd w:val="0"/>
              <w:snapToGrid w:val="0"/>
              <w:spacing w:line="360" w:lineRule="auto"/>
              <w:jc w:val="left"/>
              <w:textAlignment w:val="auto"/>
              <w:outlineLvl w:val="9"/>
              <w:rPr>
                <w:rFonts w:hint="default" w:cs="Times New Roman"/>
                <w:color w:val="auto"/>
                <w:sz w:val="24"/>
                <w:szCs w:val="22"/>
                <w:highlight w:val="none"/>
                <w:vertAlign w:val="baseline"/>
                <w:lang w:val="en-US" w:eastAsia="zh-CN"/>
              </w:rPr>
            </w:pPr>
            <w:r>
              <w:drawing>
                <wp:inline distT="0" distB="0" distL="114300" distR="114300">
                  <wp:extent cx="5492750" cy="3625215"/>
                  <wp:effectExtent l="0" t="0" r="1270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a:stretch>
                            <a:fillRect/>
                          </a:stretch>
                        </pic:blipFill>
                        <pic:spPr>
                          <a:xfrm>
                            <a:off x="0" y="0"/>
                            <a:ext cx="5492750" cy="3625215"/>
                          </a:xfrm>
                          <a:prstGeom prst="rect">
                            <a:avLst/>
                          </a:prstGeom>
                          <a:noFill/>
                          <a:ln>
                            <a:noFill/>
                          </a:ln>
                        </pic:spPr>
                      </pic:pic>
                    </a:graphicData>
                  </a:graphic>
                </wp:inline>
              </w:drawing>
            </w:r>
            <w:r>
              <w:rPr>
                <w:sz w:val="21"/>
              </w:rPr>
              <mc:AlternateContent>
                <mc:Choice Requires="wps">
                  <w:drawing>
                    <wp:anchor distT="0" distB="0" distL="114300" distR="114300" simplePos="0" relativeHeight="251675648" behindDoc="0" locked="0" layoutInCell="1" allowOverlap="1">
                      <wp:simplePos x="0" y="0"/>
                      <wp:positionH relativeFrom="column">
                        <wp:posOffset>2277745</wp:posOffset>
                      </wp:positionH>
                      <wp:positionV relativeFrom="paragraph">
                        <wp:posOffset>1473200</wp:posOffset>
                      </wp:positionV>
                      <wp:extent cx="781050" cy="26733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78105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8E49A">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287m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35pt;margin-top:116pt;height:21.05pt;width:61.5pt;z-index:251675648;mso-width-relative:page;mso-height-relative:page;" filled="f" stroked="f" coordsize="21600,21600" o:gfxdata="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S/0l3aAAAACwEAAA8AAAAAAAAAAQAgAAAAIgAAAGRy&#10;cy9kb3ducmV2LnhtbFBLAQIUABQAAAAIAIdO4kDzvtKRPAIAAGkEAAAOAAAAAAAAAAEAIAAAACkB&#10;AABkcnMvZTJvRG9jLnhtbFBLBQYAAAAABgAGAFkBAADXBQAAAAA=&#10;">
                      <v:fill on="f" focussize="0,0"/>
                      <v:stroke on="f" weight="0.5pt"/>
                      <v:imagedata o:title=""/>
                      <o:lock v:ext="edit" aspectratio="f"/>
                      <v:textbox>
                        <w:txbxContent>
                          <w:p w14:paraId="39E8E49A">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287m</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2805430</wp:posOffset>
                      </wp:positionH>
                      <wp:positionV relativeFrom="paragraph">
                        <wp:posOffset>692150</wp:posOffset>
                      </wp:positionV>
                      <wp:extent cx="781050" cy="26733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78105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21B5A">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pt;margin-top:54.5pt;height:21.05pt;width:61.5pt;z-index:251670528;mso-width-relative:page;mso-height-relative:page;" filled="f" stroked="f" coordsize="21600,21600" o:gfxdata="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7H112gAAAAsBAAAPAAAAAAAAAAEAIAAAACIAAABkcnMv&#10;ZG93bnJldi54bWxQSwECFAAUAAAACACHTuJAY/UbFDoCAABpBAAADgAAAAAAAAABACAAAAApAQAA&#10;ZHJzL2Uyb0RvYy54bWxQSwUGAAAAAAYABgBZAQAA1QUAAAAA&#10;">
                      <v:fill on="f" focussize="0,0"/>
                      <v:stroke on="f" weight="0.5pt"/>
                      <v:imagedata o:title=""/>
                      <o:lock v:ext="edit" aspectratio="f"/>
                      <v:textbox>
                        <w:txbxContent>
                          <w:p w14:paraId="29721B5A">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本项目位置</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2936875</wp:posOffset>
                      </wp:positionH>
                      <wp:positionV relativeFrom="paragraph">
                        <wp:posOffset>1299210</wp:posOffset>
                      </wp:positionV>
                      <wp:extent cx="506095" cy="190500"/>
                      <wp:effectExtent l="32385" t="136525" r="33020" b="149225"/>
                      <wp:wrapNone/>
                      <wp:docPr id="145" name="矩形 145"/>
                      <wp:cNvGraphicFramePr/>
                      <a:graphic xmlns:a="http://schemas.openxmlformats.org/drawingml/2006/main">
                        <a:graphicData uri="http://schemas.microsoft.com/office/word/2010/wordprocessingShape">
                          <wps:wsp>
                            <wps:cNvSpPr/>
                            <wps:spPr>
                              <a:xfrm rot="19740000">
                                <a:off x="4133850" y="5081270"/>
                                <a:ext cx="506095" cy="1905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25pt;margin-top:102.3pt;height:15pt;width:39.85pt;rotation:-2031616f;z-index:251671552;v-text-anchor:middle;mso-width-relative:page;mso-height-relative:page;" filled="f" stroked="t" coordsize="21600,21600" o:gfxdata="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I8LSXXAAAACwEAAA8AAAAAAAAAAQAg&#10;AAAAIgAAAGRycy9kb3ducmV2LnhtbFBLAQIUABQAAAAIAIdO4kANyuxCgQIAAOkEAAAOAAAAAAAA&#10;AAEAIAAAACYBAABkcnMvZTJvRG9jLnhtbFBLBQYAAAAABgAGAFkBAAAZBgAAAAA=&#10;">
                      <v:fill on="f"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2805430</wp:posOffset>
                      </wp:positionH>
                      <wp:positionV relativeFrom="paragraph">
                        <wp:posOffset>1280795</wp:posOffset>
                      </wp:positionV>
                      <wp:extent cx="989330" cy="26733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8933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DA610">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引用项目位置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pt;margin-top:100.85pt;height:21.05pt;width:77.9pt;z-index:251672576;mso-width-relative:page;mso-height-relative:page;" filled="f" stroked="f" coordsize="21600,21600" o:gfxdata="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&#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DyTtwAAAALAQAADwAAAAAAAAABACAAAAAiAAAA&#10;ZHJzL2Rvd25yZXYueG1sUEsBAhQAFAAAAAgAh07iQP3wxUk8AgAAaQQAAA4AAAAAAAAAAQAgAAAA&#10;KwEAAGRycy9lMm9Eb2MueG1sUEsFBgAAAAAGAAYAWQEAANkFAAAAAA==&#10;">
                      <v:fill on="f" focussize="0,0"/>
                      <v:stroke on="f" weight="0.5pt"/>
                      <v:imagedata o:title=""/>
                      <o:lock v:ext="edit" aspectratio="f"/>
                      <v:textbox>
                        <w:txbxContent>
                          <w:p w14:paraId="027DA610">
                            <w:pPr>
                              <w:keepNext w:val="0"/>
                              <w:keepLines w:val="0"/>
                              <w:pageBreakBefore w:val="0"/>
                              <w:widowControl w:val="0"/>
                              <w:kinsoku/>
                              <w:wordWrap/>
                              <w:overflowPunct/>
                              <w:topLinePunct w:val="0"/>
                              <w:bidi w:val="0"/>
                              <w:adjustRightInd/>
                              <w:snapToGrid/>
                              <w:textAlignment w:val="auto"/>
                              <w:rPr>
                                <w:rFonts w:hint="default" w:eastAsia="宋体"/>
                                <w:b/>
                                <w:bCs/>
                                <w:color w:val="FFFF00"/>
                                <w:sz w:val="18"/>
                                <w:szCs w:val="18"/>
                                <w:lang w:val="en-US" w:eastAsia="zh-CN"/>
                              </w:rPr>
                            </w:pPr>
                            <w:r>
                              <w:rPr>
                                <w:rFonts w:hint="eastAsia"/>
                                <w:b/>
                                <w:bCs/>
                                <w:color w:val="FFFF00"/>
                                <w:sz w:val="18"/>
                                <w:szCs w:val="18"/>
                                <w:lang w:val="en-US" w:eastAsia="zh-CN"/>
                              </w:rPr>
                              <w:t>引用项目位置</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1852930</wp:posOffset>
                      </wp:positionH>
                      <wp:positionV relativeFrom="paragraph">
                        <wp:posOffset>2531745</wp:posOffset>
                      </wp:positionV>
                      <wp:extent cx="781050" cy="26733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78105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6D067">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O 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pt;margin-top:199.35pt;height:21.05pt;width:61.5pt;z-index:251673600;mso-width-relative:page;mso-height-relative:page;" filled="f" stroked="f" coordsize="21600,21600" o:gfxdata="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&#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RGWi3AAAAAsBAAAPAAAAAAAAAAEAIAAAACIAAABk&#10;cnMvZG93bnJldi54bWxQSwECFAAUAAAACACHTuJA9OUzTjsCAABpBAAADgAAAAAAAAABACAAAAAr&#10;AQAAZHJzL2Uyb0RvYy54bWxQSwUGAAAAAAYABgBZAQAA2AUAAAAA&#10;">
                      <v:fill on="f" focussize="0,0"/>
                      <v:stroke on="f" weight="0.5pt"/>
                      <v:imagedata o:title=""/>
                      <o:lock v:ext="edit" aspectratio="f"/>
                      <v:textbox>
                        <w:txbxContent>
                          <w:p w14:paraId="6E66D067">
                            <w:pPr>
                              <w:keepNext w:val="0"/>
                              <w:keepLines w:val="0"/>
                              <w:pageBreakBefore w:val="0"/>
                              <w:widowControl w:val="0"/>
                              <w:kinsoku/>
                              <w:wordWrap/>
                              <w:overflowPunct/>
                              <w:topLinePunct w:val="0"/>
                              <w:bidi w:val="0"/>
                              <w:adjustRightInd/>
                              <w:snapToGrid/>
                              <w:textAlignment w:val="auto"/>
                              <w:rPr>
                                <w:rFonts w:hint="default" w:eastAsia="宋体"/>
                                <w:b/>
                                <w:bCs/>
                                <w:color w:val="FF0000"/>
                                <w:sz w:val="18"/>
                                <w:szCs w:val="18"/>
                                <w:lang w:val="en-US" w:eastAsia="zh-CN"/>
                              </w:rPr>
                            </w:pPr>
                            <w:r>
                              <w:rPr>
                                <w:rFonts w:hint="eastAsia"/>
                                <w:b/>
                                <w:bCs/>
                                <w:color w:val="FF0000"/>
                                <w:sz w:val="18"/>
                                <w:szCs w:val="18"/>
                                <w:lang w:val="en-US" w:eastAsia="zh-CN"/>
                              </w:rPr>
                              <w:t>O 检测点</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3360420</wp:posOffset>
                      </wp:positionV>
                      <wp:extent cx="1170940" cy="267335"/>
                      <wp:effectExtent l="4445" t="4445" r="5715" b="13970"/>
                      <wp:wrapNone/>
                      <wp:docPr id="121" name="文本框 121"/>
                      <wp:cNvGraphicFramePr/>
                      <a:graphic xmlns:a="http://schemas.openxmlformats.org/drawingml/2006/main">
                        <a:graphicData uri="http://schemas.microsoft.com/office/word/2010/wordprocessingShape">
                          <wps:wsp>
                            <wps:cNvSpPr txBox="1"/>
                            <wps:spPr>
                              <a:xfrm>
                                <a:off x="1474470" y="7526020"/>
                                <a:ext cx="1170940"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D44A8E">
                                  <w:pPr>
                                    <w:keepNext w:val="0"/>
                                    <w:keepLines w:val="0"/>
                                    <w:pageBreakBefore w:val="0"/>
                                    <w:widowControl w:val="0"/>
                                    <w:kinsoku/>
                                    <w:wordWrap/>
                                    <w:overflowPunct/>
                                    <w:topLinePunct w:val="0"/>
                                    <w:bidi w:val="0"/>
                                    <w:adjustRightInd/>
                                    <w:snapToGrid/>
                                    <w:textAlignment w:val="auto"/>
                                    <w:rPr>
                                      <w:rFonts w:hint="default" w:eastAsia="宋体"/>
                                      <w:color w:val="FF0000"/>
                                      <w:sz w:val="18"/>
                                      <w:szCs w:val="18"/>
                                      <w:lang w:val="en-US" w:eastAsia="zh-CN"/>
                                    </w:rPr>
                                  </w:pPr>
                                  <w:r>
                                    <w:rPr>
                                      <w:rFonts w:hint="eastAsia"/>
                                      <w:color w:val="FF0000"/>
                                      <w:sz w:val="18"/>
                                      <w:szCs w:val="18"/>
                                      <w:lang w:val="en-US" w:eastAsia="zh-CN"/>
                                    </w:rPr>
                                    <w:t>O：环境空气检测点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264.6pt;height:21.05pt;width:92.2pt;z-index:251669504;mso-width-relative:page;mso-height-relative:page;" fillcolor="#FFFFFF [3201]" filled="t" stroked="t" coordsize="21600,21600" o:gfxdata="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QIq/1QAAAAkBAAAPAAAAAAAAAAEAIAAAACIAAABkcnMvZG93bnJldi54bWxQSwECFAAUAAAA&#10;CACHTuJAQP8hsGMCAADHBAAADgAAAAAAAAABACAAAAAkAQAAZHJzL2Uyb0RvYy54bWxQSwUGAAAA&#10;AAYABgBZAQAA+QUAAAAA&#10;">
                      <v:fill on="t" focussize="0,0"/>
                      <v:stroke weight="0.5pt" color="#000000 [3204]" joinstyle="round"/>
                      <v:imagedata o:title=""/>
                      <o:lock v:ext="edit" aspectratio="f"/>
                      <v:textbox>
                        <w:txbxContent>
                          <w:p w14:paraId="33D44A8E">
                            <w:pPr>
                              <w:keepNext w:val="0"/>
                              <w:keepLines w:val="0"/>
                              <w:pageBreakBefore w:val="0"/>
                              <w:widowControl w:val="0"/>
                              <w:kinsoku/>
                              <w:wordWrap/>
                              <w:overflowPunct/>
                              <w:topLinePunct w:val="0"/>
                              <w:bidi w:val="0"/>
                              <w:adjustRightInd/>
                              <w:snapToGrid/>
                              <w:textAlignment w:val="auto"/>
                              <w:rPr>
                                <w:rFonts w:hint="default" w:eastAsia="宋体"/>
                                <w:color w:val="FF0000"/>
                                <w:sz w:val="18"/>
                                <w:szCs w:val="18"/>
                                <w:lang w:val="en-US" w:eastAsia="zh-CN"/>
                              </w:rPr>
                            </w:pPr>
                            <w:r>
                              <w:rPr>
                                <w:rFonts w:hint="eastAsia"/>
                                <w:color w:val="FF0000"/>
                                <w:sz w:val="18"/>
                                <w:szCs w:val="18"/>
                                <w:lang w:val="en-US" w:eastAsia="zh-CN"/>
                              </w:rPr>
                              <w:t>O：环境空气检测点</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2141220</wp:posOffset>
                      </wp:positionH>
                      <wp:positionV relativeFrom="paragraph">
                        <wp:posOffset>1014730</wp:posOffset>
                      </wp:positionV>
                      <wp:extent cx="891540" cy="1528445"/>
                      <wp:effectExtent l="0" t="3175" r="22860" b="11430"/>
                      <wp:wrapNone/>
                      <wp:docPr id="148" name="直接箭头连接符 148"/>
                      <wp:cNvGraphicFramePr/>
                      <a:graphic xmlns:a="http://schemas.openxmlformats.org/drawingml/2006/main">
                        <a:graphicData uri="http://schemas.microsoft.com/office/word/2010/wordprocessingShape">
                          <wps:wsp>
                            <wps:cNvCnPr/>
                            <wps:spPr>
                              <a:xfrm flipH="1">
                                <a:off x="3173095" y="4745990"/>
                                <a:ext cx="891540" cy="152844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8.6pt;margin-top:79.9pt;height:120.35pt;width:70.2pt;z-index:251674624;mso-width-relative:page;mso-height-relative:page;" filled="f" stroked="t" coordsize="21600,21600" o:gfxdata="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70e&#10;GdgAAAALAQAADwAAAAAAAAABACAAAAAiAAAAZHJzL2Rvd25yZXYueG1sUEsBAhQAFAAAAAgAh07i&#10;QGkfJwsiAgAA/gMAAA4AAAAAAAAAAQAgAAAAJwEAAGRycy9lMm9Eb2MueG1sUEsFBgAAAAAGAAYA&#10;WQEAALsFAAAAAA==&#10;">
                      <v:fill on="f" focussize="0,0"/>
                      <v:stroke weight="1pt" color="#FF0000 [3204]" miterlimit="8" joinstyle="miter" endarrow="open"/>
                      <v:imagedata o:title=""/>
                      <o:lock v:ext="edit" aspectratio="f"/>
                    </v:shape>
                  </w:pict>
                </mc:Fallback>
              </mc:AlternateContent>
            </w:r>
          </w:p>
          <w:p w14:paraId="655C57B9">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图3.1-3 引用的大气监测点位与本项目位置关系图</w:t>
            </w:r>
          </w:p>
          <w:p w14:paraId="5843C8E0">
            <w:pPr>
              <w:pStyle w:val="49"/>
              <w:ind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根据《建设项目环境影响报告表编制技术指南（污染影响类）</w:t>
            </w:r>
            <w:r>
              <w:rPr>
                <w:rFonts w:hint="eastAsia" w:ascii="Times New Roman" w:hAnsi="Times New Roman" w:cs="Times New Roman"/>
                <w:color w:val="auto"/>
                <w:sz w:val="24"/>
                <w:szCs w:val="24"/>
                <w:highlight w:val="none"/>
                <w:lang w:eastAsia="zh-CN"/>
              </w:rPr>
              <w:t>（试行）》</w:t>
            </w:r>
            <w:r>
              <w:rPr>
                <w:rFonts w:hint="default" w:ascii="Times New Roman" w:hAnsi="Times New Roman" w:cs="Times New Roman"/>
                <w:color w:val="auto"/>
                <w:sz w:val="24"/>
                <w:szCs w:val="24"/>
                <w:highlight w:val="none"/>
              </w:rPr>
              <w:t>的要求，排放国家、地方环境空气质量标准中有标准限值要求的特征污染物时，引用建设项目周边5千米范围内近3年的现有监测数据，无相关数据的选择当季主导风向下风向1个点位补充不少于3天的监测数据。本次评价引用</w:t>
            </w:r>
            <w:r>
              <w:rPr>
                <w:rFonts w:hint="eastAsia" w:cs="Times New Roman"/>
                <w:color w:val="auto"/>
                <w:kern w:val="0"/>
                <w:sz w:val="24"/>
                <w:lang w:val="en-US" w:eastAsia="zh-CN"/>
              </w:rPr>
              <w:t>****有限公司</w:t>
            </w:r>
            <w:r>
              <w:rPr>
                <w:rFonts w:hint="default" w:ascii="Times New Roman" w:hAnsi="Times New Roman" w:eastAsia="宋体" w:cs="Times New Roman"/>
                <w:color w:val="auto"/>
                <w:sz w:val="24"/>
                <w:szCs w:val="22"/>
              </w:rPr>
              <w:t>于</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年</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月</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日</w:t>
            </w:r>
            <w:r>
              <w:rPr>
                <w:rFonts w:hint="eastAsia" w:ascii="Times New Roman" w:hAnsi="Times New Roman" w:cs="Times New Roman"/>
                <w:color w:val="auto"/>
                <w:sz w:val="24"/>
                <w:szCs w:val="22"/>
                <w:lang w:eastAsia="zh-CN"/>
              </w:rPr>
              <w:t>—</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年</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月</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rPr>
              <w:t>日</w:t>
            </w:r>
            <w:r>
              <w:rPr>
                <w:rFonts w:hint="eastAsia" w:ascii="Times New Roman" w:hAnsi="Times New Roman" w:cs="Times New Roman"/>
                <w:color w:val="auto"/>
                <w:sz w:val="24"/>
                <w:szCs w:val="22"/>
                <w:lang w:eastAsia="zh-CN"/>
              </w:rPr>
              <w:t>（</w:t>
            </w:r>
            <w:r>
              <w:rPr>
                <w:rFonts w:hint="eastAsia" w:ascii="Times New Roman" w:hAnsi="Times New Roman" w:cs="Times New Roman"/>
                <w:color w:val="auto"/>
                <w:sz w:val="24"/>
                <w:szCs w:val="22"/>
                <w:lang w:val="en-US" w:eastAsia="zh-CN"/>
              </w:rPr>
              <w:t>三天）</w:t>
            </w:r>
            <w:r>
              <w:rPr>
                <w:rFonts w:hint="default" w:ascii="Times New Roman" w:hAnsi="Times New Roman" w:cs="Times New Roman"/>
                <w:color w:val="auto"/>
                <w:sz w:val="24"/>
                <w:szCs w:val="22"/>
              </w:rPr>
              <w:t>委</w:t>
            </w:r>
            <w:r>
              <w:rPr>
                <w:rFonts w:hint="default" w:ascii="Times New Roman" w:hAnsi="Times New Roman" w:eastAsia="宋体" w:cs="Times New Roman"/>
                <w:color w:val="auto"/>
                <w:sz w:val="24"/>
                <w:szCs w:val="22"/>
              </w:rPr>
              <w:t>托</w:t>
            </w:r>
            <w:r>
              <w:rPr>
                <w:rFonts w:hint="eastAsia" w:ascii="Times New Roman" w:hAnsi="Times New Roman" w:cs="Times New Roman"/>
                <w:color w:val="auto"/>
                <w:sz w:val="24"/>
                <w:szCs w:val="22"/>
                <w:lang w:val="en-US" w:eastAsia="zh-CN"/>
              </w:rPr>
              <w:t>******</w:t>
            </w:r>
            <w:r>
              <w:rPr>
                <w:rFonts w:hint="eastAsia" w:cs="Times New Roman"/>
                <w:color w:val="auto"/>
                <w:kern w:val="0"/>
                <w:sz w:val="24"/>
                <w:lang w:val="en-US" w:eastAsia="zh-CN"/>
              </w:rPr>
              <w:t>有限公司</w:t>
            </w:r>
            <w:r>
              <w:rPr>
                <w:rFonts w:hint="default" w:ascii="Times New Roman" w:hAnsi="Times New Roman" w:eastAsia="宋体" w:cs="Times New Roman"/>
                <w:color w:val="auto"/>
                <w:sz w:val="24"/>
                <w:szCs w:val="22"/>
              </w:rPr>
              <w:t>对项</w:t>
            </w:r>
            <w:r>
              <w:rPr>
                <w:rFonts w:hint="default" w:ascii="Times New Roman" w:hAnsi="Times New Roman" w:cs="Times New Roman"/>
                <w:color w:val="auto"/>
                <w:sz w:val="24"/>
                <w:szCs w:val="22"/>
              </w:rPr>
              <w:t>目附近</w:t>
            </w:r>
            <w:r>
              <w:rPr>
                <w:rFonts w:hint="default" w:ascii="Times New Roman" w:hAnsi="Times New Roman" w:cs="Times New Roman"/>
                <w:color w:val="auto"/>
                <w:sz w:val="24"/>
                <w:szCs w:val="22"/>
                <w:lang w:eastAsia="zh-CN"/>
              </w:rPr>
              <w:t>的</w:t>
            </w:r>
            <w:r>
              <w:rPr>
                <w:rFonts w:hint="eastAsia" w:ascii="Times New Roman" w:hAnsi="Times New Roman" w:cs="Times New Roman"/>
                <w:color w:val="auto"/>
                <w:sz w:val="24"/>
                <w:szCs w:val="22"/>
                <w:lang w:val="en-US" w:eastAsia="zh-CN"/>
              </w:rPr>
              <w:t>下田村</w:t>
            </w:r>
            <w:r>
              <w:rPr>
                <w:rFonts w:hint="default" w:ascii="Times New Roman" w:hAnsi="Times New Roman" w:cs="Times New Roman"/>
                <w:color w:val="auto"/>
                <w:sz w:val="24"/>
                <w:szCs w:val="22"/>
                <w:lang w:eastAsia="zh-CN"/>
              </w:rPr>
              <w:t>监测点</w:t>
            </w:r>
            <w:r>
              <w:rPr>
                <w:rFonts w:hint="eastAsia" w:ascii="Times New Roman" w:hAnsi="Times New Roman" w:cs="Times New Roman"/>
                <w:color w:val="auto"/>
                <w:sz w:val="24"/>
                <w:szCs w:val="22"/>
                <w:lang w:val="en-US" w:eastAsia="zh-CN"/>
              </w:rPr>
              <w:t>总悬浮颗粒物（TSP）</w:t>
            </w:r>
            <w:r>
              <w:rPr>
                <w:rFonts w:hint="default" w:ascii="Times New Roman" w:hAnsi="Times New Roman" w:cs="Times New Roman"/>
                <w:color w:val="auto"/>
                <w:sz w:val="24"/>
                <w:szCs w:val="22"/>
                <w:lang w:eastAsia="zh-CN"/>
              </w:rPr>
              <w:t>的监测数据</w:t>
            </w:r>
            <w:r>
              <w:rPr>
                <w:rFonts w:hint="default" w:ascii="Times New Roman" w:hAnsi="Times New Roman" w:cs="Times New Roman"/>
                <w:color w:val="auto"/>
                <w:sz w:val="24"/>
                <w:szCs w:val="24"/>
                <w:highlight w:val="none"/>
              </w:rPr>
              <w:t>，</w:t>
            </w:r>
            <w:r>
              <w:rPr>
                <w:rFonts w:hint="eastAsia" w:cs="Times New Roman"/>
                <w:color w:val="auto"/>
                <w:kern w:val="0"/>
                <w:sz w:val="24"/>
                <w:lang w:val="en-US" w:eastAsia="zh-CN"/>
              </w:rPr>
              <w:t>监测点下田村距本项目</w:t>
            </w:r>
            <w:r>
              <w:rPr>
                <w:rFonts w:hint="default" w:cs="Times New Roman"/>
                <w:color w:val="auto"/>
                <w:kern w:val="0"/>
                <w:sz w:val="24"/>
                <w:lang w:val="en-US" w:eastAsia="zh-CN"/>
              </w:rPr>
              <w:t>西南侧约</w:t>
            </w:r>
            <w:r>
              <w:rPr>
                <w:rFonts w:hint="eastAsia" w:cs="Times New Roman"/>
                <w:color w:val="auto"/>
                <w:kern w:val="0"/>
                <w:sz w:val="24"/>
                <w:lang w:val="en-US" w:eastAsia="zh-CN"/>
              </w:rPr>
              <w:t>287</w:t>
            </w:r>
            <w:r>
              <w:rPr>
                <w:rFonts w:hint="default" w:cs="Times New Roman"/>
                <w:color w:val="auto"/>
                <w:kern w:val="0"/>
                <w:sz w:val="24"/>
                <w:lang w:val="en-US" w:eastAsia="zh-CN"/>
              </w:rPr>
              <w:t>m</w:t>
            </w:r>
            <w:r>
              <w:rPr>
                <w:rFonts w:hint="eastAsia" w:cs="Times New Roman"/>
                <w:color w:val="auto"/>
                <w:kern w:val="0"/>
                <w:sz w:val="24"/>
                <w:lang w:val="en-US" w:eastAsia="zh-CN"/>
              </w:rPr>
              <w:t>处</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4"/>
                <w:highlight w:val="none"/>
              </w:rPr>
              <w:t>符合建设项目周边5千米范围内近3年</w:t>
            </w:r>
            <w:r>
              <w:rPr>
                <w:rFonts w:hint="eastAsia" w:ascii="Times New Roman" w:hAnsi="Times New Roman" w:cs="Times New Roman"/>
                <w:color w:val="auto"/>
                <w:sz w:val="24"/>
                <w:szCs w:val="24"/>
                <w:highlight w:val="none"/>
                <w:lang w:val="en-US" w:eastAsia="zh-CN"/>
              </w:rPr>
              <w:t>内</w:t>
            </w:r>
            <w:r>
              <w:rPr>
                <w:rFonts w:hint="default" w:ascii="Times New Roman" w:hAnsi="Times New Roman" w:cs="Times New Roman"/>
                <w:color w:val="auto"/>
                <w:sz w:val="24"/>
                <w:szCs w:val="24"/>
                <w:highlight w:val="none"/>
              </w:rPr>
              <w:t>的现有主导风向下风向1个点位不少于3天的监测数据，《建设项目环境影响报告表编制技术指南（污染影响类）（试行）》要求。</w:t>
            </w:r>
          </w:p>
          <w:p w14:paraId="6B47C8D0">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64" w:name="_Toc31830"/>
            <w:bookmarkStart w:id="65" w:name="_Toc13108"/>
            <w:r>
              <w:rPr>
                <w:rFonts w:hint="eastAsia" w:ascii="Times New Roman" w:hAnsi="Times New Roman" w:eastAsia="宋体" w:cs="Times New Roman"/>
                <w:color w:val="auto"/>
                <w:sz w:val="28"/>
                <w:szCs w:val="28"/>
                <w:u w:val="none"/>
                <w:lang w:val="en-US" w:eastAsia="zh-CN"/>
              </w:rPr>
              <w:t>3.2水环境质量现状</w:t>
            </w:r>
            <w:bookmarkEnd w:id="64"/>
            <w:bookmarkEnd w:id="65"/>
          </w:p>
          <w:p w14:paraId="05124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66" w:name="_Toc7675"/>
            <w:bookmarkStart w:id="67" w:name="_Toc21988"/>
            <w:r>
              <w:rPr>
                <w:rFonts w:hint="eastAsia" w:ascii="Times New Roman" w:hAnsi="Times New Roman" w:eastAsia="宋体" w:cs="Times New Roman"/>
                <w:b/>
                <w:bCs/>
                <w:color w:val="auto"/>
                <w:sz w:val="24"/>
                <w:szCs w:val="24"/>
                <w:u w:val="none"/>
                <w:lang w:val="en-US" w:eastAsia="zh-CN"/>
              </w:rPr>
              <w:t>3.2.1地表水功能区划</w:t>
            </w:r>
            <w:bookmarkEnd w:id="66"/>
            <w:bookmarkEnd w:id="67"/>
          </w:p>
          <w:p w14:paraId="5EF8412B">
            <w:pPr>
              <w:widowControl/>
              <w:spacing w:line="360" w:lineRule="auto"/>
              <w:ind w:firstLine="480" w:firstLineChars="200"/>
              <w:jc w:val="left"/>
              <w:rPr>
                <w:rFonts w:hint="eastAsia" w:eastAsia="宋体"/>
                <w:b/>
                <w:bCs/>
                <w:kern w:val="0"/>
                <w:sz w:val="24"/>
                <w:lang w:eastAsia="zh-CN"/>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w:t>
            </w:r>
            <w:r>
              <w:rPr>
                <w:rFonts w:hint="eastAsia"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生活</w:t>
            </w:r>
            <w:r>
              <w:rPr>
                <w:rFonts w:hint="eastAsia" w:cs="Times New Roman"/>
                <w:color w:val="auto"/>
                <w:sz w:val="24"/>
                <w:szCs w:val="24"/>
                <w:highlight w:val="none"/>
                <w:lang w:eastAsia="zh-CN"/>
              </w:rPr>
              <w:t>污水经化粪池</w:t>
            </w:r>
            <w:r>
              <w:rPr>
                <w:rFonts w:hint="default" w:ascii="Times New Roman" w:hAnsi="Times New Roman" w:eastAsia="宋体" w:cs="Times New Roman"/>
                <w:color w:val="auto"/>
                <w:sz w:val="24"/>
                <w:szCs w:val="24"/>
                <w:highlight w:val="none"/>
                <w:lang w:eastAsia="zh-CN"/>
              </w:rPr>
              <w:t>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断面；根据福州市水功能区划批复（榕政综</w:t>
            </w:r>
            <w:r>
              <w:rPr>
                <w:rFonts w:hint="default" w:ascii="Times New Roman" w:hAnsi="Times New Roman" w:cs="Times New Roman"/>
                <w:color w:val="auto"/>
                <w:sz w:val="24"/>
                <w:highlight w:val="none"/>
                <w:lang w:eastAsia="zh-CN"/>
              </w:rPr>
              <w:t>〔2019〕316号</w:t>
            </w:r>
            <w:r>
              <w:rPr>
                <w:rFonts w:hint="default" w:ascii="Times New Roman" w:hAnsi="Times New Roman" w:cs="Times New Roman"/>
                <w:color w:val="auto"/>
                <w:sz w:val="24"/>
                <w:highlight w:val="none"/>
              </w:rPr>
              <w:t>）批准的《福州市水功能区划》，该断面水体主要功能为农业、工业、景观用水，环境功能类别为Ⅴ类，水质执行《地表水环境质量标准》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中Ⅴ类水质标准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详见表3.2-1。</w:t>
            </w:r>
          </w:p>
          <w:p w14:paraId="45DF3C8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kern w:val="0"/>
                <w:sz w:val="24"/>
              </w:rPr>
            </w:pPr>
            <w:r>
              <w:rPr>
                <w:rFonts w:hint="default" w:ascii="Times New Roman" w:hAnsi="Times New Roman" w:eastAsia="宋体" w:cs="Times New Roman"/>
                <w:b/>
                <w:bCs/>
                <w:color w:val="auto"/>
                <w:sz w:val="24"/>
                <w:szCs w:val="24"/>
                <w:u w:val="none"/>
                <w:lang w:val="en-US" w:eastAsia="zh-CN"/>
              </w:rPr>
              <w:t>表3.2-1 地表水环境质量标准</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 xml:space="preserve">   单位：mg/L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97"/>
              <w:gridCol w:w="3278"/>
              <w:gridCol w:w="1264"/>
              <w:gridCol w:w="997"/>
              <w:gridCol w:w="997"/>
              <w:gridCol w:w="997"/>
            </w:tblGrid>
            <w:tr w14:paraId="7E5798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81" w:hRule="exact"/>
                <w:jc w:val="center"/>
              </w:trPr>
              <w:tc>
                <w:tcPr>
                  <w:tcW w:w="585" w:type="pct"/>
                  <w:shd w:val="clear" w:color="auto" w:fill="auto"/>
                  <w:noWrap w:val="0"/>
                  <w:vAlign w:val="center"/>
                </w:tcPr>
                <w:p w14:paraId="11A19163">
                  <w:pPr>
                    <w:spacing w:line="340" w:lineRule="exact"/>
                    <w:jc w:val="center"/>
                    <w:rPr>
                      <w:snapToGrid w:val="0"/>
                      <w:kern w:val="18"/>
                      <w:szCs w:val="21"/>
                    </w:rPr>
                  </w:pPr>
                  <w:r>
                    <w:rPr>
                      <w:snapToGrid w:val="0"/>
                      <w:kern w:val="18"/>
                      <w:szCs w:val="21"/>
                    </w:rPr>
                    <w:t>序号</w:t>
                  </w:r>
                </w:p>
              </w:tc>
              <w:tc>
                <w:tcPr>
                  <w:tcW w:w="1921" w:type="pct"/>
                  <w:shd w:val="clear" w:color="auto" w:fill="auto"/>
                  <w:noWrap w:val="0"/>
                  <w:vAlign w:val="center"/>
                </w:tcPr>
                <w:p w14:paraId="4CFCA972">
                  <w:pPr>
                    <w:spacing w:line="340" w:lineRule="exact"/>
                    <w:jc w:val="center"/>
                    <w:rPr>
                      <w:snapToGrid w:val="0"/>
                      <w:kern w:val="18"/>
                      <w:szCs w:val="21"/>
                    </w:rPr>
                  </w:pPr>
                  <w:r>
                    <w:rPr>
                      <w:snapToGrid w:val="0"/>
                      <w:kern w:val="18"/>
                      <w:szCs w:val="21"/>
                    </w:rPr>
                    <w:t>项目</w:t>
                  </w:r>
                </w:p>
              </w:tc>
              <w:tc>
                <w:tcPr>
                  <w:tcW w:w="741" w:type="pct"/>
                  <w:shd w:val="clear" w:color="auto" w:fill="auto"/>
                  <w:noWrap w:val="0"/>
                  <w:vAlign w:val="center"/>
                </w:tcPr>
                <w:p w14:paraId="77A6FFB1">
                  <w:pPr>
                    <w:spacing w:line="340" w:lineRule="exact"/>
                    <w:jc w:val="center"/>
                    <w:rPr>
                      <w:snapToGrid w:val="0"/>
                      <w:kern w:val="18"/>
                      <w:szCs w:val="21"/>
                    </w:rPr>
                  </w:pPr>
                  <w:r>
                    <w:rPr>
                      <w:snapToGrid w:val="0"/>
                      <w:kern w:val="18"/>
                      <w:szCs w:val="21"/>
                    </w:rPr>
                    <w:t>Ⅱ类</w:t>
                  </w:r>
                </w:p>
              </w:tc>
              <w:tc>
                <w:tcPr>
                  <w:tcW w:w="584" w:type="pct"/>
                  <w:shd w:val="clear" w:color="auto" w:fill="auto"/>
                  <w:noWrap w:val="0"/>
                  <w:vAlign w:val="center"/>
                </w:tcPr>
                <w:p w14:paraId="0B1051D8">
                  <w:pPr>
                    <w:spacing w:line="340" w:lineRule="exact"/>
                    <w:jc w:val="center"/>
                    <w:rPr>
                      <w:snapToGrid w:val="0"/>
                      <w:kern w:val="18"/>
                      <w:szCs w:val="21"/>
                    </w:rPr>
                  </w:pPr>
                  <w:r>
                    <w:rPr>
                      <w:snapToGrid w:val="0"/>
                      <w:kern w:val="18"/>
                      <w:szCs w:val="21"/>
                    </w:rPr>
                    <w:t>Ⅲ类</w:t>
                  </w:r>
                </w:p>
              </w:tc>
              <w:tc>
                <w:tcPr>
                  <w:tcW w:w="584" w:type="pct"/>
                  <w:shd w:val="clear" w:color="auto" w:fill="auto"/>
                  <w:noWrap w:val="0"/>
                  <w:vAlign w:val="center"/>
                </w:tcPr>
                <w:p w14:paraId="73344D38">
                  <w:pPr>
                    <w:spacing w:line="340" w:lineRule="exact"/>
                    <w:jc w:val="center"/>
                    <w:rPr>
                      <w:snapToGrid w:val="0"/>
                      <w:kern w:val="18"/>
                      <w:szCs w:val="21"/>
                    </w:rPr>
                  </w:pPr>
                  <w:r>
                    <w:rPr>
                      <w:snapToGrid w:val="0"/>
                      <w:kern w:val="18"/>
                      <w:szCs w:val="21"/>
                    </w:rPr>
                    <w:t>Ⅳ类</w:t>
                  </w:r>
                </w:p>
              </w:tc>
              <w:tc>
                <w:tcPr>
                  <w:tcW w:w="583" w:type="pct"/>
                  <w:shd w:val="clear" w:color="auto" w:fill="D7D7D7" w:themeFill="background1" w:themeFillShade="D8"/>
                  <w:noWrap w:val="0"/>
                  <w:vAlign w:val="center"/>
                </w:tcPr>
                <w:p w14:paraId="1CF0E9BE">
                  <w:pPr>
                    <w:spacing w:line="340" w:lineRule="exact"/>
                    <w:jc w:val="center"/>
                    <w:rPr>
                      <w:snapToGrid w:val="0"/>
                      <w:kern w:val="18"/>
                      <w:szCs w:val="21"/>
                    </w:rPr>
                  </w:pPr>
                  <w:r>
                    <w:rPr>
                      <w:snapToGrid w:val="0"/>
                      <w:kern w:val="18"/>
                      <w:szCs w:val="21"/>
                    </w:rPr>
                    <w:t>Ⅴ类</w:t>
                  </w:r>
                </w:p>
              </w:tc>
            </w:tr>
            <w:tr w14:paraId="6CD7B3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22" w:hRule="exact"/>
                <w:jc w:val="center"/>
              </w:trPr>
              <w:tc>
                <w:tcPr>
                  <w:tcW w:w="585" w:type="pct"/>
                  <w:shd w:val="clear" w:color="auto" w:fill="auto"/>
                  <w:noWrap w:val="0"/>
                  <w:vAlign w:val="center"/>
                </w:tcPr>
                <w:p w14:paraId="6018D258">
                  <w:pPr>
                    <w:spacing w:line="340" w:lineRule="exact"/>
                    <w:jc w:val="center"/>
                    <w:rPr>
                      <w:snapToGrid w:val="0"/>
                      <w:kern w:val="18"/>
                      <w:szCs w:val="21"/>
                    </w:rPr>
                  </w:pPr>
                  <w:r>
                    <w:rPr>
                      <w:snapToGrid w:val="0"/>
                      <w:kern w:val="18"/>
                      <w:szCs w:val="21"/>
                    </w:rPr>
                    <w:t>1</w:t>
                  </w:r>
                </w:p>
              </w:tc>
              <w:tc>
                <w:tcPr>
                  <w:tcW w:w="1921" w:type="pct"/>
                  <w:shd w:val="clear" w:color="auto" w:fill="auto"/>
                  <w:noWrap w:val="0"/>
                  <w:vAlign w:val="center"/>
                </w:tcPr>
                <w:p w14:paraId="7677BFAB">
                  <w:pPr>
                    <w:spacing w:line="340" w:lineRule="exact"/>
                    <w:jc w:val="center"/>
                    <w:rPr>
                      <w:snapToGrid w:val="0"/>
                      <w:kern w:val="18"/>
                      <w:szCs w:val="21"/>
                    </w:rPr>
                  </w:pPr>
                  <w:r>
                    <w:rPr>
                      <w:snapToGrid w:val="0"/>
                      <w:kern w:val="18"/>
                      <w:szCs w:val="21"/>
                    </w:rPr>
                    <w:t>pH</w:t>
                  </w:r>
                  <w:r>
                    <w:rPr>
                      <w:rFonts w:hint="eastAsia"/>
                      <w:snapToGrid w:val="0"/>
                      <w:kern w:val="18"/>
                      <w:szCs w:val="21"/>
                      <w:lang w:eastAsia="zh-CN"/>
                    </w:rPr>
                    <w:t>（</w:t>
                  </w:r>
                  <w:r>
                    <w:rPr>
                      <w:snapToGrid w:val="0"/>
                      <w:kern w:val="18"/>
                      <w:szCs w:val="21"/>
                    </w:rPr>
                    <w:t>无量纲</w:t>
                  </w:r>
                  <w:r>
                    <w:rPr>
                      <w:rFonts w:hint="eastAsia"/>
                      <w:snapToGrid w:val="0"/>
                      <w:kern w:val="18"/>
                      <w:szCs w:val="21"/>
                      <w:lang w:eastAsia="zh-CN"/>
                    </w:rPr>
                    <w:t>）</w:t>
                  </w:r>
                </w:p>
              </w:tc>
              <w:tc>
                <w:tcPr>
                  <w:tcW w:w="2493" w:type="pct"/>
                  <w:gridSpan w:val="4"/>
                  <w:shd w:val="clear" w:color="auto" w:fill="D7D7D7" w:themeFill="background1" w:themeFillShade="D8"/>
                  <w:noWrap w:val="0"/>
                  <w:vAlign w:val="center"/>
                </w:tcPr>
                <w:p w14:paraId="1EFAAD0F">
                  <w:pPr>
                    <w:spacing w:line="340" w:lineRule="exact"/>
                    <w:jc w:val="center"/>
                    <w:rPr>
                      <w:snapToGrid w:val="0"/>
                      <w:kern w:val="18"/>
                      <w:szCs w:val="21"/>
                    </w:rPr>
                  </w:pPr>
                  <w:r>
                    <w:rPr>
                      <w:snapToGrid w:val="0"/>
                      <w:kern w:val="18"/>
                      <w:szCs w:val="21"/>
                    </w:rPr>
                    <w:t>6</w:t>
                  </w:r>
                  <w:r>
                    <w:rPr>
                      <w:rFonts w:hint="eastAsia"/>
                      <w:snapToGrid w:val="0"/>
                      <w:kern w:val="18"/>
                      <w:szCs w:val="21"/>
                      <w:lang w:eastAsia="zh-CN"/>
                    </w:rPr>
                    <w:t>~</w:t>
                  </w:r>
                  <w:r>
                    <w:rPr>
                      <w:snapToGrid w:val="0"/>
                      <w:kern w:val="18"/>
                      <w:szCs w:val="21"/>
                    </w:rPr>
                    <w:t>9</w:t>
                  </w:r>
                </w:p>
              </w:tc>
            </w:tr>
            <w:tr w14:paraId="4E61E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19" w:hRule="exact"/>
                <w:jc w:val="center"/>
              </w:trPr>
              <w:tc>
                <w:tcPr>
                  <w:tcW w:w="585" w:type="pct"/>
                  <w:shd w:val="clear" w:color="auto" w:fill="auto"/>
                  <w:noWrap w:val="0"/>
                  <w:vAlign w:val="center"/>
                </w:tcPr>
                <w:p w14:paraId="752F7061">
                  <w:pPr>
                    <w:spacing w:line="340" w:lineRule="exact"/>
                    <w:jc w:val="center"/>
                    <w:rPr>
                      <w:snapToGrid w:val="0"/>
                      <w:kern w:val="18"/>
                      <w:szCs w:val="21"/>
                    </w:rPr>
                  </w:pPr>
                  <w:r>
                    <w:rPr>
                      <w:snapToGrid w:val="0"/>
                      <w:kern w:val="18"/>
                      <w:szCs w:val="21"/>
                    </w:rPr>
                    <w:t>2</w:t>
                  </w:r>
                </w:p>
              </w:tc>
              <w:tc>
                <w:tcPr>
                  <w:tcW w:w="1921" w:type="pct"/>
                  <w:shd w:val="clear" w:color="auto" w:fill="auto"/>
                  <w:noWrap w:val="0"/>
                  <w:vAlign w:val="center"/>
                </w:tcPr>
                <w:p w14:paraId="7DEB72C3">
                  <w:pPr>
                    <w:spacing w:line="340" w:lineRule="exact"/>
                    <w:jc w:val="center"/>
                    <w:rPr>
                      <w:snapToGrid w:val="0"/>
                      <w:kern w:val="18"/>
                      <w:szCs w:val="21"/>
                    </w:rPr>
                  </w:pPr>
                  <w:r>
                    <w:rPr>
                      <w:snapToGrid w:val="0"/>
                      <w:kern w:val="18"/>
                      <w:szCs w:val="21"/>
                    </w:rPr>
                    <w:t>DO≥</w:t>
                  </w:r>
                </w:p>
              </w:tc>
              <w:tc>
                <w:tcPr>
                  <w:tcW w:w="741" w:type="pct"/>
                  <w:shd w:val="clear" w:color="auto" w:fill="auto"/>
                  <w:noWrap w:val="0"/>
                  <w:vAlign w:val="center"/>
                </w:tcPr>
                <w:p w14:paraId="466BAB4E">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164CD429">
                  <w:pPr>
                    <w:spacing w:line="340" w:lineRule="exact"/>
                    <w:jc w:val="center"/>
                    <w:rPr>
                      <w:snapToGrid w:val="0"/>
                      <w:kern w:val="18"/>
                      <w:szCs w:val="21"/>
                    </w:rPr>
                  </w:pPr>
                  <w:r>
                    <w:rPr>
                      <w:snapToGrid w:val="0"/>
                      <w:kern w:val="18"/>
                      <w:szCs w:val="21"/>
                    </w:rPr>
                    <w:t>5</w:t>
                  </w:r>
                </w:p>
              </w:tc>
              <w:tc>
                <w:tcPr>
                  <w:tcW w:w="584" w:type="pct"/>
                  <w:shd w:val="clear" w:color="auto" w:fill="auto"/>
                  <w:noWrap w:val="0"/>
                  <w:vAlign w:val="center"/>
                </w:tcPr>
                <w:p w14:paraId="01385E5A">
                  <w:pPr>
                    <w:spacing w:line="340" w:lineRule="exact"/>
                    <w:jc w:val="center"/>
                    <w:rPr>
                      <w:snapToGrid w:val="0"/>
                      <w:kern w:val="18"/>
                      <w:szCs w:val="21"/>
                    </w:rPr>
                  </w:pPr>
                  <w:r>
                    <w:rPr>
                      <w:snapToGrid w:val="0"/>
                      <w:kern w:val="18"/>
                      <w:szCs w:val="21"/>
                    </w:rPr>
                    <w:t>3</w:t>
                  </w:r>
                </w:p>
              </w:tc>
              <w:tc>
                <w:tcPr>
                  <w:tcW w:w="583" w:type="pct"/>
                  <w:shd w:val="clear" w:color="auto" w:fill="D7D7D7" w:themeFill="background1" w:themeFillShade="D8"/>
                  <w:noWrap w:val="0"/>
                  <w:vAlign w:val="center"/>
                </w:tcPr>
                <w:p w14:paraId="2E5D60E6">
                  <w:pPr>
                    <w:spacing w:line="340" w:lineRule="exact"/>
                    <w:jc w:val="center"/>
                    <w:rPr>
                      <w:snapToGrid w:val="0"/>
                      <w:kern w:val="18"/>
                      <w:szCs w:val="21"/>
                    </w:rPr>
                  </w:pPr>
                  <w:r>
                    <w:rPr>
                      <w:snapToGrid w:val="0"/>
                      <w:kern w:val="18"/>
                      <w:szCs w:val="21"/>
                    </w:rPr>
                    <w:t>2</w:t>
                  </w:r>
                </w:p>
              </w:tc>
            </w:tr>
            <w:tr w14:paraId="2D738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09" w:hRule="exact"/>
                <w:jc w:val="center"/>
              </w:trPr>
              <w:tc>
                <w:tcPr>
                  <w:tcW w:w="585" w:type="pct"/>
                  <w:shd w:val="clear" w:color="auto" w:fill="auto"/>
                  <w:noWrap w:val="0"/>
                  <w:vAlign w:val="center"/>
                </w:tcPr>
                <w:p w14:paraId="7BEC337F">
                  <w:pPr>
                    <w:spacing w:line="340" w:lineRule="exact"/>
                    <w:jc w:val="center"/>
                    <w:rPr>
                      <w:snapToGrid w:val="0"/>
                      <w:kern w:val="18"/>
                      <w:szCs w:val="21"/>
                    </w:rPr>
                  </w:pPr>
                  <w:r>
                    <w:rPr>
                      <w:snapToGrid w:val="0"/>
                      <w:kern w:val="18"/>
                      <w:szCs w:val="21"/>
                    </w:rPr>
                    <w:t>3</w:t>
                  </w:r>
                </w:p>
              </w:tc>
              <w:tc>
                <w:tcPr>
                  <w:tcW w:w="1921" w:type="pct"/>
                  <w:shd w:val="clear" w:color="auto" w:fill="auto"/>
                  <w:noWrap w:val="0"/>
                  <w:vAlign w:val="center"/>
                </w:tcPr>
                <w:p w14:paraId="0EF52C38">
                  <w:pPr>
                    <w:spacing w:line="340" w:lineRule="exact"/>
                    <w:jc w:val="center"/>
                    <w:rPr>
                      <w:snapToGrid w:val="0"/>
                      <w:kern w:val="18"/>
                      <w:szCs w:val="21"/>
                    </w:rPr>
                  </w:pPr>
                  <w:r>
                    <w:rPr>
                      <w:snapToGrid w:val="0"/>
                      <w:kern w:val="18"/>
                      <w:szCs w:val="21"/>
                    </w:rPr>
                    <w:t>COD</w:t>
                  </w:r>
                  <w:r>
                    <w:rPr>
                      <w:snapToGrid w:val="0"/>
                      <w:kern w:val="18"/>
                      <w:szCs w:val="21"/>
                      <w:vertAlign w:val="subscript"/>
                    </w:rPr>
                    <w:t>Mn</w:t>
                  </w:r>
                  <w:r>
                    <w:rPr>
                      <w:snapToGrid w:val="0"/>
                      <w:kern w:val="18"/>
                      <w:szCs w:val="21"/>
                    </w:rPr>
                    <w:t>≤</w:t>
                  </w:r>
                </w:p>
              </w:tc>
              <w:tc>
                <w:tcPr>
                  <w:tcW w:w="741" w:type="pct"/>
                  <w:shd w:val="clear" w:color="auto" w:fill="auto"/>
                  <w:noWrap w:val="0"/>
                  <w:vAlign w:val="center"/>
                </w:tcPr>
                <w:p w14:paraId="30772968">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3678B590">
                  <w:pPr>
                    <w:spacing w:line="340" w:lineRule="exact"/>
                    <w:jc w:val="center"/>
                    <w:rPr>
                      <w:snapToGrid w:val="0"/>
                      <w:kern w:val="18"/>
                      <w:szCs w:val="21"/>
                    </w:rPr>
                  </w:pPr>
                  <w:r>
                    <w:rPr>
                      <w:snapToGrid w:val="0"/>
                      <w:kern w:val="18"/>
                      <w:szCs w:val="21"/>
                    </w:rPr>
                    <w:t>6</w:t>
                  </w:r>
                </w:p>
              </w:tc>
              <w:tc>
                <w:tcPr>
                  <w:tcW w:w="584" w:type="pct"/>
                  <w:shd w:val="clear" w:color="auto" w:fill="auto"/>
                  <w:noWrap w:val="0"/>
                  <w:vAlign w:val="center"/>
                </w:tcPr>
                <w:p w14:paraId="51C942B9">
                  <w:pPr>
                    <w:spacing w:line="340" w:lineRule="exact"/>
                    <w:jc w:val="center"/>
                    <w:rPr>
                      <w:snapToGrid w:val="0"/>
                      <w:kern w:val="18"/>
                      <w:szCs w:val="21"/>
                    </w:rPr>
                  </w:pPr>
                  <w:r>
                    <w:rPr>
                      <w:snapToGrid w:val="0"/>
                      <w:kern w:val="18"/>
                      <w:szCs w:val="21"/>
                    </w:rPr>
                    <w:t>10</w:t>
                  </w:r>
                </w:p>
              </w:tc>
              <w:tc>
                <w:tcPr>
                  <w:tcW w:w="583" w:type="pct"/>
                  <w:shd w:val="clear" w:color="auto" w:fill="D7D7D7" w:themeFill="background1" w:themeFillShade="D8"/>
                  <w:noWrap w:val="0"/>
                  <w:vAlign w:val="center"/>
                </w:tcPr>
                <w:p w14:paraId="665DDA66">
                  <w:pPr>
                    <w:spacing w:line="340" w:lineRule="exact"/>
                    <w:jc w:val="center"/>
                    <w:rPr>
                      <w:snapToGrid w:val="0"/>
                      <w:kern w:val="18"/>
                      <w:szCs w:val="21"/>
                    </w:rPr>
                  </w:pPr>
                  <w:r>
                    <w:rPr>
                      <w:snapToGrid w:val="0"/>
                      <w:kern w:val="18"/>
                      <w:szCs w:val="21"/>
                    </w:rPr>
                    <w:t>15</w:t>
                  </w:r>
                </w:p>
              </w:tc>
            </w:tr>
            <w:tr w14:paraId="3FD1B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72" w:hRule="exact"/>
                <w:jc w:val="center"/>
              </w:trPr>
              <w:tc>
                <w:tcPr>
                  <w:tcW w:w="585" w:type="pct"/>
                  <w:shd w:val="clear" w:color="auto" w:fill="auto"/>
                  <w:noWrap w:val="0"/>
                  <w:vAlign w:val="center"/>
                </w:tcPr>
                <w:p w14:paraId="6717F48B">
                  <w:pPr>
                    <w:spacing w:line="340" w:lineRule="exact"/>
                    <w:jc w:val="center"/>
                    <w:rPr>
                      <w:snapToGrid w:val="0"/>
                      <w:kern w:val="18"/>
                      <w:szCs w:val="21"/>
                    </w:rPr>
                  </w:pPr>
                  <w:r>
                    <w:rPr>
                      <w:snapToGrid w:val="0"/>
                      <w:kern w:val="18"/>
                      <w:szCs w:val="21"/>
                    </w:rPr>
                    <w:t>4</w:t>
                  </w:r>
                </w:p>
              </w:tc>
              <w:tc>
                <w:tcPr>
                  <w:tcW w:w="1921" w:type="pct"/>
                  <w:shd w:val="clear" w:color="auto" w:fill="auto"/>
                  <w:noWrap w:val="0"/>
                  <w:vAlign w:val="center"/>
                </w:tcPr>
                <w:p w14:paraId="158DE907">
                  <w:pPr>
                    <w:spacing w:line="340" w:lineRule="exact"/>
                    <w:jc w:val="center"/>
                    <w:rPr>
                      <w:snapToGrid w:val="0"/>
                      <w:kern w:val="18"/>
                      <w:szCs w:val="21"/>
                    </w:rPr>
                  </w:pPr>
                  <w:r>
                    <w:rPr>
                      <w:snapToGrid w:val="0"/>
                      <w:kern w:val="18"/>
                      <w:szCs w:val="21"/>
                    </w:rPr>
                    <w:t>BOD</w:t>
                  </w:r>
                  <w:r>
                    <w:rPr>
                      <w:snapToGrid w:val="0"/>
                      <w:kern w:val="18"/>
                      <w:szCs w:val="21"/>
                      <w:vertAlign w:val="subscript"/>
                    </w:rPr>
                    <w:t>5</w:t>
                  </w:r>
                  <w:r>
                    <w:rPr>
                      <w:snapToGrid w:val="0"/>
                      <w:kern w:val="18"/>
                      <w:szCs w:val="21"/>
                    </w:rPr>
                    <w:t>≤</w:t>
                  </w:r>
                </w:p>
              </w:tc>
              <w:tc>
                <w:tcPr>
                  <w:tcW w:w="741" w:type="pct"/>
                  <w:shd w:val="clear" w:color="auto" w:fill="auto"/>
                  <w:noWrap w:val="0"/>
                  <w:vAlign w:val="center"/>
                </w:tcPr>
                <w:p w14:paraId="3FB5685B">
                  <w:pPr>
                    <w:spacing w:line="340" w:lineRule="exact"/>
                    <w:jc w:val="center"/>
                    <w:rPr>
                      <w:snapToGrid w:val="0"/>
                      <w:kern w:val="18"/>
                      <w:szCs w:val="21"/>
                    </w:rPr>
                  </w:pPr>
                  <w:r>
                    <w:rPr>
                      <w:snapToGrid w:val="0"/>
                      <w:kern w:val="18"/>
                      <w:szCs w:val="21"/>
                    </w:rPr>
                    <w:t>3</w:t>
                  </w:r>
                </w:p>
              </w:tc>
              <w:tc>
                <w:tcPr>
                  <w:tcW w:w="584" w:type="pct"/>
                  <w:shd w:val="clear" w:color="auto" w:fill="auto"/>
                  <w:noWrap w:val="0"/>
                  <w:vAlign w:val="center"/>
                </w:tcPr>
                <w:p w14:paraId="7B04DDBC">
                  <w:pPr>
                    <w:spacing w:line="340" w:lineRule="exact"/>
                    <w:jc w:val="center"/>
                    <w:rPr>
                      <w:snapToGrid w:val="0"/>
                      <w:kern w:val="18"/>
                      <w:szCs w:val="21"/>
                    </w:rPr>
                  </w:pPr>
                  <w:r>
                    <w:rPr>
                      <w:snapToGrid w:val="0"/>
                      <w:kern w:val="18"/>
                      <w:szCs w:val="21"/>
                    </w:rPr>
                    <w:t>4</w:t>
                  </w:r>
                </w:p>
              </w:tc>
              <w:tc>
                <w:tcPr>
                  <w:tcW w:w="584" w:type="pct"/>
                  <w:shd w:val="clear" w:color="auto" w:fill="auto"/>
                  <w:noWrap w:val="0"/>
                  <w:vAlign w:val="center"/>
                </w:tcPr>
                <w:p w14:paraId="70C99B9B">
                  <w:pPr>
                    <w:spacing w:line="340" w:lineRule="exact"/>
                    <w:jc w:val="center"/>
                    <w:rPr>
                      <w:snapToGrid w:val="0"/>
                      <w:kern w:val="18"/>
                      <w:szCs w:val="21"/>
                    </w:rPr>
                  </w:pPr>
                  <w:r>
                    <w:rPr>
                      <w:snapToGrid w:val="0"/>
                      <w:kern w:val="18"/>
                      <w:szCs w:val="21"/>
                    </w:rPr>
                    <w:t>6</w:t>
                  </w:r>
                </w:p>
              </w:tc>
              <w:tc>
                <w:tcPr>
                  <w:tcW w:w="583" w:type="pct"/>
                  <w:shd w:val="clear" w:color="auto" w:fill="D7D7D7" w:themeFill="background1" w:themeFillShade="D8"/>
                  <w:noWrap w:val="0"/>
                  <w:vAlign w:val="center"/>
                </w:tcPr>
                <w:p w14:paraId="1B962334">
                  <w:pPr>
                    <w:spacing w:line="340" w:lineRule="exact"/>
                    <w:jc w:val="center"/>
                    <w:rPr>
                      <w:snapToGrid w:val="0"/>
                      <w:kern w:val="18"/>
                      <w:szCs w:val="21"/>
                    </w:rPr>
                  </w:pPr>
                  <w:r>
                    <w:rPr>
                      <w:snapToGrid w:val="0"/>
                      <w:kern w:val="18"/>
                      <w:szCs w:val="21"/>
                    </w:rPr>
                    <w:t>10</w:t>
                  </w:r>
                </w:p>
              </w:tc>
            </w:tr>
            <w:tr w14:paraId="7588AA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89" w:hRule="exact"/>
                <w:jc w:val="center"/>
              </w:trPr>
              <w:tc>
                <w:tcPr>
                  <w:tcW w:w="585" w:type="pct"/>
                  <w:shd w:val="clear" w:color="auto" w:fill="auto"/>
                  <w:noWrap w:val="0"/>
                  <w:vAlign w:val="center"/>
                </w:tcPr>
                <w:p w14:paraId="442B4CFF">
                  <w:pPr>
                    <w:spacing w:line="340" w:lineRule="exact"/>
                    <w:jc w:val="center"/>
                    <w:rPr>
                      <w:snapToGrid w:val="0"/>
                      <w:kern w:val="18"/>
                      <w:szCs w:val="21"/>
                    </w:rPr>
                  </w:pPr>
                  <w:r>
                    <w:rPr>
                      <w:snapToGrid w:val="0"/>
                      <w:kern w:val="18"/>
                      <w:szCs w:val="21"/>
                    </w:rPr>
                    <w:t>5</w:t>
                  </w:r>
                </w:p>
              </w:tc>
              <w:tc>
                <w:tcPr>
                  <w:tcW w:w="1921" w:type="pct"/>
                  <w:shd w:val="clear" w:color="auto" w:fill="auto"/>
                  <w:noWrap w:val="0"/>
                  <w:vAlign w:val="center"/>
                </w:tcPr>
                <w:p w14:paraId="2402AFBC">
                  <w:pPr>
                    <w:spacing w:line="340" w:lineRule="exact"/>
                    <w:jc w:val="center"/>
                    <w:rPr>
                      <w:snapToGrid w:val="0"/>
                      <w:kern w:val="18"/>
                      <w:szCs w:val="21"/>
                    </w:rPr>
                  </w:pPr>
                  <w:r>
                    <w:rPr>
                      <w:snapToGrid w:val="0"/>
                      <w:kern w:val="18"/>
                      <w:szCs w:val="21"/>
                    </w:rPr>
                    <w:t>COD</w:t>
                  </w:r>
                </w:p>
              </w:tc>
              <w:tc>
                <w:tcPr>
                  <w:tcW w:w="741" w:type="pct"/>
                  <w:shd w:val="clear" w:color="auto" w:fill="auto"/>
                  <w:noWrap w:val="0"/>
                  <w:vAlign w:val="center"/>
                </w:tcPr>
                <w:p w14:paraId="6ACCD7B3">
                  <w:pPr>
                    <w:spacing w:line="340" w:lineRule="exact"/>
                    <w:jc w:val="center"/>
                    <w:rPr>
                      <w:snapToGrid w:val="0"/>
                      <w:kern w:val="18"/>
                      <w:szCs w:val="21"/>
                    </w:rPr>
                  </w:pPr>
                  <w:r>
                    <w:rPr>
                      <w:snapToGrid w:val="0"/>
                      <w:kern w:val="18"/>
                      <w:szCs w:val="21"/>
                    </w:rPr>
                    <w:t>15</w:t>
                  </w:r>
                </w:p>
              </w:tc>
              <w:tc>
                <w:tcPr>
                  <w:tcW w:w="584" w:type="pct"/>
                  <w:shd w:val="clear" w:color="auto" w:fill="auto"/>
                  <w:noWrap w:val="0"/>
                  <w:vAlign w:val="center"/>
                </w:tcPr>
                <w:p w14:paraId="21649DE5">
                  <w:pPr>
                    <w:spacing w:line="340" w:lineRule="exact"/>
                    <w:jc w:val="center"/>
                    <w:rPr>
                      <w:snapToGrid w:val="0"/>
                      <w:kern w:val="18"/>
                      <w:szCs w:val="21"/>
                    </w:rPr>
                  </w:pPr>
                  <w:r>
                    <w:rPr>
                      <w:snapToGrid w:val="0"/>
                      <w:kern w:val="18"/>
                      <w:szCs w:val="21"/>
                    </w:rPr>
                    <w:t>20</w:t>
                  </w:r>
                </w:p>
              </w:tc>
              <w:tc>
                <w:tcPr>
                  <w:tcW w:w="584" w:type="pct"/>
                  <w:shd w:val="clear" w:color="auto" w:fill="auto"/>
                  <w:noWrap w:val="0"/>
                  <w:vAlign w:val="center"/>
                </w:tcPr>
                <w:p w14:paraId="7512AC30">
                  <w:pPr>
                    <w:spacing w:line="340" w:lineRule="exact"/>
                    <w:jc w:val="center"/>
                    <w:rPr>
                      <w:snapToGrid w:val="0"/>
                      <w:kern w:val="18"/>
                      <w:szCs w:val="21"/>
                    </w:rPr>
                  </w:pPr>
                  <w:r>
                    <w:rPr>
                      <w:snapToGrid w:val="0"/>
                      <w:kern w:val="18"/>
                      <w:szCs w:val="21"/>
                    </w:rPr>
                    <w:t>30</w:t>
                  </w:r>
                </w:p>
              </w:tc>
              <w:tc>
                <w:tcPr>
                  <w:tcW w:w="583" w:type="pct"/>
                  <w:shd w:val="clear" w:color="auto" w:fill="D7D7D7" w:themeFill="background1" w:themeFillShade="D8"/>
                  <w:noWrap w:val="0"/>
                  <w:vAlign w:val="center"/>
                </w:tcPr>
                <w:p w14:paraId="13E9BD8B">
                  <w:pPr>
                    <w:spacing w:line="340" w:lineRule="exact"/>
                    <w:jc w:val="center"/>
                    <w:rPr>
                      <w:snapToGrid w:val="0"/>
                      <w:kern w:val="18"/>
                      <w:szCs w:val="21"/>
                    </w:rPr>
                  </w:pPr>
                  <w:r>
                    <w:rPr>
                      <w:snapToGrid w:val="0"/>
                      <w:kern w:val="18"/>
                      <w:szCs w:val="21"/>
                    </w:rPr>
                    <w:t>40</w:t>
                  </w:r>
                </w:p>
              </w:tc>
            </w:tr>
            <w:tr w14:paraId="0561AE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67" w:hRule="exact"/>
                <w:jc w:val="center"/>
              </w:trPr>
              <w:tc>
                <w:tcPr>
                  <w:tcW w:w="585" w:type="pct"/>
                  <w:shd w:val="clear" w:color="auto" w:fill="auto"/>
                  <w:noWrap w:val="0"/>
                  <w:vAlign w:val="center"/>
                </w:tcPr>
                <w:p w14:paraId="3611740A">
                  <w:pPr>
                    <w:spacing w:line="340" w:lineRule="exact"/>
                    <w:jc w:val="center"/>
                    <w:rPr>
                      <w:snapToGrid w:val="0"/>
                      <w:kern w:val="18"/>
                      <w:szCs w:val="21"/>
                    </w:rPr>
                  </w:pPr>
                  <w:r>
                    <w:rPr>
                      <w:snapToGrid w:val="0"/>
                      <w:kern w:val="18"/>
                      <w:szCs w:val="21"/>
                    </w:rPr>
                    <w:t>6</w:t>
                  </w:r>
                </w:p>
              </w:tc>
              <w:tc>
                <w:tcPr>
                  <w:tcW w:w="1921" w:type="pct"/>
                  <w:shd w:val="clear" w:color="auto" w:fill="auto"/>
                  <w:noWrap w:val="0"/>
                  <w:vAlign w:val="center"/>
                </w:tcPr>
                <w:p w14:paraId="5E1FD74E">
                  <w:pPr>
                    <w:spacing w:line="340" w:lineRule="exact"/>
                    <w:jc w:val="center"/>
                    <w:rPr>
                      <w:snapToGrid w:val="0"/>
                      <w:kern w:val="18"/>
                      <w:szCs w:val="21"/>
                    </w:rPr>
                  </w:pPr>
                  <w:r>
                    <w:rPr>
                      <w:snapToGrid w:val="0"/>
                      <w:kern w:val="18"/>
                      <w:szCs w:val="21"/>
                    </w:rPr>
                    <w:t>NH</w:t>
                  </w:r>
                  <w:r>
                    <w:rPr>
                      <w:snapToGrid w:val="0"/>
                      <w:kern w:val="18"/>
                      <w:szCs w:val="21"/>
                      <w:vertAlign w:val="subscript"/>
                    </w:rPr>
                    <w:t>3</w:t>
                  </w:r>
                  <w:r>
                    <w:rPr>
                      <w:snapToGrid w:val="0"/>
                      <w:kern w:val="18"/>
                      <w:szCs w:val="21"/>
                    </w:rPr>
                    <w:t>-N≤</w:t>
                  </w:r>
                </w:p>
              </w:tc>
              <w:tc>
                <w:tcPr>
                  <w:tcW w:w="741" w:type="pct"/>
                  <w:shd w:val="clear" w:color="auto" w:fill="auto"/>
                  <w:noWrap w:val="0"/>
                  <w:vAlign w:val="center"/>
                </w:tcPr>
                <w:p w14:paraId="13BD5803">
                  <w:pPr>
                    <w:spacing w:line="340" w:lineRule="exact"/>
                    <w:jc w:val="center"/>
                    <w:rPr>
                      <w:snapToGrid w:val="0"/>
                      <w:kern w:val="18"/>
                      <w:szCs w:val="21"/>
                    </w:rPr>
                  </w:pPr>
                  <w:r>
                    <w:rPr>
                      <w:snapToGrid w:val="0"/>
                      <w:kern w:val="18"/>
                      <w:szCs w:val="21"/>
                    </w:rPr>
                    <w:t>0.5</w:t>
                  </w:r>
                </w:p>
              </w:tc>
              <w:tc>
                <w:tcPr>
                  <w:tcW w:w="584" w:type="pct"/>
                  <w:shd w:val="clear" w:color="auto" w:fill="auto"/>
                  <w:noWrap w:val="0"/>
                  <w:vAlign w:val="center"/>
                </w:tcPr>
                <w:p w14:paraId="10C36085">
                  <w:pPr>
                    <w:spacing w:line="340" w:lineRule="exact"/>
                    <w:jc w:val="center"/>
                    <w:rPr>
                      <w:snapToGrid w:val="0"/>
                      <w:kern w:val="18"/>
                      <w:szCs w:val="21"/>
                    </w:rPr>
                  </w:pPr>
                  <w:r>
                    <w:rPr>
                      <w:snapToGrid w:val="0"/>
                      <w:kern w:val="18"/>
                      <w:szCs w:val="21"/>
                    </w:rPr>
                    <w:t>1.0</w:t>
                  </w:r>
                </w:p>
              </w:tc>
              <w:tc>
                <w:tcPr>
                  <w:tcW w:w="584" w:type="pct"/>
                  <w:shd w:val="clear" w:color="auto" w:fill="auto"/>
                  <w:noWrap w:val="0"/>
                  <w:vAlign w:val="center"/>
                </w:tcPr>
                <w:p w14:paraId="52C31124">
                  <w:pPr>
                    <w:spacing w:line="340" w:lineRule="exact"/>
                    <w:jc w:val="center"/>
                    <w:rPr>
                      <w:snapToGrid w:val="0"/>
                      <w:kern w:val="18"/>
                      <w:szCs w:val="21"/>
                    </w:rPr>
                  </w:pPr>
                  <w:r>
                    <w:rPr>
                      <w:snapToGrid w:val="0"/>
                      <w:kern w:val="18"/>
                      <w:szCs w:val="21"/>
                    </w:rPr>
                    <w:t>1.5</w:t>
                  </w:r>
                </w:p>
              </w:tc>
              <w:tc>
                <w:tcPr>
                  <w:tcW w:w="583" w:type="pct"/>
                  <w:shd w:val="clear" w:color="auto" w:fill="D7D7D7" w:themeFill="background1" w:themeFillShade="D8"/>
                  <w:noWrap w:val="0"/>
                  <w:vAlign w:val="center"/>
                </w:tcPr>
                <w:p w14:paraId="42BE0B03">
                  <w:pPr>
                    <w:spacing w:line="340" w:lineRule="exact"/>
                    <w:jc w:val="center"/>
                    <w:rPr>
                      <w:snapToGrid w:val="0"/>
                      <w:kern w:val="18"/>
                      <w:szCs w:val="21"/>
                    </w:rPr>
                  </w:pPr>
                  <w:r>
                    <w:rPr>
                      <w:snapToGrid w:val="0"/>
                      <w:kern w:val="18"/>
                      <w:szCs w:val="21"/>
                    </w:rPr>
                    <w:t>2.0</w:t>
                  </w:r>
                </w:p>
              </w:tc>
            </w:tr>
          </w:tbl>
          <w:p w14:paraId="73E4C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68" w:name="_Toc4828"/>
            <w:bookmarkStart w:id="69" w:name="_Toc7544"/>
            <w:r>
              <w:rPr>
                <w:rFonts w:hint="eastAsia" w:ascii="Times New Roman" w:hAnsi="Times New Roman" w:eastAsia="宋体" w:cs="Times New Roman"/>
                <w:b/>
                <w:bCs/>
                <w:color w:val="auto"/>
                <w:sz w:val="24"/>
                <w:szCs w:val="24"/>
                <w:u w:val="none"/>
                <w:lang w:val="en-US" w:eastAsia="zh-CN"/>
              </w:rPr>
              <w:t>3.2.2地表水环境质量现状</w:t>
            </w:r>
            <w:bookmarkEnd w:id="68"/>
            <w:bookmarkEnd w:id="69"/>
          </w:p>
          <w:p w14:paraId="425F205E">
            <w:pPr>
              <w:widowControl/>
              <w:spacing w:line="360" w:lineRule="auto"/>
              <w:ind w:firstLine="480" w:firstLineChars="200"/>
              <w:jc w:val="left"/>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①环境质量现状：</w:t>
            </w:r>
            <w:r>
              <w:rPr>
                <w:rFonts w:hint="default" w:ascii="Times New Roman" w:hAnsi="Times New Roman" w:eastAsia="宋体" w:cs="Times New Roman"/>
                <w:color w:val="auto"/>
                <w:sz w:val="24"/>
                <w:szCs w:val="22"/>
                <w:highlight w:val="none"/>
                <w:lang w:val="en-US" w:eastAsia="zh-CN"/>
              </w:rPr>
              <w:t>为了解项目地表水水质环境质量现状，根据《福建省流域水环境质量状况（202</w:t>
            </w:r>
            <w:r>
              <w:rPr>
                <w:rFonts w:hint="eastAsia" w:ascii="Times New Roman" w:hAnsi="Times New Roman" w:eastAsia="宋体" w:cs="Times New Roman"/>
                <w:color w:val="auto"/>
                <w:sz w:val="24"/>
                <w:szCs w:val="22"/>
                <w:highlight w:val="none"/>
                <w:lang w:val="en-US" w:eastAsia="zh-CN"/>
              </w:rPr>
              <w:t>4年</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https://sthjt.fujian.gov.cn/zwgk/sjfb/hjsj/qshjzljtb/202502/t20250208_6712426.htm</w:t>
            </w:r>
            <w:r>
              <w:rPr>
                <w:rFonts w:hint="default"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szCs w:val="22"/>
                <w:highlight w:val="none"/>
                <w:lang w:val="en-US" w:eastAsia="zh-CN"/>
              </w:rPr>
              <w:t>显示：</w:t>
            </w:r>
            <w:r>
              <w:rPr>
                <w:rFonts w:hint="default" w:ascii="Times New Roman" w:hAnsi="Times New Roman" w:eastAsia="宋体" w:cs="Times New Roman"/>
                <w:color w:val="auto"/>
                <w:sz w:val="24"/>
                <w:szCs w:val="22"/>
                <w:highlight w:val="none"/>
                <w:lang w:val="en-US" w:eastAsia="zh-CN"/>
              </w:rPr>
              <w:t>2024年，全省主要流域总体水质为优，国控断面Ⅰ～Ⅲ类水质比例100％，Ⅰ～Ⅱ类水质比例77.1</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；国控及省控断面Ⅰ～Ⅲ类水质比例99.7</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，其中Ⅰ～Ⅱ类水质比例80.0</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，各类水质比例如下：Ⅰ类占2.4</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，Ⅱ类占77.6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，Ⅲ类占19.7</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，Ⅳ类占0.3</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，无Ⅴ类和劣Ⅴ类水。</w:t>
            </w:r>
          </w:p>
          <w:p w14:paraId="02324AA1">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2"/>
                <w:highlight w:val="none"/>
                <w:lang w:val="en-US" w:eastAsia="zh-CN"/>
              </w:rPr>
              <w:t>2024年，福建省主要流域总体水质从相对较好开始排序，具体为：闽江、交溪、九龙江、汀江（韩江）、霍童溪、晋江、萩芦溪、东西溪、木兰溪、敖江、漳江、诏安东溪、鹿溪、龙江。</w:t>
            </w:r>
            <w:r>
              <w:rPr>
                <w:rFonts w:hint="eastAsia" w:ascii="Times New Roman" w:hAnsi="Times New Roman" w:eastAsia="宋体" w:cs="Times New Roman"/>
                <w:color w:val="auto"/>
                <w:sz w:val="24"/>
                <w:highlight w:val="none"/>
                <w:lang w:val="en-US" w:eastAsia="zh-CN"/>
              </w:rPr>
              <w:t>（详见图3.2-1）</w:t>
            </w:r>
          </w:p>
          <w:p w14:paraId="6679B9C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rPr>
                <w:color w:val="auto"/>
                <w:highlight w:val="none"/>
              </w:rPr>
              <w:drawing>
                <wp:inline distT="0" distB="0" distL="114300" distR="114300">
                  <wp:extent cx="5431155" cy="4745990"/>
                  <wp:effectExtent l="0" t="0" r="17145" b="16510"/>
                  <wp:docPr id="1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
                          <pic:cNvPicPr>
                            <a:picLocks noChangeAspect="1"/>
                          </pic:cNvPicPr>
                        </pic:nvPicPr>
                        <pic:blipFill>
                          <a:blip r:embed="rId22"/>
                          <a:stretch>
                            <a:fillRect/>
                          </a:stretch>
                        </pic:blipFill>
                        <pic:spPr>
                          <a:xfrm>
                            <a:off x="0" y="0"/>
                            <a:ext cx="5431155" cy="4745990"/>
                          </a:xfrm>
                          <a:prstGeom prst="rect">
                            <a:avLst/>
                          </a:prstGeom>
                          <a:noFill/>
                          <a:ln>
                            <a:noFill/>
                          </a:ln>
                        </pic:spPr>
                      </pic:pic>
                    </a:graphicData>
                  </a:graphic>
                </wp:inline>
              </w:drawing>
            </w:r>
          </w:p>
          <w:p w14:paraId="4B2FE36D">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cs="Times New Roman"/>
                <w:b/>
                <w:bCs w:val="0"/>
                <w:color w:val="auto"/>
                <w:sz w:val="24"/>
                <w:szCs w:val="24"/>
                <w:lang w:val="en-US" w:eastAsia="zh-CN"/>
              </w:rPr>
            </w:pPr>
            <w:bookmarkStart w:id="70"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w:t>
            </w:r>
            <w:r>
              <w:rPr>
                <w:rFonts w:hint="eastAsia" w:ascii="Times New Roman" w:hAnsi="Times New Roman" w:eastAsia="宋体" w:cs="Times New Roman"/>
                <w:b/>
                <w:bCs w:val="0"/>
                <w:color w:val="auto"/>
                <w:sz w:val="24"/>
                <w:szCs w:val="24"/>
                <w:lang w:val="en-US" w:eastAsia="zh-CN"/>
              </w:rPr>
              <w:t xml:space="preserve">  </w:t>
            </w:r>
            <w:r>
              <w:rPr>
                <w:rFonts w:hint="eastAsia" w:cs="Times New Roman"/>
                <w:b/>
                <w:bCs w:val="0"/>
                <w:color w:val="auto"/>
                <w:sz w:val="24"/>
                <w:szCs w:val="24"/>
                <w:lang w:val="en-US" w:eastAsia="zh-CN"/>
              </w:rPr>
              <w:t>福建省流域水环境质量状况（2024年）截图</w:t>
            </w:r>
            <w:bookmarkEnd w:id="70"/>
          </w:p>
          <w:p w14:paraId="0FB4193D">
            <w:pPr>
              <w:pStyle w:val="39"/>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outlineLvl w:val="9"/>
              <w:rPr>
                <w:rFonts w:hint="default" w:cs="Times New Roman"/>
                <w:b/>
                <w:bCs w:val="0"/>
                <w:color w:val="auto"/>
                <w:sz w:val="24"/>
                <w:szCs w:val="24"/>
                <w:lang w:val="en-US" w:eastAsia="zh-CN"/>
              </w:rPr>
            </w:pPr>
            <w:r>
              <w:rPr>
                <w:color w:val="auto"/>
                <w:highlight w:val="none"/>
              </w:rPr>
              <w:drawing>
                <wp:inline distT="0" distB="0" distL="114300" distR="114300">
                  <wp:extent cx="5414010" cy="4192905"/>
                  <wp:effectExtent l="0" t="0" r="15240" b="17145"/>
                  <wp:docPr id="1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pic:cNvPicPr>
                            <a:picLocks noChangeAspect="1"/>
                          </pic:cNvPicPr>
                        </pic:nvPicPr>
                        <pic:blipFill>
                          <a:blip r:embed="rId23"/>
                          <a:stretch>
                            <a:fillRect/>
                          </a:stretch>
                        </pic:blipFill>
                        <pic:spPr>
                          <a:xfrm>
                            <a:off x="0" y="0"/>
                            <a:ext cx="5414010" cy="4192905"/>
                          </a:xfrm>
                          <a:prstGeom prst="rect">
                            <a:avLst/>
                          </a:prstGeom>
                          <a:noFill/>
                          <a:ln>
                            <a:noFill/>
                          </a:ln>
                        </pic:spPr>
                      </pic:pic>
                    </a:graphicData>
                  </a:graphic>
                </wp:inline>
              </w:drawing>
            </w:r>
          </w:p>
          <w:p w14:paraId="181969EF">
            <w:pPr>
              <w:pStyle w:val="39"/>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ascii="Times New Roman" w:hAnsi="Times New Roman" w:eastAsia="宋体" w:cs="Times New Roman"/>
                <w:b/>
                <w:bCs w:val="0"/>
                <w:color w:val="auto"/>
                <w:sz w:val="24"/>
                <w:szCs w:val="24"/>
                <w:lang w:val="zh-CN" w:eastAsia="zh-CN"/>
              </w:rPr>
            </w:pPr>
            <w:r>
              <w:rPr>
                <w:rFonts w:hint="eastAsia" w:ascii="Times New Roman" w:hAnsi="Times New Roman" w:eastAsia="宋体" w:cs="Times New Roman"/>
                <w:b/>
                <w:bCs w:val="0"/>
                <w:color w:val="auto"/>
                <w:sz w:val="24"/>
                <w:szCs w:val="24"/>
                <w:lang w:val="zh-CN" w:eastAsia="zh-CN"/>
              </w:rPr>
              <w:t>图3.</w:t>
            </w:r>
            <w:r>
              <w:rPr>
                <w:rFonts w:hint="eastAsia" w:ascii="Times New Roman" w:hAnsi="Times New Roman" w:eastAsia="宋体" w:cs="Times New Roman"/>
                <w:b/>
                <w:bCs w:val="0"/>
                <w:color w:val="auto"/>
                <w:sz w:val="24"/>
                <w:szCs w:val="24"/>
                <w:lang w:val="en-US" w:eastAsia="zh-CN"/>
              </w:rPr>
              <w:t xml:space="preserve">2-2 </w:t>
            </w:r>
            <w:r>
              <w:rPr>
                <w:rFonts w:hint="eastAsia" w:ascii="Times New Roman" w:hAnsi="Times New Roman" w:eastAsia="宋体" w:cs="Times New Roman"/>
                <w:b/>
                <w:bCs w:val="0"/>
                <w:color w:val="auto"/>
                <w:sz w:val="24"/>
                <w:szCs w:val="24"/>
                <w:lang w:val="zh-CN" w:eastAsia="zh-CN"/>
              </w:rPr>
              <w:t>福建省地表水水质状况排序（2024年）截图</w:t>
            </w:r>
          </w:p>
          <w:p w14:paraId="126AD857">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w:t>
            </w:r>
            <w:r>
              <w:rPr>
                <w:rFonts w:hint="eastAsia" w:cs="Times New Roman"/>
                <w:color w:val="auto"/>
                <w:sz w:val="24"/>
                <w:szCs w:val="24"/>
                <w:highlight w:val="none"/>
                <w:lang w:val="en-US" w:eastAsia="zh-CN"/>
              </w:rPr>
              <w:t>所产生的生产废水均循环使用</w:t>
            </w:r>
            <w:r>
              <w:rPr>
                <w:rFonts w:hint="default" w:ascii="Times New Roman" w:hAnsi="Times New Roman" w:eastAsia="宋体" w:cs="Times New Roman"/>
                <w:color w:val="auto"/>
                <w:sz w:val="24"/>
                <w:szCs w:val="24"/>
                <w:highlight w:val="none"/>
                <w:lang w:eastAsia="zh-CN"/>
              </w:rPr>
              <w:t>，不外排。生活污水经化粪池处理后排入市政污水管网，送往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污水处理厂</w:t>
            </w:r>
            <w:r>
              <w:rPr>
                <w:rFonts w:hint="default" w:ascii="Times New Roman" w:hAnsi="Times New Roman" w:eastAsia="宋体"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断面</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5406193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5193CEAC">
            <w:pPr>
              <w:pStyle w:val="35"/>
              <w:keepNext w:val="0"/>
              <w:keepLines w:val="0"/>
              <w:pageBreakBefore w:val="0"/>
              <w:kinsoku/>
              <w:wordWrap/>
              <w:overflowPunct/>
              <w:topLinePunct w:val="0"/>
              <w:bidi w:val="0"/>
              <w:spacing w:line="360" w:lineRule="auto"/>
              <w:ind w:firstLine="480"/>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。本评价引用福建省生态环境厅网站发布地表水水质环境质量现状进行分析，符合《建设项目环境影响报告表编制技术指南（污染影响类）（试行）》（环办环评〔2020〕33号）的要求。</w:t>
            </w:r>
          </w:p>
          <w:p w14:paraId="64B0FE7F">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1" w:name="_Toc27787"/>
            <w:bookmarkStart w:id="72" w:name="_Toc28916"/>
            <w:r>
              <w:rPr>
                <w:rFonts w:hint="eastAsia" w:ascii="Times New Roman" w:hAnsi="Times New Roman" w:eastAsia="宋体" w:cs="Times New Roman"/>
                <w:color w:val="auto"/>
                <w:sz w:val="28"/>
                <w:szCs w:val="28"/>
                <w:u w:val="none"/>
                <w:lang w:val="en-US" w:eastAsia="zh-CN"/>
              </w:rPr>
              <w:t>3.3声环境质量现状</w:t>
            </w:r>
            <w:bookmarkEnd w:id="71"/>
            <w:bookmarkEnd w:id="72"/>
          </w:p>
          <w:p w14:paraId="07921D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73" w:name="_Toc28348"/>
            <w:bookmarkStart w:id="74" w:name="_Toc17156"/>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73"/>
            <w:bookmarkEnd w:id="74"/>
          </w:p>
          <w:p w14:paraId="29FE6FEA">
            <w:pPr>
              <w:widowControl/>
              <w:spacing w:line="360" w:lineRule="auto"/>
              <w:ind w:firstLine="480" w:firstLineChars="200"/>
              <w:jc w:val="left"/>
              <w:rPr>
                <w:sz w:val="24"/>
              </w:rPr>
            </w:pP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sz w:val="24"/>
              </w:rPr>
              <w:t>。</w:t>
            </w:r>
          </w:p>
          <w:p w14:paraId="2C9C244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 《声环境质量标准》（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535"/>
              <w:gridCol w:w="852"/>
              <w:gridCol w:w="759"/>
            </w:tblGrid>
            <w:tr w14:paraId="08F3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8" w:hRule="atLeast"/>
                <w:tblHeader/>
              </w:trPr>
              <w:tc>
                <w:tcPr>
                  <w:tcW w:w="811" w:type="pct"/>
                  <w:noWrap w:val="0"/>
                  <w:vAlign w:val="center"/>
                </w:tcPr>
                <w:p w14:paraId="52564316">
                  <w:pPr>
                    <w:jc w:val="center"/>
                    <w:rPr>
                      <w:szCs w:val="21"/>
                    </w:rPr>
                  </w:pPr>
                  <w:r>
                    <w:rPr>
                      <w:szCs w:val="21"/>
                    </w:rPr>
                    <w:t>类别</w:t>
                  </w:r>
                </w:p>
              </w:tc>
              <w:tc>
                <w:tcPr>
                  <w:tcW w:w="3243" w:type="pct"/>
                  <w:noWrap w:val="0"/>
                  <w:vAlign w:val="center"/>
                </w:tcPr>
                <w:p w14:paraId="20AB74F7">
                  <w:pPr>
                    <w:jc w:val="center"/>
                    <w:rPr>
                      <w:szCs w:val="21"/>
                    </w:rPr>
                  </w:pPr>
                  <w:r>
                    <w:rPr>
                      <w:szCs w:val="21"/>
                    </w:rPr>
                    <w:t>适用区域</w:t>
                  </w:r>
                </w:p>
              </w:tc>
              <w:tc>
                <w:tcPr>
                  <w:tcW w:w="499" w:type="pct"/>
                  <w:noWrap w:val="0"/>
                  <w:vAlign w:val="center"/>
                </w:tcPr>
                <w:p w14:paraId="40CAF3BB">
                  <w:pPr>
                    <w:jc w:val="center"/>
                    <w:rPr>
                      <w:szCs w:val="21"/>
                    </w:rPr>
                  </w:pPr>
                  <w:r>
                    <w:rPr>
                      <w:szCs w:val="21"/>
                    </w:rPr>
                    <w:t>昼间</w:t>
                  </w:r>
                </w:p>
              </w:tc>
              <w:tc>
                <w:tcPr>
                  <w:tcW w:w="445" w:type="pct"/>
                  <w:noWrap w:val="0"/>
                  <w:vAlign w:val="center"/>
                </w:tcPr>
                <w:p w14:paraId="263B0BE6">
                  <w:pPr>
                    <w:jc w:val="center"/>
                    <w:rPr>
                      <w:szCs w:val="21"/>
                    </w:rPr>
                  </w:pPr>
                  <w:r>
                    <w:rPr>
                      <w:szCs w:val="21"/>
                    </w:rPr>
                    <w:t>夜间</w:t>
                  </w:r>
                </w:p>
              </w:tc>
            </w:tr>
            <w:tr w14:paraId="7798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2" w:hRule="atLeast"/>
              </w:trPr>
              <w:tc>
                <w:tcPr>
                  <w:tcW w:w="811" w:type="pct"/>
                  <w:noWrap w:val="0"/>
                  <w:vAlign w:val="center"/>
                </w:tcPr>
                <w:p w14:paraId="43BFA7A4">
                  <w:pPr>
                    <w:jc w:val="center"/>
                    <w:rPr>
                      <w:szCs w:val="21"/>
                    </w:rPr>
                  </w:pPr>
                  <w:r>
                    <w:rPr>
                      <w:rFonts w:hint="eastAsia"/>
                      <w:szCs w:val="21"/>
                    </w:rPr>
                    <w:t>3</w:t>
                  </w:r>
                  <w:r>
                    <w:rPr>
                      <w:szCs w:val="21"/>
                    </w:rPr>
                    <w:t>类</w:t>
                  </w:r>
                </w:p>
              </w:tc>
              <w:tc>
                <w:tcPr>
                  <w:tcW w:w="3243" w:type="pct"/>
                  <w:noWrap w:val="0"/>
                  <w:vAlign w:val="center"/>
                </w:tcPr>
                <w:p w14:paraId="22BB0B0B">
                  <w:pPr>
                    <w:jc w:val="center"/>
                    <w:rPr>
                      <w:szCs w:val="21"/>
                    </w:rPr>
                  </w:pPr>
                  <w:r>
                    <w:rPr>
                      <w:szCs w:val="21"/>
                    </w:rPr>
                    <w:t>以工业生产、仓储物流为主要功能，需要防止工业噪声对周围环境产生严重影响的区域</w:t>
                  </w:r>
                </w:p>
              </w:tc>
              <w:tc>
                <w:tcPr>
                  <w:tcW w:w="499" w:type="pct"/>
                  <w:noWrap w:val="0"/>
                  <w:vAlign w:val="center"/>
                </w:tcPr>
                <w:p w14:paraId="099CB0AE">
                  <w:pPr>
                    <w:jc w:val="center"/>
                    <w:rPr>
                      <w:rFonts w:hint="eastAsia"/>
                      <w:szCs w:val="21"/>
                    </w:rPr>
                  </w:pPr>
                  <w:r>
                    <w:rPr>
                      <w:rFonts w:hint="eastAsia"/>
                      <w:szCs w:val="21"/>
                      <w:lang w:val="en-US" w:eastAsia="zh-CN"/>
                    </w:rPr>
                    <w:t>≤</w:t>
                  </w:r>
                  <w:r>
                    <w:rPr>
                      <w:szCs w:val="21"/>
                    </w:rPr>
                    <w:t>6</w:t>
                  </w:r>
                  <w:r>
                    <w:rPr>
                      <w:rFonts w:hint="eastAsia"/>
                      <w:szCs w:val="21"/>
                    </w:rPr>
                    <w:t>5</w:t>
                  </w:r>
                </w:p>
              </w:tc>
              <w:tc>
                <w:tcPr>
                  <w:tcW w:w="445" w:type="pct"/>
                  <w:noWrap w:val="0"/>
                  <w:vAlign w:val="center"/>
                </w:tcPr>
                <w:p w14:paraId="0D17D597">
                  <w:pPr>
                    <w:jc w:val="center"/>
                    <w:rPr>
                      <w:rFonts w:hint="eastAsia"/>
                      <w:szCs w:val="21"/>
                    </w:rPr>
                  </w:pPr>
                  <w:r>
                    <w:rPr>
                      <w:rFonts w:hint="eastAsia"/>
                      <w:szCs w:val="21"/>
                      <w:lang w:val="en-US" w:eastAsia="zh-CN"/>
                    </w:rPr>
                    <w:t>≤</w:t>
                  </w:r>
                  <w:r>
                    <w:rPr>
                      <w:szCs w:val="21"/>
                    </w:rPr>
                    <w:t>5</w:t>
                  </w:r>
                  <w:r>
                    <w:rPr>
                      <w:rFonts w:hint="eastAsia"/>
                      <w:szCs w:val="21"/>
                    </w:rPr>
                    <w:t>5</w:t>
                  </w:r>
                </w:p>
              </w:tc>
            </w:tr>
          </w:tbl>
          <w:p w14:paraId="3F9B5B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75" w:name="_Toc20954"/>
            <w:bookmarkStart w:id="76" w:name="_Toc17846"/>
            <w:r>
              <w:rPr>
                <w:rFonts w:hint="eastAsia" w:ascii="Times New Roman" w:hAnsi="Times New Roman" w:eastAsia="宋体" w:cs="Times New Roman"/>
                <w:b/>
                <w:bCs/>
                <w:color w:val="auto"/>
                <w:sz w:val="24"/>
                <w:szCs w:val="24"/>
                <w:u w:val="none"/>
                <w:lang w:val="en-US" w:eastAsia="zh-CN"/>
              </w:rPr>
              <w:t>3.3.2声环境质量现状</w:t>
            </w:r>
            <w:bookmarkEnd w:id="75"/>
            <w:bookmarkEnd w:id="76"/>
          </w:p>
          <w:p w14:paraId="04FE6B5B">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098745">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00F16D4E">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7" w:name="_Toc25881"/>
            <w:bookmarkStart w:id="78" w:name="_Toc30638"/>
            <w:r>
              <w:rPr>
                <w:rFonts w:hint="eastAsia" w:ascii="Times New Roman" w:hAnsi="Times New Roman" w:eastAsia="宋体" w:cs="Times New Roman"/>
                <w:color w:val="auto"/>
                <w:sz w:val="28"/>
                <w:szCs w:val="28"/>
                <w:u w:val="none"/>
                <w:lang w:val="en-US" w:eastAsia="zh-CN"/>
              </w:rPr>
              <w:t>3.4生态环境</w:t>
            </w:r>
            <w:bookmarkEnd w:id="77"/>
            <w:bookmarkEnd w:id="78"/>
          </w:p>
          <w:p w14:paraId="7FE4E1FA">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本项目购买已建厂房作为生产经营场所，未新增土地用地面积，</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70D4855">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9" w:name="_Toc1426"/>
            <w:bookmarkStart w:id="80" w:name="_Toc18566"/>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79"/>
            <w:bookmarkEnd w:id="80"/>
          </w:p>
          <w:p w14:paraId="1E03A132">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05DFECF7">
            <w:pPr>
              <w:widowControl/>
              <w:spacing w:line="360" w:lineRule="auto"/>
              <w:ind w:firstLine="480" w:firstLineChars="200"/>
              <w:jc w:val="left"/>
              <w:rPr>
                <w:rFonts w:hint="eastAsia"/>
                <w:vertAlign w:val="baseline"/>
                <w:lang w:eastAsia="zh-CN"/>
              </w:rPr>
            </w:pPr>
            <w:r>
              <w:rPr>
                <w:rFonts w:hint="eastAsia" w:ascii="Times New Roman" w:hAnsi="Times New Roman" w:eastAsia="宋体" w:cs="Times New Roman"/>
                <w:color w:val="auto"/>
                <w:kern w:val="0"/>
                <w:sz w:val="24"/>
                <w:szCs w:val="28"/>
                <w:highlight w:val="none"/>
                <w:lang w:val="en-US" w:eastAsia="zh-CN" w:bidi="ar-SA"/>
              </w:rPr>
              <w:t>本项目购买已建厂房作为生产经营场所，根据调查，项目厂区车间地面全部硬化，生产过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5F0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7" w:hRule="atLeast"/>
        </w:trPr>
        <w:tc>
          <w:tcPr>
            <w:tcW w:w="456" w:type="dxa"/>
            <w:vAlign w:val="center"/>
          </w:tcPr>
          <w:p w14:paraId="6F7748B8">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6BCD398D">
            <w:pPr>
              <w:pStyle w:val="46"/>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81" w:name="_Toc3574"/>
            <w:bookmarkStart w:id="82" w:name="_Toc15022"/>
            <w:r>
              <w:rPr>
                <w:color w:val="auto"/>
                <w:szCs w:val="28"/>
              </w:rPr>
              <w:t>3.</w:t>
            </w:r>
            <w:r>
              <w:rPr>
                <w:rFonts w:hint="eastAsia"/>
                <w:color w:val="auto"/>
                <w:szCs w:val="28"/>
                <w:lang w:val="en-US" w:eastAsia="zh-CN"/>
              </w:rPr>
              <w:t>6</w:t>
            </w:r>
            <w:r>
              <w:rPr>
                <w:color w:val="auto"/>
                <w:szCs w:val="28"/>
              </w:rPr>
              <w:t>主要环境保护目标</w:t>
            </w:r>
            <w:bookmarkEnd w:id="81"/>
            <w:bookmarkEnd w:id="82"/>
          </w:p>
          <w:p w14:paraId="74457774">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三</w:t>
            </w:r>
            <w:r>
              <w:rPr>
                <w:color w:val="auto"/>
                <w:sz w:val="24"/>
              </w:rPr>
              <w:t>。</w:t>
            </w:r>
          </w:p>
          <w:p w14:paraId="1BDC757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3"/>
              <w:gridCol w:w="1107"/>
              <w:gridCol w:w="1615"/>
              <w:gridCol w:w="1040"/>
              <w:gridCol w:w="3548"/>
            </w:tblGrid>
            <w:tr w14:paraId="7D83A3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712" w:type="pct"/>
                  <w:noWrap w:val="0"/>
                  <w:vAlign w:val="center"/>
                </w:tcPr>
                <w:p w14:paraId="260E2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0F7A9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947" w:type="pct"/>
                  <w:noWrap w:val="0"/>
                  <w:vAlign w:val="center"/>
                </w:tcPr>
                <w:p w14:paraId="09786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11479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10" w:type="pct"/>
                  <w:noWrap w:val="0"/>
                  <w:vAlign w:val="center"/>
                </w:tcPr>
                <w:p w14:paraId="204D7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079" w:type="pct"/>
                  <w:noWrap w:val="0"/>
                  <w:vAlign w:val="center"/>
                </w:tcPr>
                <w:p w14:paraId="25B54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29FE3F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12" w:type="pct"/>
                  <w:noWrap w:val="0"/>
                  <w:vAlign w:val="center"/>
                </w:tcPr>
                <w:p w14:paraId="0AEA8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35BFC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下田村</w:t>
                  </w:r>
                </w:p>
              </w:tc>
              <w:tc>
                <w:tcPr>
                  <w:tcW w:w="947" w:type="pct"/>
                  <w:noWrap w:val="0"/>
                  <w:vAlign w:val="center"/>
                </w:tcPr>
                <w:p w14:paraId="55CD3E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西南侧约</w:t>
                  </w:r>
                  <w:r>
                    <w:rPr>
                      <w:rFonts w:hint="eastAsia" w:ascii="Times New Roman" w:hAnsi="Times New Roman" w:eastAsia="宋体" w:cs="Times New Roman"/>
                      <w:color w:val="auto"/>
                      <w:sz w:val="21"/>
                      <w:szCs w:val="21"/>
                      <w:highlight w:val="none"/>
                      <w:lang w:val="en-US" w:eastAsia="zh-CN"/>
                    </w:rPr>
                    <w:t>287</w:t>
                  </w:r>
                  <w:r>
                    <w:rPr>
                      <w:rFonts w:hint="default" w:ascii="Times New Roman" w:hAnsi="Times New Roman" w:eastAsia="宋体" w:cs="Times New Roman"/>
                      <w:color w:val="auto"/>
                      <w:sz w:val="21"/>
                      <w:szCs w:val="21"/>
                      <w:highlight w:val="none"/>
                      <w:lang w:val="en-US" w:eastAsia="zh-CN"/>
                    </w:rPr>
                    <w:t>m</w:t>
                  </w:r>
                </w:p>
              </w:tc>
              <w:tc>
                <w:tcPr>
                  <w:tcW w:w="610" w:type="pct"/>
                  <w:noWrap w:val="0"/>
                  <w:vAlign w:val="center"/>
                </w:tcPr>
                <w:p w14:paraId="470B2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约30户/120人</w:t>
                  </w:r>
                </w:p>
              </w:tc>
              <w:tc>
                <w:tcPr>
                  <w:tcW w:w="2079" w:type="pct"/>
                  <w:noWrap w:val="0"/>
                  <w:vAlign w:val="center"/>
                </w:tcPr>
                <w:p w14:paraId="5D857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zh-CN"/>
                    </w:rPr>
                    <w:t>及</w:t>
                  </w:r>
                  <w:r>
                    <w:rPr>
                      <w:rFonts w:hint="default" w:ascii="Times New Roman" w:hAnsi="Times New Roman" w:eastAsia="宋体" w:cs="Times New Roman"/>
                      <w:color w:val="auto"/>
                      <w:sz w:val="21"/>
                      <w:szCs w:val="21"/>
                    </w:rPr>
                    <w:t>其修改单二级标准</w:t>
                  </w:r>
                </w:p>
              </w:tc>
            </w:tr>
            <w:tr w14:paraId="2BAF6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4" w:hRule="atLeast"/>
                <w:jc w:val="center"/>
              </w:trPr>
              <w:tc>
                <w:tcPr>
                  <w:tcW w:w="712" w:type="pct"/>
                  <w:noWrap w:val="0"/>
                  <w:vAlign w:val="center"/>
                </w:tcPr>
                <w:p w14:paraId="7D2A0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27A40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溪</w:t>
                  </w:r>
                  <w:r>
                    <w:rPr>
                      <w:rFonts w:hint="eastAsia" w:cs="Times New Roman"/>
                      <w:color w:val="auto"/>
                      <w:kern w:val="2"/>
                      <w:sz w:val="21"/>
                      <w:szCs w:val="21"/>
                      <w:lang w:val="en-US" w:eastAsia="zh-CN" w:bidi="ar-SA"/>
                    </w:rPr>
                    <w:t>畔河</w:t>
                  </w:r>
                </w:p>
              </w:tc>
              <w:tc>
                <w:tcPr>
                  <w:tcW w:w="947" w:type="pct"/>
                  <w:noWrap w:val="0"/>
                  <w:vAlign w:val="center"/>
                </w:tcPr>
                <w:p w14:paraId="55F4B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西北侧约3</w:t>
                  </w:r>
                  <w:r>
                    <w:rPr>
                      <w:rFonts w:hint="eastAsia"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m</w:t>
                  </w:r>
                </w:p>
              </w:tc>
              <w:tc>
                <w:tcPr>
                  <w:tcW w:w="610" w:type="pct"/>
                  <w:noWrap w:val="0"/>
                  <w:vAlign w:val="center"/>
                </w:tcPr>
                <w:p w14:paraId="77378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河流</w:t>
                  </w:r>
                </w:p>
              </w:tc>
              <w:tc>
                <w:tcPr>
                  <w:tcW w:w="2079" w:type="pct"/>
                  <w:noWrap w:val="0"/>
                  <w:vAlign w:val="center"/>
                </w:tcPr>
                <w:p w14:paraId="0302A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GB3838-2002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Ⅲ类标准</w:t>
                  </w:r>
                </w:p>
              </w:tc>
            </w:tr>
            <w:tr w14:paraId="03E49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712" w:type="pct"/>
                  <w:noWrap w:val="0"/>
                  <w:vAlign w:val="center"/>
                </w:tcPr>
                <w:p w14:paraId="7A605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7" w:type="pct"/>
                  <w:gridSpan w:val="4"/>
                  <w:noWrap w:val="0"/>
                  <w:vAlign w:val="center"/>
                </w:tcPr>
                <w:p w14:paraId="59F3D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654A7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6" w:hRule="atLeast"/>
                <w:jc w:val="center"/>
              </w:trPr>
              <w:tc>
                <w:tcPr>
                  <w:tcW w:w="712" w:type="pct"/>
                  <w:noWrap w:val="0"/>
                  <w:vAlign w:val="center"/>
                </w:tcPr>
                <w:p w14:paraId="2C256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7" w:type="pct"/>
                  <w:gridSpan w:val="4"/>
                  <w:noWrap w:val="0"/>
                  <w:vAlign w:val="center"/>
                </w:tcPr>
                <w:p w14:paraId="574B6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191B95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712" w:type="pct"/>
                  <w:noWrap w:val="0"/>
                  <w:vAlign w:val="center"/>
                </w:tcPr>
                <w:p w14:paraId="2F08B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7" w:type="pct"/>
                  <w:gridSpan w:val="4"/>
                  <w:noWrap w:val="0"/>
                  <w:vAlign w:val="center"/>
                </w:tcPr>
                <w:p w14:paraId="2423F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本项目位于园区内，无生态环境保护目标</w:t>
                  </w:r>
                </w:p>
              </w:tc>
            </w:tr>
          </w:tbl>
          <w:p w14:paraId="77C84E6F">
            <w:pPr>
              <w:rPr>
                <w:rFonts w:hint="eastAsia"/>
                <w:vertAlign w:val="baseline"/>
                <w:lang w:eastAsia="zh-CN"/>
              </w:rPr>
            </w:pPr>
          </w:p>
        </w:tc>
      </w:tr>
      <w:tr w14:paraId="763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14:paraId="2CD633C6">
            <w:pPr>
              <w:jc w:val="center"/>
              <w:rPr>
                <w:rFonts w:hint="eastAsia"/>
                <w:sz w:val="24"/>
                <w:szCs w:val="24"/>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1A27950B">
            <w:pPr>
              <w:pStyle w:val="46"/>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000000" w:themeColor="text1"/>
                <w:szCs w:val="28"/>
                <w:highlight w:val="none"/>
                <w:lang w:val="en-US" w:eastAsia="zh-CN"/>
                <w14:textFill>
                  <w14:solidFill>
                    <w14:schemeClr w14:val="tx1"/>
                  </w14:solidFill>
                </w14:textFill>
              </w:rPr>
            </w:pPr>
            <w:bookmarkStart w:id="83" w:name="_Toc24686"/>
            <w:bookmarkStart w:id="84" w:name="_Toc22767"/>
            <w:bookmarkStart w:id="85" w:name="_Toc10661"/>
            <w:bookmarkStart w:id="86" w:name="_Toc5981"/>
            <w:bookmarkStart w:id="87" w:name="_Toc15260"/>
            <w:bookmarkStart w:id="88" w:name="_Toc10339"/>
            <w:r>
              <w:rPr>
                <w:rFonts w:hint="default"/>
                <w:color w:val="000000" w:themeColor="text1"/>
                <w:szCs w:val="28"/>
                <w:highlight w:val="none"/>
                <w:lang w:val="en-US" w:eastAsia="zh-CN"/>
                <w14:textFill>
                  <w14:solidFill>
                    <w14:schemeClr w14:val="tx1"/>
                  </w14:solidFill>
                </w14:textFill>
              </w:rPr>
              <w:t>3.7 污染物排放标准</w:t>
            </w:r>
            <w:bookmarkEnd w:id="83"/>
            <w:bookmarkEnd w:id="84"/>
            <w:bookmarkEnd w:id="85"/>
            <w:bookmarkEnd w:id="86"/>
            <w:bookmarkEnd w:id="87"/>
            <w:bookmarkEnd w:id="88"/>
          </w:p>
          <w:p w14:paraId="6CCDFE4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89" w:name="_Toc15270"/>
            <w:bookmarkStart w:id="90" w:name="_Toc994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3.7.1 </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废水</w:t>
            </w:r>
            <w:bookmarkEnd w:id="89"/>
            <w:bookmarkEnd w:id="90"/>
          </w:p>
          <w:p w14:paraId="69A74290">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（1）项目水污染物排放标准</w:t>
            </w:r>
          </w:p>
          <w:p w14:paraId="6212B9C6">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w:t>
            </w:r>
            <w:r>
              <w:rPr>
                <w:rFonts w:hint="eastAsia"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w:t>
            </w:r>
            <w:r>
              <w:rPr>
                <w:rFonts w:hint="eastAsia"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因此不产生生产废水排放</w:t>
            </w:r>
            <w:r>
              <w:rPr>
                <w:rFonts w:hint="eastAsia" w:ascii="Times New Roman" w:hAnsi="Times New Roman" w:eastAsia="宋体" w:cs="Times New Roman"/>
                <w:bCs/>
                <w:color w:val="auto"/>
                <w:kern w:val="2"/>
                <w:sz w:val="24"/>
                <w:szCs w:val="24"/>
                <w:highlight w:val="none"/>
                <w:lang w:val="en-US" w:eastAsia="zh-CN" w:bidi="ar-SA"/>
              </w:rPr>
              <w:t>；仅产生职工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生活污水</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根据现场勘查，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项目生活污水依托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园区内已建化粪池预处理后，接入市政污水管网，纳入福清融元污水处理厂统一处理，尾水排入龙江。</w:t>
            </w:r>
            <w:r>
              <w:rPr>
                <w:rFonts w:hint="default" w:ascii="Times New Roman" w:hAnsi="Times New Roman"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属于</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cs="Times New Roman"/>
                <w:color w:val="000000" w:themeColor="text1"/>
                <w:sz w:val="24"/>
                <w:szCs w:val="24"/>
                <w:highlight w:val="none"/>
                <w14:textFill>
                  <w14:solidFill>
                    <w14:schemeClr w14:val="tx1"/>
                  </w14:solidFill>
                </w14:textFill>
              </w:rPr>
              <w:t>服务范围</w:t>
            </w:r>
            <w:r>
              <w:rPr>
                <w:rFonts w:hint="eastAsia" w:cs="Times New Roman"/>
                <w:color w:val="000000" w:themeColor="text1"/>
                <w:sz w:val="24"/>
                <w:szCs w:val="24"/>
                <w:highlight w:val="none"/>
                <w:lang w:eastAsia="zh-CN"/>
                <w14:textFill>
                  <w14:solidFill>
                    <w14:schemeClr w14:val="tx1"/>
                  </w14:solidFill>
                </w14:textFill>
              </w:rPr>
              <w:t>且</w:t>
            </w:r>
            <w:r>
              <w:rPr>
                <w:rFonts w:hint="default" w:ascii="Times New Roman" w:hAnsi="Times New Roman" w:cs="Times New Roman"/>
                <w:color w:val="000000" w:themeColor="text1"/>
                <w:sz w:val="24"/>
                <w:szCs w:val="24"/>
                <w:highlight w:val="none"/>
                <w14:textFill>
                  <w14:solidFill>
                    <w14:schemeClr w14:val="tx1"/>
                  </w14:solidFill>
                </w14:textFill>
              </w:rPr>
              <w:t>污水管网已铺设到位，项目生活污水经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园区</w:t>
            </w:r>
            <w:r>
              <w:rPr>
                <w:rFonts w:hint="default" w:ascii="Times New Roman" w:hAnsi="Times New Roman" w:cs="Times New Roman"/>
                <w:color w:val="000000" w:themeColor="text1"/>
                <w:sz w:val="24"/>
                <w:szCs w:val="24"/>
                <w:highlight w:val="none"/>
                <w14:textFill>
                  <w14:solidFill>
                    <w14:schemeClr w14:val="tx1"/>
                  </w14:solidFill>
                </w14:textFill>
              </w:rPr>
              <w:t>已建的化粪池预处理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后接入市政污水管网，外排废水需</w:t>
            </w:r>
            <w:r>
              <w:rPr>
                <w:rFonts w:hint="default" w:ascii="Times New Roman" w:hAnsi="Times New Roman" w:cs="Times New Roman"/>
                <w:color w:val="000000" w:themeColor="text1"/>
                <w:sz w:val="24"/>
                <w:szCs w:val="24"/>
                <w:highlight w:val="none"/>
                <w14:textFill>
                  <w14:solidFill>
                    <w14:schemeClr w14:val="tx1"/>
                  </w14:solidFill>
                </w14:textFill>
              </w:rPr>
              <w:t>达到《污水综合排放标准》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GB8978-1996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表4中的三级标准后排入市政污水管网送往</w:t>
            </w:r>
            <w:r>
              <w:rPr>
                <w:rFonts w:hint="default" w:ascii="Times New Roman" w:hAnsi="Times New Roman"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cs="Times New Roman"/>
                <w:color w:val="000000" w:themeColor="text1"/>
                <w:sz w:val="24"/>
                <w:szCs w:val="24"/>
                <w:highlight w:val="none"/>
                <w14:textFill>
                  <w14:solidFill>
                    <w14:schemeClr w14:val="tx1"/>
                  </w14:solidFill>
                </w14:textFill>
              </w:rPr>
              <w:t>集中处理，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w:t>
            </w:r>
            <w:r>
              <w:rPr>
                <w:rFonts w:hint="default" w:ascii="Times New Roman" w:hAnsi="Times New Roman" w:cs="Times New Roman"/>
                <w:color w:val="000000" w:themeColor="text1"/>
                <w:sz w:val="24"/>
                <w:szCs w:val="24"/>
                <w:highlight w:val="none"/>
                <w14:textFill>
                  <w14:solidFill>
                    <w14:schemeClr w14:val="tx1"/>
                  </w14:solidFill>
                </w14:textFill>
              </w:rPr>
              <w:t>参照执行《污水排入城镇下水道水质标准》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GB/T 31962-2015</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表1中B级标准，详见表3.7-1。</w:t>
            </w:r>
          </w:p>
          <w:p w14:paraId="68B1E9A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表3.7-1</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项目污水排放标准限值一览表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7"/>
              <w:gridCol w:w="3908"/>
              <w:gridCol w:w="1512"/>
              <w:gridCol w:w="1701"/>
            </w:tblGrid>
            <w:tr w14:paraId="3D859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1" w:hRule="exact"/>
                <w:jc w:val="center"/>
              </w:trPr>
              <w:tc>
                <w:tcPr>
                  <w:tcW w:w="825" w:type="pct"/>
                  <w:tcBorders>
                    <w:top w:val="single" w:color="auto" w:sz="12" w:space="0"/>
                  </w:tcBorders>
                  <w:noWrap w:val="0"/>
                  <w:vAlign w:val="center"/>
                </w:tcPr>
                <w:p w14:paraId="2AAC3CE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2291" w:type="pct"/>
                  <w:tcBorders>
                    <w:top w:val="single" w:color="auto" w:sz="12" w:space="0"/>
                  </w:tcBorders>
                  <w:noWrap w:val="0"/>
                  <w:vAlign w:val="center"/>
                </w:tcPr>
                <w:p w14:paraId="61C10A6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标准名称</w:t>
                  </w:r>
                </w:p>
              </w:tc>
              <w:tc>
                <w:tcPr>
                  <w:tcW w:w="886" w:type="pct"/>
                  <w:tcBorders>
                    <w:top w:val="single" w:color="auto" w:sz="12" w:space="0"/>
                  </w:tcBorders>
                  <w:noWrap w:val="0"/>
                  <w:vAlign w:val="center"/>
                </w:tcPr>
                <w:p w14:paraId="709AF6B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997" w:type="pct"/>
                  <w:tcBorders>
                    <w:top w:val="single" w:color="auto" w:sz="12" w:space="0"/>
                  </w:tcBorders>
                  <w:noWrap w:val="0"/>
                  <w:vAlign w:val="center"/>
                </w:tcPr>
                <w:p w14:paraId="58A3020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标准限值</w:t>
                  </w:r>
                </w:p>
              </w:tc>
            </w:tr>
            <w:tr w14:paraId="5B14AC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3" w:hRule="exact"/>
                <w:jc w:val="center"/>
              </w:trPr>
              <w:tc>
                <w:tcPr>
                  <w:tcW w:w="825" w:type="pct"/>
                  <w:vMerge w:val="restart"/>
                  <w:noWrap w:val="0"/>
                  <w:vAlign w:val="center"/>
                </w:tcPr>
                <w:p w14:paraId="0BA2CE5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2291" w:type="pct"/>
                  <w:vMerge w:val="restart"/>
                  <w:noWrap w:val="0"/>
                  <w:vAlign w:val="center"/>
                </w:tcPr>
                <w:p w14:paraId="5424DB0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w:t>
                  </w:r>
                </w:p>
                <w:p w14:paraId="2C920B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GB8978-1996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表4三级标准</w:t>
                  </w:r>
                </w:p>
              </w:tc>
              <w:tc>
                <w:tcPr>
                  <w:tcW w:w="886" w:type="pct"/>
                  <w:noWrap w:val="0"/>
                  <w:vAlign w:val="center"/>
                </w:tcPr>
                <w:p w14:paraId="5AF2D5E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997" w:type="pct"/>
                  <w:noWrap w:val="0"/>
                  <w:vAlign w:val="center"/>
                </w:tcPr>
                <w:p w14:paraId="6C70CB3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r>
            <w:tr w14:paraId="54FA9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0" w:hRule="exact"/>
                <w:jc w:val="center"/>
              </w:trPr>
              <w:tc>
                <w:tcPr>
                  <w:tcW w:w="825" w:type="pct"/>
                  <w:vMerge w:val="continue"/>
                  <w:noWrap w:val="0"/>
                  <w:vAlign w:val="center"/>
                </w:tcPr>
                <w:p w14:paraId="7D1DD5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784ECC3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4708C4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997" w:type="pct"/>
                  <w:noWrap w:val="0"/>
                  <w:vAlign w:val="center"/>
                </w:tcPr>
                <w:p w14:paraId="3E78F60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500mg/L</w:t>
                  </w:r>
                </w:p>
              </w:tc>
            </w:tr>
            <w:tr w14:paraId="6BDD5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exact"/>
                <w:jc w:val="center"/>
              </w:trPr>
              <w:tc>
                <w:tcPr>
                  <w:tcW w:w="825" w:type="pct"/>
                  <w:vMerge w:val="continue"/>
                  <w:noWrap w:val="0"/>
                  <w:vAlign w:val="center"/>
                </w:tcPr>
                <w:p w14:paraId="6C34EAB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15C3355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758C3D9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997" w:type="pct"/>
                  <w:noWrap w:val="0"/>
                  <w:vAlign w:val="center"/>
                </w:tcPr>
                <w:p w14:paraId="14B89C6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300mg/L</w:t>
                  </w:r>
                </w:p>
              </w:tc>
            </w:tr>
            <w:tr w14:paraId="432D9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7" w:hRule="exact"/>
                <w:jc w:val="center"/>
              </w:trPr>
              <w:tc>
                <w:tcPr>
                  <w:tcW w:w="825" w:type="pct"/>
                  <w:vMerge w:val="continue"/>
                  <w:noWrap w:val="0"/>
                  <w:vAlign w:val="center"/>
                </w:tcPr>
                <w:p w14:paraId="7477FEE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vMerge w:val="continue"/>
                  <w:noWrap w:val="0"/>
                  <w:vAlign w:val="center"/>
                </w:tcPr>
                <w:p w14:paraId="7FB66F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6" w:type="pct"/>
                  <w:noWrap w:val="0"/>
                  <w:vAlign w:val="center"/>
                </w:tcPr>
                <w:p w14:paraId="747A2ED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997" w:type="pct"/>
                  <w:noWrap w:val="0"/>
                  <w:vAlign w:val="center"/>
                </w:tcPr>
                <w:p w14:paraId="2A2954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400mg/L</w:t>
                  </w:r>
                </w:p>
              </w:tc>
            </w:tr>
            <w:tr w14:paraId="2F40FA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90" w:hRule="exact"/>
                <w:jc w:val="center"/>
              </w:trPr>
              <w:tc>
                <w:tcPr>
                  <w:tcW w:w="825" w:type="pct"/>
                  <w:vMerge w:val="continue"/>
                  <w:noWrap w:val="0"/>
                  <w:vAlign w:val="center"/>
                </w:tcPr>
                <w:p w14:paraId="7334AEF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1" w:type="pct"/>
                  <w:noWrap w:val="0"/>
                  <w:vAlign w:val="center"/>
                </w:tcPr>
                <w:p w14:paraId="361A053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《污水排入城镇下水道水质标准》</w:t>
                  </w:r>
                </w:p>
                <w:p w14:paraId="1B3D4F0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（GB/T31962-2015）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表1中B级标准</w:t>
                  </w:r>
                </w:p>
              </w:tc>
              <w:tc>
                <w:tcPr>
                  <w:tcW w:w="886" w:type="pct"/>
                  <w:noWrap w:val="0"/>
                  <w:vAlign w:val="center"/>
                </w:tcPr>
                <w:p w14:paraId="194ADD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997" w:type="pct"/>
                  <w:noWrap w:val="0"/>
                  <w:vAlign w:val="center"/>
                </w:tcPr>
                <w:p w14:paraId="0C245EF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45mg/L</w:t>
                  </w:r>
                </w:p>
              </w:tc>
            </w:tr>
          </w:tbl>
          <w:p w14:paraId="4FF61A2A">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（2）污水处理厂尾水排放标准</w:t>
            </w:r>
          </w:p>
          <w:p w14:paraId="150C7C05">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根据调查，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福清市融元污水处理厂</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尾水</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目前</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排放执行《城镇污水处理厂污染物排放标准》</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GB18918-2002</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及其修改单表1的一级</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标准A</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标准，具体详见表3.</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658D15B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7-2福清市融元</w:t>
            </w:r>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污水处理厂尾水排放标准一览表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401"/>
              <w:gridCol w:w="2701"/>
              <w:gridCol w:w="3395"/>
            </w:tblGrid>
            <w:tr w14:paraId="3E64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04" w:type="pct"/>
                  <w:noWrap w:val="0"/>
                  <w:vAlign w:val="center"/>
                </w:tcPr>
                <w:p w14:paraId="5921BF0B">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序号</w:t>
                  </w:r>
                </w:p>
              </w:tc>
              <w:tc>
                <w:tcPr>
                  <w:tcW w:w="821" w:type="pct"/>
                  <w:noWrap w:val="0"/>
                  <w:vAlign w:val="center"/>
                </w:tcPr>
                <w:p w14:paraId="4C93F61A">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污染物名称</w:t>
                  </w:r>
                </w:p>
              </w:tc>
              <w:tc>
                <w:tcPr>
                  <w:tcW w:w="1583" w:type="pct"/>
                  <w:noWrap w:val="0"/>
                  <w:vAlign w:val="center"/>
                </w:tcPr>
                <w:p w14:paraId="6AB29107">
                  <w:pPr>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1990" w:type="pct"/>
                  <w:noWrap w:val="0"/>
                  <w:vAlign w:val="center"/>
                </w:tcPr>
                <w:p w14:paraId="748F9E2E">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标准来源</w:t>
                  </w:r>
                </w:p>
              </w:tc>
            </w:tr>
            <w:tr w14:paraId="1C338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4" w:type="pct"/>
                  <w:noWrap w:val="0"/>
                  <w:vAlign w:val="center"/>
                </w:tcPr>
                <w:p w14:paraId="6CD075FB">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1</w:t>
                  </w:r>
                </w:p>
              </w:tc>
              <w:tc>
                <w:tcPr>
                  <w:tcW w:w="821" w:type="pct"/>
                  <w:noWrap w:val="0"/>
                  <w:vAlign w:val="center"/>
                </w:tcPr>
                <w:p w14:paraId="4B450256">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pH</w:t>
                  </w:r>
                </w:p>
              </w:tc>
              <w:tc>
                <w:tcPr>
                  <w:tcW w:w="1583" w:type="pct"/>
                  <w:noWrap w:val="0"/>
                  <w:vAlign w:val="center"/>
                </w:tcPr>
                <w:p w14:paraId="0106CEF5">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 xml:space="preserve">6～9 </w:t>
                  </w:r>
                  <w:r>
                    <w:rPr>
                      <w:rFonts w:hint="eastAsia" w:cs="Times New Roman"/>
                      <w:color w:val="000000" w:themeColor="text1"/>
                      <w:kern w:val="18"/>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无量纲</w:t>
                  </w:r>
                  <w:r>
                    <w:rPr>
                      <w:rFonts w:hint="eastAsia" w:cs="Times New Roman"/>
                      <w:color w:val="000000" w:themeColor="text1"/>
                      <w:sz w:val="21"/>
                      <w:szCs w:val="21"/>
                      <w:highlight w:val="none"/>
                      <w:lang w:eastAsia="zh-CN"/>
                      <w14:textFill>
                        <w14:solidFill>
                          <w14:schemeClr w14:val="tx1"/>
                        </w14:solidFill>
                      </w14:textFill>
                    </w:rPr>
                    <w:t>）</w:t>
                  </w:r>
                </w:p>
              </w:tc>
              <w:tc>
                <w:tcPr>
                  <w:tcW w:w="1990" w:type="pct"/>
                  <w:vMerge w:val="restart"/>
                  <w:noWrap w:val="0"/>
                  <w:vAlign w:val="center"/>
                </w:tcPr>
                <w:p w14:paraId="6419DAA0">
                  <w:pPr>
                    <w:widowControl/>
                    <w:spacing w:line="3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《城镇污水处理厂污染物排放标准》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GB18918-2002</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及其修改单表1</w:t>
                  </w:r>
                </w:p>
              </w:tc>
            </w:tr>
            <w:tr w14:paraId="7791A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04" w:type="pct"/>
                  <w:noWrap w:val="0"/>
                  <w:vAlign w:val="center"/>
                </w:tcPr>
                <w:p w14:paraId="6E5E3C16">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2</w:t>
                  </w:r>
                </w:p>
              </w:tc>
              <w:tc>
                <w:tcPr>
                  <w:tcW w:w="821" w:type="pct"/>
                  <w:noWrap w:val="0"/>
                  <w:vAlign w:val="center"/>
                </w:tcPr>
                <w:p w14:paraId="7D75E13D">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cr</w:t>
                  </w:r>
                </w:p>
              </w:tc>
              <w:tc>
                <w:tcPr>
                  <w:tcW w:w="1583" w:type="pct"/>
                  <w:noWrap w:val="0"/>
                  <w:vAlign w:val="center"/>
                </w:tcPr>
                <w:p w14:paraId="565B27A4">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790FFC34">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36B8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4" w:type="pct"/>
                  <w:noWrap w:val="0"/>
                  <w:vAlign w:val="center"/>
                </w:tcPr>
                <w:p w14:paraId="412BD3FC">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3</w:t>
                  </w:r>
                </w:p>
              </w:tc>
              <w:tc>
                <w:tcPr>
                  <w:tcW w:w="821" w:type="pct"/>
                  <w:noWrap w:val="0"/>
                  <w:vAlign w:val="center"/>
                </w:tcPr>
                <w:p w14:paraId="0E35AC94">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5</w:t>
                  </w:r>
                </w:p>
              </w:tc>
              <w:tc>
                <w:tcPr>
                  <w:tcW w:w="1583" w:type="pct"/>
                  <w:noWrap w:val="0"/>
                  <w:vAlign w:val="center"/>
                </w:tcPr>
                <w:p w14:paraId="6F5BBC70">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1CE4EBD9">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3838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4" w:type="pct"/>
                  <w:noWrap w:val="0"/>
                  <w:vAlign w:val="center"/>
                </w:tcPr>
                <w:p w14:paraId="7617E488">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4</w:t>
                  </w:r>
                </w:p>
              </w:tc>
              <w:tc>
                <w:tcPr>
                  <w:tcW w:w="821" w:type="pct"/>
                  <w:noWrap w:val="0"/>
                  <w:vAlign w:val="center"/>
                </w:tcPr>
                <w:p w14:paraId="40101D1A">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SS</w:t>
                  </w:r>
                </w:p>
              </w:tc>
              <w:tc>
                <w:tcPr>
                  <w:tcW w:w="1583" w:type="pct"/>
                  <w:noWrap w:val="0"/>
                  <w:vAlign w:val="center"/>
                </w:tcPr>
                <w:p w14:paraId="1A62E7DE">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0mg/L</w:t>
                  </w:r>
                </w:p>
              </w:tc>
              <w:tc>
                <w:tcPr>
                  <w:tcW w:w="1990" w:type="pct"/>
                  <w:vMerge w:val="continue"/>
                  <w:noWrap w:val="0"/>
                  <w:vAlign w:val="center"/>
                </w:tcPr>
                <w:p w14:paraId="18B4CD5E">
                  <w:pPr>
                    <w:widowControl/>
                    <w:spacing w:line="340" w:lineRule="exact"/>
                    <w:jc w:val="left"/>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r w14:paraId="585D5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04" w:type="pct"/>
                  <w:noWrap w:val="0"/>
                  <w:vAlign w:val="center"/>
                </w:tcPr>
                <w:p w14:paraId="65C81949">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5</w:t>
                  </w:r>
                </w:p>
              </w:tc>
              <w:tc>
                <w:tcPr>
                  <w:tcW w:w="821" w:type="pct"/>
                  <w:noWrap w:val="0"/>
                  <w:vAlign w:val="center"/>
                </w:tcPr>
                <w:p w14:paraId="1D63E0C1">
                  <w:pPr>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NH</w:t>
                  </w:r>
                  <w:r>
                    <w:rPr>
                      <w:rFonts w:hint="default" w:ascii="Times New Roman" w:hAnsi="Times New Roman" w:eastAsia="宋体" w:cs="Times New Roman"/>
                      <w:color w:val="000000" w:themeColor="text1"/>
                      <w:kern w:val="18"/>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-N</w:t>
                  </w:r>
                </w:p>
              </w:tc>
              <w:tc>
                <w:tcPr>
                  <w:tcW w:w="1583" w:type="pct"/>
                  <w:noWrap w:val="0"/>
                  <w:vAlign w:val="center"/>
                </w:tcPr>
                <w:p w14:paraId="45B61811">
                  <w:pPr>
                    <w:spacing w:line="340" w:lineRule="exact"/>
                    <w:jc w:val="center"/>
                    <w:rPr>
                      <w:rFonts w:hint="default" w:ascii="Times New Roman" w:hAnsi="Times New Roman" w:eastAsia="宋体" w:cs="Times New Roman"/>
                      <w:color w:val="000000" w:themeColor="text1"/>
                      <w:kern w:val="18"/>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8"/>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18"/>
                      <w:sz w:val="21"/>
                      <w:szCs w:val="21"/>
                      <w:highlight w:val="none"/>
                      <w14:textFill>
                        <w14:solidFill>
                          <w14:schemeClr w14:val="tx1"/>
                        </w14:solidFill>
                      </w14:textFill>
                    </w:rPr>
                    <w:t>mg/L</w:t>
                  </w:r>
                </w:p>
              </w:tc>
              <w:tc>
                <w:tcPr>
                  <w:tcW w:w="1990" w:type="pct"/>
                  <w:vMerge w:val="continue"/>
                  <w:noWrap w:val="0"/>
                  <w:vAlign w:val="center"/>
                </w:tcPr>
                <w:p w14:paraId="6DAA2E7C">
                  <w:pPr>
                    <w:widowControl/>
                    <w:spacing w:line="340" w:lineRule="exact"/>
                    <w:jc w:val="center"/>
                    <w:rPr>
                      <w:rFonts w:hint="default" w:ascii="Times New Roman" w:hAnsi="Times New Roman" w:eastAsia="宋体" w:cs="Times New Roman"/>
                      <w:color w:val="000000" w:themeColor="text1"/>
                      <w:kern w:val="18"/>
                      <w:sz w:val="21"/>
                      <w:szCs w:val="21"/>
                      <w:highlight w:val="none"/>
                      <w14:textFill>
                        <w14:solidFill>
                          <w14:schemeClr w14:val="tx1"/>
                        </w14:solidFill>
                      </w14:textFill>
                    </w:rPr>
                  </w:pPr>
                </w:p>
              </w:tc>
            </w:tr>
          </w:tbl>
          <w:p w14:paraId="737E7B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1" w:name="_Toc12681"/>
            <w:bookmarkStart w:id="92" w:name="_Toc28297"/>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3.7.2 废气</w:t>
            </w:r>
            <w:bookmarkEnd w:id="91"/>
            <w:bookmarkEnd w:id="92"/>
          </w:p>
          <w:p w14:paraId="37CF6791">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本项目废气主要来源于</w:t>
            </w:r>
            <w:r>
              <w:rPr>
                <w:rFonts w:hint="eastAsia" w:cs="Times New Roman"/>
                <w:bCs/>
                <w:color w:val="000000" w:themeColor="text1"/>
                <w:kern w:val="2"/>
                <w:sz w:val="24"/>
                <w:szCs w:val="24"/>
                <w:highlight w:val="none"/>
                <w:lang w:val="en-US" w:eastAsia="zh-CN" w:bidi="ar-SA"/>
                <w14:textFill>
                  <w14:solidFill>
                    <w14:schemeClr w14:val="tx1"/>
                  </w14:solidFill>
                </w14:textFill>
              </w:rPr>
              <w:t>熔融</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废气（铝锭熔化烟尘）、</w:t>
            </w:r>
            <w:r>
              <w:rPr>
                <w:rFonts w:hint="eastAsia" w:cs="Times New Roman"/>
                <w:bCs/>
                <w:color w:val="000000" w:themeColor="text1"/>
                <w:kern w:val="2"/>
                <w:sz w:val="24"/>
                <w:szCs w:val="24"/>
                <w:highlight w:val="none"/>
                <w:lang w:val="en-US" w:eastAsia="zh-CN" w:bidi="ar-SA"/>
                <w14:textFill>
                  <w14:solidFill>
                    <w14:schemeClr w14:val="tx1"/>
                  </w14:solidFill>
                </w14:textFill>
              </w:rPr>
              <w:t>压铸</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脱模废气（含浇注烟尘及脱模剂产生挥发性有机废气）。</w:t>
            </w:r>
          </w:p>
          <w:p w14:paraId="6F39CC88">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（1）项目有组织废气污染物排放标准</w:t>
            </w:r>
          </w:p>
          <w:p w14:paraId="04867B4E">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①</w:t>
            </w:r>
            <w:r>
              <w:rPr>
                <w:rFonts w:hint="eastAsia" w:cs="Times New Roman"/>
                <w:bCs/>
                <w:color w:val="000000" w:themeColor="text1"/>
                <w:kern w:val="2"/>
                <w:sz w:val="24"/>
                <w:szCs w:val="24"/>
                <w:highlight w:val="none"/>
                <w:lang w:val="en-US" w:eastAsia="zh-CN" w:bidi="ar-SA"/>
                <w14:textFill>
                  <w14:solidFill>
                    <w14:schemeClr w14:val="tx1"/>
                  </w14:solidFill>
                </w14:textFill>
              </w:rPr>
              <w:t>熔融</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废气（铝锭熔化烟尘）：</w:t>
            </w:r>
            <w:r>
              <w:rPr>
                <w:rFonts w:hint="eastAsia" w:cs="Times New Roman"/>
                <w:bCs/>
                <w:color w:val="000000" w:themeColor="text1"/>
                <w:kern w:val="2"/>
                <w:sz w:val="24"/>
                <w:szCs w:val="24"/>
                <w:highlight w:val="none"/>
                <w:lang w:val="en-US" w:eastAsia="zh-CN" w:bidi="ar-SA"/>
                <w14:textFill>
                  <w14:solidFill>
                    <w14:schemeClr w14:val="tx1"/>
                  </w14:solidFill>
                </w14:textFill>
              </w:rPr>
              <w:t>电阻</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炉废气主要污染物为铝锭熔化产生的颗粒物，颗粒物执行《铸造工业大气污染物排放标准》（GB39726-2020）中表1</w:t>
            </w:r>
            <w:r>
              <w:rPr>
                <w:rFonts w:hint="eastAsia" w:cs="Times New Roman"/>
                <w:bCs/>
                <w:color w:val="000000" w:themeColor="text1"/>
                <w:kern w:val="2"/>
                <w:sz w:val="24"/>
                <w:szCs w:val="24"/>
                <w:highlight w:val="none"/>
                <w:lang w:val="en-US" w:eastAsia="zh-CN" w:bidi="ar-SA"/>
                <w14:textFill>
                  <w14:solidFill>
                    <w14:schemeClr w14:val="tx1"/>
                  </w14:solidFill>
                </w14:textFill>
              </w:rPr>
              <w:t>中的“其他熔化炉”的限值要求</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p>
          <w:p w14:paraId="1BC6FB19">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②</w:t>
            </w:r>
            <w:r>
              <w:rPr>
                <w:rFonts w:hint="eastAsia" w:cs="Times New Roman"/>
                <w:bCs/>
                <w:color w:val="000000" w:themeColor="text1"/>
                <w:kern w:val="2"/>
                <w:sz w:val="24"/>
                <w:szCs w:val="24"/>
                <w:highlight w:val="none"/>
                <w:lang w:val="en-US" w:eastAsia="zh-CN" w:bidi="ar-SA"/>
                <w14:textFill>
                  <w14:solidFill>
                    <w14:schemeClr w14:val="tx1"/>
                  </w14:solidFill>
                </w14:textFill>
              </w:rPr>
              <w:t>压铸</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脱模废气（含浇注烟尘及脱模剂产生的挥发性有机废气）：脱模废气中主要污染物为浇注工序产生的颗粒物及压铸脱模时使用的脱模剂因受热产生的挥发性有机废气（以</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计）。颗粒物</w:t>
            </w:r>
            <w:r>
              <w:rPr>
                <w:rFonts w:hint="eastAsia" w:cs="Times New Roman"/>
                <w:bCs/>
                <w:color w:val="000000" w:themeColor="text1"/>
                <w:kern w:val="2"/>
                <w:sz w:val="24"/>
                <w:szCs w:val="24"/>
                <w:highlight w:val="none"/>
                <w:lang w:val="en-US" w:eastAsia="zh-CN" w:bidi="ar-SA"/>
                <w14:textFill>
                  <w14:solidFill>
                    <w14:schemeClr w14:val="tx1"/>
                  </w14:solidFill>
                </w14:textFill>
              </w:rPr>
              <w:t>执行</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《铸造工业大气污染物排放标准》（GB39726-2020）中表1标准</w:t>
            </w:r>
            <w:r>
              <w:rPr>
                <w:rFonts w:hint="eastAsia" w:cs="Times New Roman"/>
                <w:bCs/>
                <w:color w:val="000000" w:themeColor="text1"/>
                <w:kern w:val="2"/>
                <w:sz w:val="24"/>
                <w:szCs w:val="24"/>
                <w:highlight w:val="none"/>
                <w:lang w:val="en-US" w:eastAsia="zh-CN" w:bidi="ar-SA"/>
                <w14:textFill>
                  <w14:solidFill>
                    <w14:schemeClr w14:val="tx1"/>
                  </w14:solidFill>
                </w14:textFill>
              </w:rPr>
              <w:t>限值</w:t>
            </w:r>
            <w:r>
              <w:rPr>
                <w:rFonts w:hint="eastAsia" w:ascii="Times New Roman" w:hAnsi="Times New Roman" w:eastAsia="宋体" w:cs="Times New Roman"/>
                <w:bCs/>
                <w:color w:val="auto"/>
                <w:kern w:val="2"/>
                <w:sz w:val="24"/>
                <w:szCs w:val="24"/>
                <w:highlight w:val="none"/>
                <w:lang w:val="en-US" w:eastAsia="zh-CN" w:bidi="ar-SA"/>
              </w:rPr>
              <w:t>。非甲烷总烃的排放参照执行《工业企业挥发性有机物排放标准》（DB35/1782-2018）表1中其他行业非甲烷总烃排放标准。</w:t>
            </w:r>
          </w:p>
          <w:p w14:paraId="58C961E7">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项目有组织废气污染物排放标准限值详见表3.7-3。</w:t>
            </w:r>
          </w:p>
          <w:p w14:paraId="229FEC23">
            <w:pPr>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表3.7-3 有组织废气污染物排放标准</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018"/>
              <w:gridCol w:w="1167"/>
              <w:gridCol w:w="750"/>
              <w:gridCol w:w="850"/>
              <w:gridCol w:w="906"/>
              <w:gridCol w:w="2696"/>
            </w:tblGrid>
            <w:tr w14:paraId="12697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669" w:type="pct"/>
                  <w:tcBorders>
                    <w:tl2br w:val="nil"/>
                    <w:tr2bl w:val="nil"/>
                  </w:tcBorders>
                  <w:vAlign w:val="center"/>
                </w:tcPr>
                <w:p w14:paraId="27B4D2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污染物产生工段</w:t>
                  </w:r>
                </w:p>
              </w:tc>
              <w:tc>
                <w:tcPr>
                  <w:tcW w:w="596" w:type="pct"/>
                  <w:tcBorders>
                    <w:tl2br w:val="nil"/>
                    <w:tr2bl w:val="nil"/>
                  </w:tcBorders>
                  <w:vAlign w:val="center"/>
                </w:tcPr>
                <w:p w14:paraId="3C0555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684" w:type="pct"/>
                  <w:tcBorders>
                    <w:tl2br w:val="nil"/>
                    <w:tr2bl w:val="nil"/>
                  </w:tcBorders>
                  <w:vAlign w:val="center"/>
                </w:tcPr>
                <w:p w14:paraId="7ED463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p>
              </w:tc>
              <w:tc>
                <w:tcPr>
                  <w:tcW w:w="439" w:type="pct"/>
                  <w:tcBorders>
                    <w:tl2br w:val="nil"/>
                    <w:tr2bl w:val="nil"/>
                  </w:tcBorders>
                  <w:vAlign w:val="center"/>
                </w:tcPr>
                <w:p w14:paraId="559970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污染源名称</w:t>
                  </w:r>
                </w:p>
              </w:tc>
              <w:tc>
                <w:tcPr>
                  <w:tcW w:w="498" w:type="pct"/>
                  <w:tcBorders>
                    <w:tl2br w:val="nil"/>
                    <w:tr2bl w:val="nil"/>
                  </w:tcBorders>
                  <w:vAlign w:val="center"/>
                </w:tcPr>
                <w:p w14:paraId="3EFE63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排气筒编号</w:t>
                  </w:r>
                </w:p>
              </w:tc>
              <w:tc>
                <w:tcPr>
                  <w:tcW w:w="531" w:type="pct"/>
                  <w:tcBorders>
                    <w:tl2br w:val="nil"/>
                    <w:tr2bl w:val="nil"/>
                  </w:tcBorders>
                  <w:vAlign w:val="center"/>
                </w:tcPr>
                <w:p w14:paraId="78B077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排气筒高度</w:t>
                  </w:r>
                </w:p>
                <w:p w14:paraId="4AFA1D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m</w:t>
                  </w:r>
                </w:p>
              </w:tc>
              <w:tc>
                <w:tcPr>
                  <w:tcW w:w="1580" w:type="pct"/>
                  <w:tcBorders>
                    <w:tl2br w:val="nil"/>
                    <w:tr2bl w:val="nil"/>
                  </w:tcBorders>
                  <w:vAlign w:val="center"/>
                </w:tcPr>
                <w:p w14:paraId="0766F4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4F635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69" w:type="pct"/>
                  <w:tcBorders>
                    <w:tl2br w:val="nil"/>
                    <w:tr2bl w:val="nil"/>
                  </w:tcBorders>
                  <w:vAlign w:val="center"/>
                </w:tcPr>
                <w:p w14:paraId="447BFF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电阻炉熔化废气</w:t>
                  </w:r>
                </w:p>
              </w:tc>
              <w:tc>
                <w:tcPr>
                  <w:tcW w:w="596" w:type="pct"/>
                  <w:tcBorders>
                    <w:tl2br w:val="nil"/>
                    <w:tr2bl w:val="nil"/>
                  </w:tcBorders>
                  <w:vAlign w:val="center"/>
                </w:tcPr>
                <w:p w14:paraId="4FBFFB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684" w:type="pct"/>
                  <w:tcBorders>
                    <w:tl2br w:val="nil"/>
                    <w:tr2bl w:val="nil"/>
                  </w:tcBorders>
                  <w:vAlign w:val="center"/>
                </w:tcPr>
                <w:p w14:paraId="74D67F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439" w:type="pct"/>
                  <w:vMerge w:val="restart"/>
                  <w:tcBorders>
                    <w:tl2br w:val="nil"/>
                    <w:tr2bl w:val="nil"/>
                  </w:tcBorders>
                  <w:shd w:val="clear" w:color="auto" w:fill="auto"/>
                  <w:vAlign w:val="center"/>
                </w:tcPr>
                <w:p w14:paraId="5482B5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生产废气排气筒</w:t>
                  </w:r>
                </w:p>
              </w:tc>
              <w:tc>
                <w:tcPr>
                  <w:tcW w:w="498" w:type="pct"/>
                  <w:vMerge w:val="restart"/>
                  <w:tcBorders>
                    <w:tl2br w:val="nil"/>
                    <w:tr2bl w:val="nil"/>
                  </w:tcBorders>
                  <w:shd w:val="clear" w:color="auto" w:fill="auto"/>
                  <w:vAlign w:val="center"/>
                </w:tcPr>
                <w:p w14:paraId="2D500D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DA001</w:t>
                  </w:r>
                </w:p>
              </w:tc>
              <w:tc>
                <w:tcPr>
                  <w:tcW w:w="531" w:type="pct"/>
                  <w:vMerge w:val="restart"/>
                  <w:tcBorders>
                    <w:tl2br w:val="nil"/>
                    <w:tr2bl w:val="nil"/>
                  </w:tcBorders>
                  <w:shd w:val="clear" w:color="auto" w:fill="auto"/>
                  <w:vAlign w:val="center"/>
                </w:tcPr>
                <w:p w14:paraId="4008C9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15</w:t>
                  </w:r>
                </w:p>
              </w:tc>
              <w:tc>
                <w:tcPr>
                  <w:tcW w:w="1580" w:type="pct"/>
                  <w:vMerge w:val="restart"/>
                  <w:tcBorders>
                    <w:tl2br w:val="nil"/>
                    <w:tr2bl w:val="nil"/>
                  </w:tcBorders>
                  <w:vAlign w:val="center"/>
                </w:tcPr>
                <w:p w14:paraId="21194DA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颗粒物执行《铸造工业大气污染物排放标准》（GB39726-2020）中表1标准限值</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；非甲烷总烃执行《工业企业挥发性有机物排放标准》（DB35/1782-2018）表1中其他行业非甲烷总烃排放标准</w:t>
                  </w:r>
                </w:p>
              </w:tc>
            </w:tr>
            <w:tr w14:paraId="3A972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69" w:type="pct"/>
                  <w:vMerge w:val="restart"/>
                  <w:tcBorders>
                    <w:tl2br w:val="nil"/>
                    <w:tr2bl w:val="nil"/>
                  </w:tcBorders>
                  <w:vAlign w:val="center"/>
                </w:tcPr>
                <w:p w14:paraId="519155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压铸脱模废气</w:t>
                  </w:r>
                </w:p>
              </w:tc>
              <w:tc>
                <w:tcPr>
                  <w:tcW w:w="596" w:type="pct"/>
                  <w:tcBorders>
                    <w:tl2br w:val="nil"/>
                    <w:tr2bl w:val="nil"/>
                  </w:tcBorders>
                  <w:vAlign w:val="center"/>
                </w:tcPr>
                <w:p w14:paraId="767024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684" w:type="pct"/>
                  <w:tcBorders>
                    <w:tl2br w:val="nil"/>
                    <w:tr2bl w:val="nil"/>
                  </w:tcBorders>
                  <w:vAlign w:val="center"/>
                </w:tcPr>
                <w:p w14:paraId="090C42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30</w:t>
                  </w:r>
                </w:p>
              </w:tc>
              <w:tc>
                <w:tcPr>
                  <w:tcW w:w="439" w:type="pct"/>
                  <w:vMerge w:val="continue"/>
                  <w:tcBorders>
                    <w:tl2br w:val="nil"/>
                    <w:tr2bl w:val="nil"/>
                  </w:tcBorders>
                  <w:shd w:val="clear" w:color="auto" w:fill="auto"/>
                  <w:vAlign w:val="center"/>
                </w:tcPr>
                <w:p w14:paraId="6A5DE7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98" w:type="pct"/>
                  <w:vMerge w:val="continue"/>
                  <w:tcBorders>
                    <w:tl2br w:val="nil"/>
                    <w:tr2bl w:val="nil"/>
                  </w:tcBorders>
                  <w:shd w:val="clear" w:color="auto" w:fill="auto"/>
                  <w:vAlign w:val="center"/>
                </w:tcPr>
                <w:p w14:paraId="3E2A0F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531" w:type="pct"/>
                  <w:vMerge w:val="continue"/>
                  <w:tcBorders>
                    <w:tl2br w:val="nil"/>
                    <w:tr2bl w:val="nil"/>
                  </w:tcBorders>
                  <w:shd w:val="clear" w:color="auto" w:fill="auto"/>
                  <w:vAlign w:val="center"/>
                </w:tcPr>
                <w:p w14:paraId="12E59C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1580" w:type="pct"/>
                  <w:vMerge w:val="continue"/>
                  <w:tcBorders>
                    <w:tl2br w:val="nil"/>
                    <w:tr2bl w:val="nil"/>
                  </w:tcBorders>
                  <w:vAlign w:val="center"/>
                </w:tcPr>
                <w:p w14:paraId="77154D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38F8A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669" w:type="pct"/>
                  <w:vMerge w:val="continue"/>
                  <w:tcBorders>
                    <w:tl2br w:val="nil"/>
                    <w:tr2bl w:val="nil"/>
                  </w:tcBorders>
                  <w:vAlign w:val="center"/>
                </w:tcPr>
                <w:p w14:paraId="31BF46F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596" w:type="pct"/>
                  <w:tcBorders>
                    <w:tl2br w:val="nil"/>
                    <w:tr2bl w:val="nil"/>
                  </w:tcBorders>
                  <w:vAlign w:val="center"/>
                </w:tcPr>
                <w:p w14:paraId="719AA6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eastAsia" w:cs="Times New Roman"/>
                      <w:b w:val="0"/>
                      <w:bCs w:val="0"/>
                      <w:color w:val="auto"/>
                      <w:sz w:val="21"/>
                      <w:szCs w:val="21"/>
                      <w:highlight w:val="none"/>
                      <w:vertAlign w:val="baseline"/>
                      <w:lang w:val="en-US" w:eastAsia="zh-CN"/>
                    </w:rPr>
                    <w:t>（以VOCs计）</w:t>
                  </w:r>
                </w:p>
              </w:tc>
              <w:tc>
                <w:tcPr>
                  <w:tcW w:w="684" w:type="pct"/>
                  <w:tcBorders>
                    <w:tl2br w:val="nil"/>
                    <w:tr2bl w:val="nil"/>
                  </w:tcBorders>
                  <w:vAlign w:val="center"/>
                </w:tcPr>
                <w:p w14:paraId="79C1DB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100</w:t>
                  </w:r>
                </w:p>
              </w:tc>
              <w:tc>
                <w:tcPr>
                  <w:tcW w:w="439" w:type="pct"/>
                  <w:vMerge w:val="continue"/>
                  <w:tcBorders>
                    <w:tl2br w:val="nil"/>
                    <w:tr2bl w:val="nil"/>
                  </w:tcBorders>
                  <w:shd w:val="clear" w:color="auto" w:fill="auto"/>
                  <w:vAlign w:val="center"/>
                </w:tcPr>
                <w:p w14:paraId="1CEB721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98" w:type="pct"/>
                  <w:vMerge w:val="continue"/>
                  <w:tcBorders>
                    <w:tl2br w:val="nil"/>
                    <w:tr2bl w:val="nil"/>
                  </w:tcBorders>
                  <w:shd w:val="clear" w:color="auto" w:fill="auto"/>
                  <w:vAlign w:val="center"/>
                </w:tcPr>
                <w:p w14:paraId="238EFA6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1" w:type="pct"/>
                  <w:vMerge w:val="continue"/>
                  <w:tcBorders>
                    <w:tl2br w:val="nil"/>
                    <w:tr2bl w:val="nil"/>
                  </w:tcBorders>
                  <w:shd w:val="clear" w:color="auto" w:fill="auto"/>
                  <w:vAlign w:val="center"/>
                </w:tcPr>
                <w:p w14:paraId="1CD7CD1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0" w:type="pct"/>
                  <w:vMerge w:val="continue"/>
                  <w:tcBorders>
                    <w:tl2br w:val="nil"/>
                    <w:tr2bl w:val="nil"/>
                  </w:tcBorders>
                  <w:vAlign w:val="center"/>
                </w:tcPr>
                <w:p w14:paraId="4ED01B2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bl>
          <w:p w14:paraId="4F74DD69">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（2）项目无组织废气污染物排放标准</w:t>
            </w:r>
          </w:p>
          <w:p w14:paraId="5D9A46C6">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auto"/>
                <w:kern w:val="2"/>
                <w:sz w:val="24"/>
                <w:szCs w:val="24"/>
                <w:highlight w:val="none"/>
                <w:lang w:val="en-US" w:eastAsia="zh-CN" w:bidi="ar-SA"/>
              </w:rPr>
              <w:t>①</w:t>
            </w:r>
            <w:r>
              <w:rPr>
                <w:rFonts w:hint="eastAsia" w:cs="Times New Roman"/>
                <w:bCs/>
                <w:color w:val="auto"/>
                <w:kern w:val="2"/>
                <w:sz w:val="24"/>
                <w:szCs w:val="24"/>
                <w:highlight w:val="none"/>
                <w:lang w:val="en-US" w:eastAsia="zh-CN" w:bidi="ar-SA"/>
              </w:rPr>
              <w:t>压铸</w:t>
            </w:r>
            <w:r>
              <w:rPr>
                <w:rFonts w:hint="eastAsia" w:ascii="Times New Roman" w:hAnsi="Times New Roman" w:eastAsia="宋体" w:cs="Times New Roman"/>
                <w:bCs/>
                <w:color w:val="auto"/>
                <w:kern w:val="2"/>
                <w:sz w:val="24"/>
                <w:szCs w:val="24"/>
                <w:highlight w:val="none"/>
                <w:lang w:val="en-US" w:eastAsia="zh-CN" w:bidi="ar-SA"/>
              </w:rPr>
              <w:t>脱模废气（含浇注烟尘及脱模剂产生的挥发性有机废气）：未收集到的废气颗粒物执行《大气污染物综合排放标准》（GB16297-1996）中表2无组织排放标准。</w:t>
            </w:r>
            <w:r>
              <w:rPr>
                <w:rFonts w:hint="eastAsia" w:cs="Times New Roman"/>
                <w:bCs/>
                <w:color w:val="auto"/>
                <w:kern w:val="2"/>
                <w:sz w:val="24"/>
                <w:szCs w:val="24"/>
                <w:highlight w:val="none"/>
                <w:lang w:val="en-US" w:eastAsia="zh-CN" w:bidi="ar-SA"/>
              </w:rPr>
              <w:t>VOCs</w:t>
            </w:r>
            <w:r>
              <w:rPr>
                <w:rFonts w:hint="eastAsia" w:ascii="Times New Roman" w:hAnsi="Times New Roman" w:eastAsia="宋体" w:cs="Times New Roman"/>
                <w:bCs/>
                <w:color w:val="auto"/>
                <w:kern w:val="2"/>
                <w:sz w:val="24"/>
                <w:szCs w:val="24"/>
                <w:highlight w:val="none"/>
                <w:lang w:val="en-US" w:eastAsia="zh-CN" w:bidi="ar-SA"/>
              </w:rPr>
              <w:t>无组织排放企业边界执行《工业企业挥发性有机物排放标准》（DB35/1782-2018）表3中非甲烷总烃排放标准</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cs="Times New Roman"/>
                <w:bCs/>
                <w:color w:val="000000" w:themeColor="text1"/>
                <w:kern w:val="2"/>
                <w:sz w:val="24"/>
                <w:szCs w:val="24"/>
                <w:highlight w:val="none"/>
                <w:lang w:val="en-US" w:eastAsia="zh-CN" w:bidi="ar-SA"/>
                <w14:textFill>
                  <w14:solidFill>
                    <w14:schemeClr w14:val="tx1"/>
                  </w14:solidFill>
                </w14:textFill>
              </w:rPr>
              <w:t>根据《生态环境标准管理办法》（2020年12月15日生态环境部令第17号公告）“第二十四条 污染物排放标准按照下列顺序执行”规定，行业型污染物排放标准优先于综合型和通用型污染物排放标准。因此，本项目</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厂区内</w:t>
            </w:r>
            <w:r>
              <w:rPr>
                <w:rFonts w:hint="eastAsia" w:cs="Times New Roman"/>
                <w:bCs/>
                <w:color w:val="000000" w:themeColor="text1"/>
                <w:kern w:val="2"/>
                <w:sz w:val="24"/>
                <w:szCs w:val="24"/>
                <w:highlight w:val="none"/>
                <w:lang w:val="en-US" w:eastAsia="zh-CN" w:bidi="ar-SA"/>
                <w14:textFill>
                  <w14:solidFill>
                    <w14:schemeClr w14:val="tx1"/>
                  </w14:solidFill>
                </w14:textFill>
              </w:rPr>
              <w:t>挥发性有机物（VOCs）无组织在排放</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执行</w:t>
            </w:r>
            <w:r>
              <w:rPr>
                <w:rFonts w:hint="default" w:cs="Times New Roman"/>
                <w:bCs/>
                <w:color w:val="000000" w:themeColor="text1"/>
                <w:kern w:val="2"/>
                <w:sz w:val="24"/>
                <w:szCs w:val="24"/>
                <w:highlight w:val="none"/>
                <w:lang w:val="en-US" w:eastAsia="zh-CN" w:bidi="ar-SA"/>
                <w14:textFill>
                  <w14:solidFill>
                    <w14:schemeClr w14:val="tx1"/>
                  </w14:solidFill>
                </w14:textFill>
              </w:rPr>
              <w:t>《铸造工业大气污染物排放标准》（GB39726-2020）</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附录A表A.1</w:t>
            </w:r>
            <w:r>
              <w:rPr>
                <w:rFonts w:hint="eastAsia" w:cs="Times New Roman"/>
                <w:bCs/>
                <w:color w:val="000000" w:themeColor="text1"/>
                <w:kern w:val="2"/>
                <w:sz w:val="24"/>
                <w:szCs w:val="24"/>
                <w:highlight w:val="none"/>
                <w:lang w:val="en-US" w:eastAsia="zh-CN" w:bidi="ar-SA"/>
                <w14:textFill>
                  <w14:solidFill>
                    <w14:schemeClr w14:val="tx1"/>
                  </w14:solidFill>
                </w14:textFill>
              </w:rPr>
              <w:t>厂区内颗粒物、VOCs无组织</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排放限值。</w:t>
            </w:r>
          </w:p>
          <w:p w14:paraId="3948838A">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②机加工废气（颗粒物）：主要污染物为金属打磨时产生的金属颗粒物</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cs="Times New Roman"/>
                <w:bCs/>
                <w:color w:val="000000" w:themeColor="text1"/>
                <w:kern w:val="2"/>
                <w:sz w:val="24"/>
                <w:szCs w:val="24"/>
                <w:highlight w:val="none"/>
                <w:lang w:val="en-US" w:eastAsia="zh-CN" w:bidi="ar-SA"/>
                <w14:textFill>
                  <w14:solidFill>
                    <w14:schemeClr w14:val="tx1"/>
                  </w14:solidFill>
                </w14:textFill>
              </w:rPr>
              <w:t>厂界</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颗粒物</w:t>
            </w:r>
            <w:r>
              <w:rPr>
                <w:rFonts w:hint="eastAsia" w:cs="Times New Roman"/>
                <w:bCs/>
                <w:color w:val="000000" w:themeColor="text1"/>
                <w:kern w:val="2"/>
                <w:sz w:val="24"/>
                <w:szCs w:val="24"/>
                <w:highlight w:val="none"/>
                <w:lang w:val="en-US" w:eastAsia="zh-CN" w:bidi="ar-SA"/>
                <w14:textFill>
                  <w14:solidFill>
                    <w14:schemeClr w14:val="tx1"/>
                  </w14:solidFill>
                </w14:textFill>
              </w:rPr>
              <w:t>无组织排放</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执行《大气污染物综合排放标准》（GB16297-1996）中表2无组织排放标准。</w:t>
            </w:r>
            <w:r>
              <w:rPr>
                <w:rFonts w:hint="eastAsia" w:cs="Times New Roman"/>
                <w:bCs/>
                <w:color w:val="000000" w:themeColor="text1"/>
                <w:kern w:val="2"/>
                <w:sz w:val="24"/>
                <w:szCs w:val="24"/>
                <w:highlight w:val="none"/>
                <w:lang w:val="en-US" w:eastAsia="zh-CN" w:bidi="ar-SA"/>
                <w14:textFill>
                  <w14:solidFill>
                    <w14:schemeClr w14:val="tx1"/>
                  </w14:solidFill>
                </w14:textFill>
              </w:rPr>
              <w:t>厂区内颗粒物无组织排放执行</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《铸造工业大气污染物排放标准》（GB39726-2020）中</w:t>
            </w:r>
            <w:r>
              <w:rPr>
                <w:rFonts w:hint="eastAsia" w:ascii="Times New Roman" w:hAnsi="Times New Roman" w:eastAsia="宋体" w:cs="Times New Roman"/>
                <w:bCs/>
                <w:color w:val="auto"/>
                <w:kern w:val="2"/>
                <w:sz w:val="24"/>
                <w:szCs w:val="24"/>
                <w:highlight w:val="none"/>
                <w:lang w:val="en-US" w:eastAsia="zh-CN" w:bidi="ar-SA"/>
              </w:rPr>
              <w:t>表A.1 厂区内颗粒物</w:t>
            </w:r>
            <w:r>
              <w:rPr>
                <w:rFonts w:hint="eastAsia"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VOCs无组织排放限值</w:t>
            </w:r>
          </w:p>
          <w:p w14:paraId="572E0D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表3.7-4 无组织废气污染物排放标准</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832"/>
              <w:gridCol w:w="1235"/>
              <w:gridCol w:w="4574"/>
            </w:tblGrid>
            <w:tr w14:paraId="1824B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0" w:type="pct"/>
                  <w:vMerge w:val="restart"/>
                  <w:tcBorders>
                    <w:tl2br w:val="nil"/>
                    <w:tr2bl w:val="nil"/>
                  </w:tcBorders>
                  <w:vAlign w:val="center"/>
                </w:tcPr>
                <w:p w14:paraId="3AB9BCC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污染物名称</w:t>
                  </w:r>
                </w:p>
              </w:tc>
              <w:tc>
                <w:tcPr>
                  <w:tcW w:w="1798" w:type="pct"/>
                  <w:gridSpan w:val="2"/>
                  <w:tcBorders>
                    <w:tl2br w:val="nil"/>
                    <w:tr2bl w:val="nil"/>
                  </w:tcBorders>
                  <w:vAlign w:val="center"/>
                </w:tcPr>
                <w:p w14:paraId="2BBB815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无组织排放浓度限值</w:t>
                  </w:r>
                </w:p>
              </w:tc>
              <w:tc>
                <w:tcPr>
                  <w:tcW w:w="2681" w:type="pct"/>
                  <w:vMerge w:val="restart"/>
                  <w:tcBorders>
                    <w:tl2br w:val="nil"/>
                    <w:tr2bl w:val="nil"/>
                  </w:tcBorders>
                  <w:vAlign w:val="center"/>
                </w:tcPr>
                <w:p w14:paraId="17AEFD1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14:paraId="6E0DD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0" w:type="pct"/>
                  <w:vMerge w:val="continue"/>
                  <w:tcBorders>
                    <w:tl2br w:val="nil"/>
                    <w:tr2bl w:val="nil"/>
                  </w:tcBorders>
                  <w:vAlign w:val="center"/>
                </w:tcPr>
                <w:p w14:paraId="4967B386">
                  <w:pPr>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highlight w:val="none"/>
                      <w14:textFill>
                        <w14:solidFill>
                          <w14:schemeClr w14:val="tx1"/>
                        </w14:solidFill>
                      </w14:textFill>
                    </w:rPr>
                  </w:pPr>
                </w:p>
              </w:tc>
              <w:tc>
                <w:tcPr>
                  <w:tcW w:w="1074" w:type="pct"/>
                  <w:tcBorders>
                    <w:tl2br w:val="nil"/>
                    <w:tr2bl w:val="nil"/>
                  </w:tcBorders>
                  <w:vAlign w:val="center"/>
                </w:tcPr>
                <w:p w14:paraId="3B30878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监控点</w:t>
                  </w:r>
                </w:p>
              </w:tc>
              <w:tc>
                <w:tcPr>
                  <w:tcW w:w="724" w:type="pct"/>
                  <w:tcBorders>
                    <w:tl2br w:val="nil"/>
                    <w:tr2bl w:val="nil"/>
                  </w:tcBorders>
                  <w:vAlign w:val="center"/>
                </w:tcPr>
                <w:p w14:paraId="2170DE0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浓度mg/m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2681" w:type="pct"/>
                  <w:vMerge w:val="continue"/>
                  <w:tcBorders>
                    <w:tl2br w:val="nil"/>
                    <w:tr2bl w:val="nil"/>
                  </w:tcBorders>
                  <w:vAlign w:val="center"/>
                </w:tcPr>
                <w:p w14:paraId="6E5893C0">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7936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20" w:type="pct"/>
                  <w:vMerge w:val="restart"/>
                  <w:tcBorders>
                    <w:tl2br w:val="nil"/>
                    <w:tr2bl w:val="nil"/>
                  </w:tcBorders>
                  <w:vAlign w:val="center"/>
                </w:tcPr>
                <w:p w14:paraId="5060D87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非甲烷总烃</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（以VOCs计）</w:t>
                  </w:r>
                </w:p>
              </w:tc>
              <w:tc>
                <w:tcPr>
                  <w:tcW w:w="1074" w:type="pct"/>
                  <w:tcBorders>
                    <w:tl2br w:val="nil"/>
                    <w:tr2bl w:val="nil"/>
                  </w:tcBorders>
                  <w:vAlign w:val="center"/>
                </w:tcPr>
                <w:p w14:paraId="43ED34C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企业边界</w:t>
                  </w:r>
                </w:p>
              </w:tc>
              <w:tc>
                <w:tcPr>
                  <w:tcW w:w="724" w:type="pct"/>
                  <w:tcBorders>
                    <w:tl2br w:val="nil"/>
                    <w:tr2bl w:val="nil"/>
                  </w:tcBorders>
                  <w:vAlign w:val="center"/>
                </w:tcPr>
                <w:p w14:paraId="7276903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2681" w:type="pct"/>
                  <w:tcBorders>
                    <w:tl2br w:val="nil"/>
                    <w:tr2bl w:val="nil"/>
                  </w:tcBorders>
                  <w:vAlign w:val="center"/>
                </w:tcPr>
                <w:p w14:paraId="141026D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FF0000"/>
                      <w:sz w:val="21"/>
                      <w:szCs w:val="21"/>
                      <w:highlight w:val="none"/>
                      <w:vertAlign w:val="baseline"/>
                      <w:lang w:val="en-US" w:eastAsia="zh-CN"/>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《工业企业挥发性有机物排放标准》（DB35/1782-2018）表3中非甲烷总烃排放标准</w:t>
                  </w:r>
                </w:p>
              </w:tc>
            </w:tr>
            <w:tr w14:paraId="36796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520" w:type="pct"/>
                  <w:vMerge w:val="continue"/>
                  <w:tcBorders>
                    <w:tl2br w:val="nil"/>
                    <w:tr2bl w:val="nil"/>
                  </w:tcBorders>
                  <w:vAlign w:val="center"/>
                </w:tcPr>
                <w:p w14:paraId="3FC9E8B7">
                  <w:pPr>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highlight w:val="none"/>
                      <w14:textFill>
                        <w14:solidFill>
                          <w14:schemeClr w14:val="tx1"/>
                        </w14:solidFill>
                      </w14:textFill>
                    </w:rPr>
                  </w:pPr>
                </w:p>
              </w:tc>
              <w:tc>
                <w:tcPr>
                  <w:tcW w:w="1074" w:type="pct"/>
                  <w:tcBorders>
                    <w:tl2br w:val="nil"/>
                    <w:tr2bl w:val="nil"/>
                  </w:tcBorders>
                  <w:vAlign w:val="center"/>
                </w:tcPr>
                <w:p w14:paraId="3015F81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厂区内监控点处1小时平均浓度值</w:t>
                  </w:r>
                </w:p>
              </w:tc>
              <w:tc>
                <w:tcPr>
                  <w:tcW w:w="724" w:type="pct"/>
                  <w:tcBorders>
                    <w:tl2br w:val="nil"/>
                    <w:tr2bl w:val="nil"/>
                  </w:tcBorders>
                  <w:vAlign w:val="center"/>
                </w:tcPr>
                <w:p w14:paraId="60A1339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2681" w:type="pct"/>
                  <w:vMerge w:val="restart"/>
                  <w:tcBorders>
                    <w:tl2br w:val="nil"/>
                    <w:tr2bl w:val="nil"/>
                  </w:tcBorders>
                  <w:vAlign w:val="center"/>
                </w:tcPr>
                <w:p w14:paraId="68164B6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《铸造工业大气污染物排放标准》（GB39726-2020）中</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表A.1 厂区内颗粒物</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VOCs无组织排放限值</w:t>
                  </w:r>
                </w:p>
              </w:tc>
            </w:tr>
            <w:tr w14:paraId="22FA0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20" w:type="pct"/>
                  <w:vMerge w:val="continue"/>
                  <w:tcBorders>
                    <w:tl2br w:val="nil"/>
                    <w:tr2bl w:val="nil"/>
                  </w:tcBorders>
                  <w:vAlign w:val="center"/>
                </w:tcPr>
                <w:p w14:paraId="1F152BA0">
                  <w:pPr>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074" w:type="pct"/>
                  <w:tcBorders>
                    <w:tl2br w:val="nil"/>
                    <w:tr2bl w:val="nil"/>
                  </w:tcBorders>
                  <w:vAlign w:val="center"/>
                </w:tcPr>
                <w:p w14:paraId="5C8CA2E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厂区内监控点处任意一次浓度值</w:t>
                  </w:r>
                </w:p>
              </w:tc>
              <w:tc>
                <w:tcPr>
                  <w:tcW w:w="724" w:type="pct"/>
                  <w:tcBorders>
                    <w:tl2br w:val="nil"/>
                    <w:tr2bl w:val="nil"/>
                  </w:tcBorders>
                  <w:vAlign w:val="center"/>
                </w:tcPr>
                <w:p w14:paraId="33888C47">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FF0000"/>
                      <w:sz w:val="21"/>
                      <w:szCs w:val="21"/>
                      <w:highlight w:val="none"/>
                      <w:vertAlign w:val="baseline"/>
                      <w:lang w:val="en-US" w:eastAsia="zh-CN"/>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w:t>
                  </w:r>
                </w:p>
              </w:tc>
              <w:tc>
                <w:tcPr>
                  <w:tcW w:w="2681" w:type="pct"/>
                  <w:vMerge w:val="continue"/>
                  <w:tcBorders>
                    <w:tl2br w:val="nil"/>
                    <w:tr2bl w:val="nil"/>
                  </w:tcBorders>
                  <w:vAlign w:val="center"/>
                </w:tcPr>
                <w:p w14:paraId="55D5A42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FF0000"/>
                      <w:sz w:val="21"/>
                      <w:szCs w:val="21"/>
                      <w:highlight w:val="none"/>
                      <w:vertAlign w:val="baseline"/>
                      <w:lang w:val="en-US" w:eastAsia="zh-CN"/>
                    </w:rPr>
                  </w:pPr>
                </w:p>
              </w:tc>
            </w:tr>
            <w:tr w14:paraId="6B7A9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20" w:type="pct"/>
                  <w:vMerge w:val="restart"/>
                  <w:tcBorders>
                    <w:tl2br w:val="nil"/>
                    <w:tr2bl w:val="nil"/>
                  </w:tcBorders>
                  <w:shd w:val="clear" w:color="auto" w:fill="auto"/>
                  <w:vAlign w:val="center"/>
                </w:tcPr>
                <w:p w14:paraId="7920EC1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1074" w:type="pct"/>
                  <w:tcBorders>
                    <w:tl2br w:val="nil"/>
                    <w:tr2bl w:val="nil"/>
                  </w:tcBorders>
                  <w:shd w:val="clear" w:color="auto" w:fill="auto"/>
                  <w:vAlign w:val="center"/>
                </w:tcPr>
                <w:p w14:paraId="71995E8D">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企业边界</w:t>
                  </w:r>
                </w:p>
              </w:tc>
              <w:tc>
                <w:tcPr>
                  <w:tcW w:w="724" w:type="pct"/>
                  <w:tcBorders>
                    <w:tl2br w:val="nil"/>
                    <w:tr2bl w:val="nil"/>
                  </w:tcBorders>
                  <w:shd w:val="clear" w:color="auto" w:fill="auto"/>
                  <w:vAlign w:val="center"/>
                </w:tcPr>
                <w:p w14:paraId="51D75BA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1.0</w:t>
                  </w:r>
                </w:p>
              </w:tc>
              <w:tc>
                <w:tcPr>
                  <w:tcW w:w="2681" w:type="pct"/>
                  <w:tcBorders>
                    <w:tl2br w:val="nil"/>
                    <w:tr2bl w:val="nil"/>
                  </w:tcBorders>
                  <w:shd w:val="clear" w:color="auto" w:fill="auto"/>
                  <w:vAlign w:val="center"/>
                </w:tcPr>
                <w:p w14:paraId="4D34185C">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《大气污染物综合排放标准》（GB16297-1996）中表2无组织排放标准</w:t>
                  </w:r>
                </w:p>
              </w:tc>
            </w:tr>
            <w:tr w14:paraId="4FD56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20" w:type="pct"/>
                  <w:vMerge w:val="continue"/>
                  <w:tcBorders>
                    <w:tl2br w:val="nil"/>
                    <w:tr2bl w:val="nil"/>
                  </w:tcBorders>
                  <w:shd w:val="clear" w:color="auto" w:fill="auto"/>
                  <w:vAlign w:val="center"/>
                </w:tcPr>
                <w:p w14:paraId="0A5D4F16">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bookmarkStart w:id="93" w:name="_Toc2403"/>
                  <w:bookmarkStart w:id="94" w:name="_Toc12906"/>
                </w:p>
              </w:tc>
              <w:tc>
                <w:tcPr>
                  <w:tcW w:w="1074" w:type="pct"/>
                  <w:tcBorders>
                    <w:tl2br w:val="nil"/>
                    <w:tr2bl w:val="nil"/>
                  </w:tcBorders>
                  <w:shd w:val="clear" w:color="auto" w:fill="auto"/>
                  <w:vAlign w:val="center"/>
                </w:tcPr>
                <w:p w14:paraId="2C2AF31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厂区内监控点处1h平均浓度值</w:t>
                  </w:r>
                </w:p>
              </w:tc>
              <w:tc>
                <w:tcPr>
                  <w:tcW w:w="724" w:type="pct"/>
                  <w:tcBorders>
                    <w:tl2br w:val="nil"/>
                    <w:tr2bl w:val="nil"/>
                  </w:tcBorders>
                  <w:shd w:val="clear" w:color="auto" w:fill="auto"/>
                  <w:vAlign w:val="center"/>
                </w:tcPr>
                <w:p w14:paraId="65793857">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5</w:t>
                  </w:r>
                </w:p>
              </w:tc>
              <w:tc>
                <w:tcPr>
                  <w:tcW w:w="2681" w:type="pct"/>
                  <w:tcBorders>
                    <w:tl2br w:val="nil"/>
                    <w:tr2bl w:val="nil"/>
                  </w:tcBorders>
                  <w:shd w:val="clear" w:color="auto" w:fill="auto"/>
                  <w:vAlign w:val="center"/>
                </w:tcPr>
                <w:p w14:paraId="3075199E">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《铸造工业大气污染物排放标准》（GB39726-2020）中</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表A.1 厂区内颗粒物</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VOCs无组织排放限值</w:t>
                  </w:r>
                </w:p>
              </w:tc>
            </w:tr>
          </w:tbl>
          <w:p w14:paraId="32D017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3.7.3噪声</w:t>
            </w:r>
            <w:bookmarkEnd w:id="93"/>
            <w:bookmarkEnd w:id="94"/>
          </w:p>
          <w:p w14:paraId="0BC0FB06">
            <w:pPr>
              <w:widowControl/>
              <w:spacing w:line="360" w:lineRule="auto"/>
              <w:ind w:firstLine="480" w:firstLineChars="200"/>
              <w:jc w:val="both"/>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color w:val="000000" w:themeColor="text1"/>
                <w:sz w:val="24"/>
                <w:highlight w:val="none"/>
                <w:lang w:val="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生产工作时间为8小时工作制，夜间不进行生产。</w:t>
            </w:r>
            <w:r>
              <w:rPr>
                <w:rFonts w:hint="default" w:ascii="Times New Roman" w:hAnsi="Times New Roman" w:eastAsia="宋体" w:cs="Times New Roman"/>
                <w:color w:val="000000" w:themeColor="text1"/>
                <w:sz w:val="24"/>
                <w:szCs w:val="24"/>
                <w:highlight w:val="none"/>
                <w14:textFill>
                  <w14:solidFill>
                    <w14:schemeClr w14:val="tx1"/>
                  </w14:solidFill>
                </w14:textFill>
              </w:rPr>
              <w:t>运营期</w:t>
            </w:r>
            <w:r>
              <w:rPr>
                <w:color w:val="000000" w:themeColor="text1"/>
                <w:sz w:val="24"/>
                <w:highlight w:val="none"/>
                <w:lang w:val="zh-CN"/>
                <w14:textFill>
                  <w14:solidFill>
                    <w14:schemeClr w14:val="tx1"/>
                  </w14:solidFill>
                </w14:textFill>
              </w:rPr>
              <w:t>厂界噪声排放执行《工业企业厂界环境噪声排放标准》</w:t>
            </w:r>
            <w:r>
              <w:rPr>
                <w:rFonts w:hint="eastAsia"/>
                <w:color w:val="000000" w:themeColor="text1"/>
                <w:sz w:val="24"/>
                <w:highlight w:val="none"/>
                <w:lang w:val="zh-CN"/>
                <w14:textFill>
                  <w14:solidFill>
                    <w14:schemeClr w14:val="tx1"/>
                  </w14:solidFill>
                </w14:textFill>
              </w:rPr>
              <w:t>（</w:t>
            </w:r>
            <w:r>
              <w:rPr>
                <w:color w:val="000000" w:themeColor="text1"/>
                <w:sz w:val="24"/>
                <w:highlight w:val="none"/>
                <w:lang w:val="zh-CN"/>
                <w14:textFill>
                  <w14:solidFill>
                    <w14:schemeClr w14:val="tx1"/>
                  </w14:solidFill>
                </w14:textFill>
              </w:rPr>
              <w:t>GB12348-2008</w:t>
            </w:r>
            <w:r>
              <w:rPr>
                <w:rFonts w:hint="eastAsia"/>
                <w:color w:val="000000" w:themeColor="text1"/>
                <w:sz w:val="24"/>
                <w:highlight w:val="none"/>
                <w:lang w:val="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表1</w:t>
            </w:r>
            <w:r>
              <w:rPr>
                <w:color w:val="000000" w:themeColor="text1"/>
                <w:sz w:val="24"/>
                <w:highlight w:val="none"/>
                <w:lang w:val="zh-CN"/>
                <w14:textFill>
                  <w14:solidFill>
                    <w14:schemeClr w14:val="tx1"/>
                  </w14:solidFill>
                </w14:textFill>
              </w:rPr>
              <w:t>中的3类标准。</w:t>
            </w:r>
            <w:r>
              <w:rPr>
                <w:rFonts w:hint="eastAsia"/>
                <w:color w:val="000000" w:themeColor="text1"/>
                <w:sz w:val="24"/>
                <w:highlight w:val="none"/>
                <w:lang w:val="en-US" w:eastAsia="zh-CN"/>
                <w14:textFill>
                  <w14:solidFill>
                    <w14:schemeClr w14:val="tx1"/>
                  </w14:solidFill>
                </w14:textFill>
              </w:rPr>
              <w:t>详见表3.7-5。</w:t>
            </w:r>
          </w:p>
          <w:p w14:paraId="533E453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5" w:name="_Toc31199"/>
            <w:bookmarkStart w:id="96" w:name="_Toc19195"/>
            <w:bookmarkStart w:id="97" w:name="_Toc25865"/>
            <w:bookmarkStart w:id="98" w:name="_Toc8302"/>
            <w:r>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表3.7-5 《工业企业厂界环境噪声排放标准》（GB12348-2008）表1（摘录）</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93"/>
              <w:gridCol w:w="1512"/>
              <w:gridCol w:w="1432"/>
              <w:gridCol w:w="1491"/>
            </w:tblGrid>
            <w:tr w14:paraId="0E8C6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399" w:type="pct"/>
                  <w:tcBorders>
                    <w:tl2br w:val="single" w:color="auto" w:sz="2" w:space="0"/>
                  </w:tcBorders>
                  <w:noWrap w:val="0"/>
                  <w:vAlign w:val="center"/>
                </w:tcPr>
                <w:p w14:paraId="5B8FAC0A">
                  <w:pPr>
                    <w:snapToGrid w:val="0"/>
                    <w:spacing w:line="340" w:lineRule="exact"/>
                    <w:jc w:val="righ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时段</w:t>
                  </w:r>
                </w:p>
                <w:p w14:paraId="72DF78FB">
                  <w:pPr>
                    <w:snapToGrid w:val="0"/>
                    <w:spacing w:line="340" w:lineRule="exact"/>
                    <w:rPr>
                      <w:snapToGrid w:val="0"/>
                      <w:color w:val="000000" w:themeColor="text1"/>
                      <w:kern w:val="18"/>
                      <w:szCs w:val="21"/>
                      <w:highlight w:val="none"/>
                      <w14:textFill>
                        <w14:solidFill>
                          <w14:schemeClr w14:val="tx1"/>
                        </w14:solidFill>
                      </w14:textFill>
                    </w:rPr>
                  </w:pPr>
                  <w:r>
                    <w:rPr>
                      <w:snapToGrid w:val="0"/>
                      <w:color w:val="000000" w:themeColor="text1"/>
                      <w:kern w:val="18"/>
                      <w:szCs w:val="21"/>
                      <w:highlight w:val="none"/>
                      <w14:textFill>
                        <w14:solidFill>
                          <w14:schemeClr w14:val="tx1"/>
                        </w14:solidFill>
                      </w14:textFill>
                    </w:rPr>
                    <w:t>厂界外声环境功能区类别</w:t>
                  </w:r>
                </w:p>
              </w:tc>
              <w:tc>
                <w:tcPr>
                  <w:tcW w:w="886" w:type="pct"/>
                  <w:noWrap w:val="0"/>
                  <w:vAlign w:val="center"/>
                </w:tcPr>
                <w:p w14:paraId="02C5A537">
                  <w:pPr>
                    <w:snapToGrid w:val="0"/>
                    <w:spacing w:line="340" w:lineRule="exact"/>
                    <w:jc w:val="center"/>
                    <w:rPr>
                      <w:rFonts w:hint="eastAsia"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单位</w:t>
                  </w:r>
                </w:p>
              </w:tc>
              <w:tc>
                <w:tcPr>
                  <w:tcW w:w="839" w:type="pct"/>
                  <w:noWrap w:val="0"/>
                  <w:vAlign w:val="center"/>
                </w:tcPr>
                <w:p w14:paraId="355BF557">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eastAsia="宋体"/>
                      <w:snapToGrid w:val="0"/>
                      <w:color w:val="000000" w:themeColor="text1"/>
                      <w:kern w:val="18"/>
                      <w:szCs w:val="21"/>
                      <w:highlight w:val="none"/>
                      <w:lang w:val="en-US" w:eastAsia="zh-CN"/>
                      <w14:textFill>
                        <w14:solidFill>
                          <w14:schemeClr w14:val="tx1"/>
                        </w14:solidFill>
                      </w14:textFill>
                    </w:rPr>
                    <w:t>昼间</w:t>
                  </w:r>
                </w:p>
              </w:tc>
              <w:tc>
                <w:tcPr>
                  <w:tcW w:w="874" w:type="pct"/>
                  <w:noWrap w:val="0"/>
                  <w:vAlign w:val="center"/>
                </w:tcPr>
                <w:p w14:paraId="4622D97B">
                  <w:pPr>
                    <w:snapToGrid w:val="0"/>
                    <w:spacing w:line="340" w:lineRule="exact"/>
                    <w:jc w:val="center"/>
                    <w:rPr>
                      <w:rFonts w:hint="default"/>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夜间</w:t>
                  </w:r>
                </w:p>
              </w:tc>
            </w:tr>
            <w:tr w14:paraId="07363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99" w:type="pct"/>
                  <w:noWrap w:val="0"/>
                  <w:vAlign w:val="center"/>
                </w:tcPr>
                <w:p w14:paraId="6372DCDF">
                  <w:pPr>
                    <w:snapToGrid w:val="0"/>
                    <w:spacing w:line="340" w:lineRule="exact"/>
                    <w:jc w:val="center"/>
                    <w:rPr>
                      <w:snapToGrid w:val="0"/>
                      <w:color w:val="000000" w:themeColor="text1"/>
                      <w:kern w:val="18"/>
                      <w:szCs w:val="21"/>
                      <w:highlight w:val="none"/>
                      <w14:textFill>
                        <w14:solidFill>
                          <w14:schemeClr w14:val="tx1"/>
                        </w14:solidFill>
                      </w14:textFill>
                    </w:rPr>
                  </w:pPr>
                  <w:r>
                    <w:rPr>
                      <w:rFonts w:hint="eastAsia"/>
                      <w:snapToGrid w:val="0"/>
                      <w:color w:val="000000" w:themeColor="text1"/>
                      <w:kern w:val="18"/>
                      <w:szCs w:val="21"/>
                      <w:highlight w:val="none"/>
                      <w14:textFill>
                        <w14:solidFill>
                          <w14:schemeClr w14:val="tx1"/>
                        </w14:solidFill>
                      </w14:textFill>
                    </w:rPr>
                    <w:t>3</w:t>
                  </w:r>
                  <w:r>
                    <w:rPr>
                      <w:snapToGrid w:val="0"/>
                      <w:color w:val="000000" w:themeColor="text1"/>
                      <w:kern w:val="18"/>
                      <w:szCs w:val="21"/>
                      <w:highlight w:val="none"/>
                      <w14:textFill>
                        <w14:solidFill>
                          <w14:schemeClr w14:val="tx1"/>
                        </w14:solidFill>
                      </w14:textFill>
                    </w:rPr>
                    <w:t>类</w:t>
                  </w:r>
                </w:p>
              </w:tc>
              <w:tc>
                <w:tcPr>
                  <w:tcW w:w="886" w:type="pct"/>
                  <w:noWrap w:val="0"/>
                  <w:vAlign w:val="center"/>
                </w:tcPr>
                <w:p w14:paraId="3073A7E2">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rFonts w:hint="eastAsia"/>
                      <w:snapToGrid w:val="0"/>
                      <w:color w:val="000000" w:themeColor="text1"/>
                      <w:kern w:val="18"/>
                      <w:szCs w:val="21"/>
                      <w:highlight w:val="none"/>
                      <w:lang w:val="en-US" w:eastAsia="zh-CN"/>
                      <w14:textFill>
                        <w14:solidFill>
                          <w14:schemeClr w14:val="tx1"/>
                        </w14:solidFill>
                      </w14:textFill>
                    </w:rPr>
                    <w:t>dB(A)</w:t>
                  </w:r>
                </w:p>
              </w:tc>
              <w:tc>
                <w:tcPr>
                  <w:tcW w:w="839" w:type="pct"/>
                  <w:noWrap w:val="0"/>
                  <w:vAlign w:val="center"/>
                </w:tcPr>
                <w:p w14:paraId="1A402EA4">
                  <w:pPr>
                    <w:snapToGrid w:val="0"/>
                    <w:spacing w:line="340" w:lineRule="exact"/>
                    <w:jc w:val="center"/>
                    <w:rPr>
                      <w:rFonts w:hint="default"/>
                      <w:snapToGrid w:val="0"/>
                      <w:color w:val="000000" w:themeColor="text1"/>
                      <w:kern w:val="18"/>
                      <w:szCs w:val="21"/>
                      <w:highlight w:val="none"/>
                      <w:lang w:val="en-US"/>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65</w:t>
                  </w:r>
                </w:p>
              </w:tc>
              <w:tc>
                <w:tcPr>
                  <w:tcW w:w="874" w:type="pct"/>
                  <w:noWrap w:val="0"/>
                  <w:vAlign w:val="center"/>
                </w:tcPr>
                <w:p w14:paraId="361F033D">
                  <w:pPr>
                    <w:snapToGrid w:val="0"/>
                    <w:spacing w:line="340" w:lineRule="exact"/>
                    <w:jc w:val="center"/>
                    <w:rPr>
                      <w:rFonts w:hint="default" w:eastAsia="宋体"/>
                      <w:snapToGrid w:val="0"/>
                      <w:color w:val="000000" w:themeColor="text1"/>
                      <w:kern w:val="18"/>
                      <w:szCs w:val="21"/>
                      <w:highlight w:val="none"/>
                      <w:lang w:val="en-US" w:eastAsia="zh-CN"/>
                      <w14:textFill>
                        <w14:solidFill>
                          <w14:schemeClr w14:val="tx1"/>
                        </w14:solidFill>
                      </w14:textFill>
                    </w:rPr>
                  </w:pPr>
                  <w:r>
                    <w:rPr>
                      <w:snapToGrid w:val="0"/>
                      <w:color w:val="000000" w:themeColor="text1"/>
                      <w:kern w:val="18"/>
                      <w:szCs w:val="21"/>
                      <w:highlight w:val="none"/>
                      <w14:textFill>
                        <w14:solidFill>
                          <w14:schemeClr w14:val="tx1"/>
                        </w14:solidFill>
                      </w14:textFill>
                    </w:rPr>
                    <w:t>≤</w:t>
                  </w:r>
                  <w:r>
                    <w:rPr>
                      <w:rFonts w:hint="eastAsia"/>
                      <w:snapToGrid w:val="0"/>
                      <w:color w:val="000000" w:themeColor="text1"/>
                      <w:kern w:val="18"/>
                      <w:szCs w:val="21"/>
                      <w:highlight w:val="none"/>
                      <w:lang w:val="en-US" w:eastAsia="zh-CN"/>
                      <w14:textFill>
                        <w14:solidFill>
                          <w14:schemeClr w14:val="tx1"/>
                        </w14:solidFill>
                      </w14:textFill>
                    </w:rPr>
                    <w:t>55</w:t>
                  </w:r>
                </w:p>
              </w:tc>
            </w:tr>
          </w:tbl>
          <w:p w14:paraId="4566384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99" w:name="_Toc23703"/>
            <w:bookmarkStart w:id="100" w:name="_Toc4224"/>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3.7.4固废</w:t>
            </w:r>
            <w:bookmarkEnd w:id="95"/>
            <w:bookmarkEnd w:id="96"/>
            <w:bookmarkEnd w:id="97"/>
            <w:bookmarkEnd w:id="98"/>
            <w:bookmarkEnd w:id="99"/>
            <w:bookmarkEnd w:id="100"/>
          </w:p>
          <w:p w14:paraId="0CE66E64">
            <w:pPr>
              <w:widowControl/>
              <w:spacing w:line="360" w:lineRule="auto"/>
              <w:ind w:firstLine="480" w:firstLineChars="200"/>
              <w:jc w:val="both"/>
              <w:rPr>
                <w:rFonts w:hint="eastAsia"/>
                <w:vertAlign w:val="baseline"/>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运营期项目内产生的一般工业固废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应按照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《一般工业固体废物贮存和填埋污染控制标准》（GB18599-2020）要求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项目产生的危险废物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《危险废物贮存污染控制标准》（GB18597-2023）要求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，危险废物识别标志按照《危险废物识别标志设置技术规范》（HJ 1276-2022）要求进行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，危险废物转移按照《危险废物转移管理办法》要求进行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52D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14:paraId="22878926">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rPr>
              <w:t>总量控制指标</w:t>
            </w:r>
          </w:p>
        </w:tc>
        <w:tc>
          <w:tcPr>
            <w:tcW w:w="8749" w:type="dxa"/>
          </w:tcPr>
          <w:p w14:paraId="2F3CF6A1">
            <w:pPr>
              <w:pStyle w:val="46"/>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000000" w:themeColor="text1"/>
                <w:szCs w:val="28"/>
                <w:highlight w:val="none"/>
                <w:lang w:val="en-US" w:eastAsia="zh-CN"/>
                <w14:textFill>
                  <w14:solidFill>
                    <w14:schemeClr w14:val="tx1"/>
                  </w14:solidFill>
                </w14:textFill>
              </w:rPr>
            </w:pPr>
            <w:bookmarkStart w:id="101" w:name="_Toc6733"/>
            <w:bookmarkStart w:id="102" w:name="_Toc11226"/>
            <w:r>
              <w:rPr>
                <w:rFonts w:hint="eastAsia"/>
                <w:color w:val="000000" w:themeColor="text1"/>
                <w:szCs w:val="28"/>
                <w:highlight w:val="none"/>
                <w:lang w:val="en-US" w:eastAsia="zh-CN"/>
                <w14:textFill>
                  <w14:solidFill>
                    <w14:schemeClr w14:val="tx1"/>
                  </w14:solidFill>
                </w14:textFill>
              </w:rPr>
              <w:t>3.8总量控制</w:t>
            </w:r>
            <w:bookmarkEnd w:id="101"/>
            <w:bookmarkEnd w:id="102"/>
          </w:p>
          <w:p w14:paraId="6DA519CC">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宋体"/>
                <w:color w:val="000000" w:themeColor="text1"/>
                <w:highlight w:val="none"/>
                <w:lang w:val="en-US" w:eastAsia="zh-CN"/>
                <w14:textFill>
                  <w14:solidFill>
                    <w14:schemeClr w14:val="tx1"/>
                  </w14:solidFill>
                </w14:textFill>
              </w:rPr>
              <w:t>-N、SO</w:t>
            </w:r>
            <w:r>
              <w:rPr>
                <w:rFonts w:hint="default" w:ascii="Times New Roman" w:hAnsi="Times New Roman" w:eastAsia="宋体" w:cs="宋体"/>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及NOx</w:t>
            </w:r>
            <w:r>
              <w:rPr>
                <w:rFonts w:hint="eastAsia" w:ascii="Times New Roman" w:hAnsi="Times New Roman" w:cs="宋体"/>
                <w:color w:val="000000" w:themeColor="text1"/>
                <w:highlight w:val="none"/>
                <w:lang w:val="en-US" w:eastAsia="zh-CN"/>
                <w14:textFill>
                  <w14:solidFill>
                    <w14:schemeClr w14:val="tx1"/>
                  </w14:solidFill>
                </w14:textFill>
              </w:rPr>
              <w:t>。</w:t>
            </w:r>
            <w:r>
              <w:rPr>
                <w:rFonts w:hint="default" w:ascii="Times New Roman" w:hAnsi="Times New Roman" w:eastAsia="宋体" w:cs="宋体"/>
                <w:color w:val="000000" w:themeColor="text1"/>
                <w:highlight w:val="none"/>
                <w:lang w:val="en-US" w:eastAsia="zh-CN"/>
                <w14:textFill>
                  <w14:solidFill>
                    <w14:schemeClr w14:val="tx1"/>
                  </w14:solidFill>
                </w14:textFill>
              </w:rPr>
              <w:t>建议性控制指标为VOCs。</w:t>
            </w:r>
          </w:p>
          <w:p w14:paraId="663ED9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03" w:name="_Toc24744"/>
            <w:bookmarkStart w:id="104" w:name="_Toc9316"/>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3.8.1废水总量</w:t>
            </w:r>
            <w:bookmarkEnd w:id="103"/>
            <w:bookmarkEnd w:id="104"/>
          </w:p>
          <w:p w14:paraId="6940E237">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u w:val="none"/>
                <w14:textFill>
                  <w14:solidFill>
                    <w14:schemeClr w14:val="tx1"/>
                  </w14:solidFill>
                </w14:textFill>
              </w:rPr>
            </w:pPr>
            <w:r>
              <w:rPr>
                <w:rFonts w:hint="default" w:ascii="Times New Roman" w:hAnsi="Times New Roman" w:eastAsia="宋体" w:cs="宋体"/>
                <w:color w:val="auto"/>
                <w:highlight w:val="none"/>
                <w:lang w:val="en-US" w:eastAsia="zh-CN"/>
              </w:rPr>
              <w:t>本项目</w:t>
            </w:r>
            <w:r>
              <w:rPr>
                <w:rFonts w:hint="eastAsia"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w:t>
            </w:r>
            <w:r>
              <w:rPr>
                <w:rFonts w:hint="eastAsia"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产品水洗产生废水经循环水处理设施处理后回用于生产不外排，因此不产生生产废水排放</w:t>
            </w:r>
            <w:r>
              <w:rPr>
                <w:rFonts w:hint="eastAsia" w:ascii="Times New Roman" w:hAnsi="Times New Roman" w:eastAsia="宋体" w:cs="宋体"/>
                <w:color w:val="auto"/>
                <w:highlight w:val="none"/>
                <w:lang w:val="en-US" w:eastAsia="zh-CN"/>
              </w:rPr>
              <w:t>。</w:t>
            </w:r>
            <w:r>
              <w:rPr>
                <w:rFonts w:hint="default" w:ascii="Times New Roman" w:hAnsi="Times New Roman" w:eastAsia="宋体" w:cs="宋体"/>
                <w:color w:val="auto"/>
                <w:highlight w:val="none"/>
                <w:lang w:val="en-US" w:eastAsia="zh-CN"/>
              </w:rPr>
              <w:t>生活</w:t>
            </w:r>
            <w:r>
              <w:rPr>
                <w:rFonts w:hint="eastAsia" w:ascii="Times New Roman" w:hAnsi="Times New Roman" w:eastAsia="宋体" w:cs="宋体"/>
                <w:color w:val="auto"/>
                <w:highlight w:val="none"/>
                <w:lang w:val="en-US" w:eastAsia="zh-CN"/>
              </w:rPr>
              <w:t>污水经化粪池</w:t>
            </w:r>
            <w:r>
              <w:rPr>
                <w:rFonts w:hint="default" w:ascii="Times New Roman" w:hAnsi="Times New Roman" w:eastAsia="宋体" w:cs="宋体"/>
                <w:color w:val="auto"/>
                <w:highlight w:val="none"/>
                <w:lang w:val="en-US" w:eastAsia="zh-CN"/>
              </w:rPr>
              <w:t>处理后排入市政污水管网，送往福清市融元污水处理厂进行处理</w:t>
            </w:r>
            <w:r>
              <w:rPr>
                <w:rFonts w:hint="eastAsia" w:ascii="Times New Roman" w:hAnsi="Times New Roman" w:eastAsia="宋体" w:cs="宋体"/>
                <w:color w:val="auto"/>
                <w:highlight w:val="none"/>
                <w:lang w:val="en-US" w:eastAsia="zh-CN"/>
              </w:rPr>
              <w:t>。</w:t>
            </w:r>
            <w:r>
              <w:rPr>
                <w:rFonts w:hint="default" w:ascii="Times New Roman" w:hAnsi="Times New Roman" w:eastAsia="宋体" w:cs="Times New Roman"/>
                <w:color w:val="auto"/>
                <w:sz w:val="24"/>
                <w:szCs w:val="24"/>
                <w:highlight w:val="none"/>
                <w:u w:val="none"/>
              </w:rPr>
              <w:t>根据《福</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建省环保厅关于进一步明确排污权工作有关问题的通知》</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闽环保财</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〔2017〕22号）</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，现有工业排污单位的水污染物的初始排污权只核定工业废水部分，</w:t>
            </w:r>
            <w:r>
              <w:rPr>
                <w:rFonts w:hint="eastAsia" w:ascii="Times New Roman" w:hAnsi="Times New Roman" w:eastAsia="宋体" w:cs="Times New Roman"/>
                <w:color w:val="000000" w:themeColor="text1"/>
                <w:sz w:val="24"/>
                <w:szCs w:val="24"/>
                <w:highlight w:val="none"/>
                <w:u w:val="none"/>
                <w:lang w:eastAsia="zh-CN"/>
                <w14:textFill>
                  <w14:solidFill>
                    <w14:schemeClr w14:val="tx1"/>
                  </w14:solidFill>
                </w14:textFill>
              </w:rPr>
              <w:t>本项目无生产废水的排放，</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项目生活污水排放暂不需要购买相应的排污权指标，因此，</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无需申请总量控制指标。</w:t>
            </w:r>
          </w:p>
          <w:p w14:paraId="23C9BE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bookmarkStart w:id="105" w:name="_Toc5288"/>
            <w:bookmarkStart w:id="106" w:name="_Toc8925"/>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3.8.2废气总量</w:t>
            </w:r>
            <w:bookmarkEnd w:id="105"/>
            <w:bookmarkEnd w:id="106"/>
          </w:p>
          <w:p w14:paraId="7CE296C3">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《福建省环保局关于做好建设项目环保审批污染物总量控制有关工作的通知》</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闽环保监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〔2007〕52号</w:t>
            </w:r>
            <w:r>
              <w:rPr>
                <w:rFonts w:hint="default" w:ascii="Times New Roman" w:hAnsi="Times New Roman" w:eastAsia="宋体" w:cs="Times New Roman"/>
                <w:color w:val="000000" w:themeColor="text1"/>
                <w:sz w:val="24"/>
                <w:szCs w:val="24"/>
                <w:highlight w:val="none"/>
                <w14:textFill>
                  <w14:solidFill>
                    <w14:schemeClr w14:val="tx1"/>
                  </w14:solidFill>
                </w14:textFill>
              </w:rPr>
              <w:t>文</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十三五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主要污染物总量控制规划编制技术指南》的有关总量</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调剂</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项目排放的</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挥发性有机物（VOCs）、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项目废气不涉及SO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、NO</w:t>
            </w:r>
            <w:r>
              <w:rPr>
                <w:rFonts w:hint="default" w:ascii="Times New Roman" w:hAnsi="Times New Roman" w:eastAsia="宋体" w:cs="Times New Roman"/>
                <w:color w:val="000000" w:themeColor="text1"/>
                <w:kern w:val="2"/>
                <w:szCs w:val="24"/>
                <w:highlight w:val="none"/>
                <w:shd w:val="clear" w:color="auto" w:fill="FFFFFF"/>
                <w:vertAlign w:val="subscript"/>
                <w14:textFill>
                  <w14:solidFill>
                    <w14:schemeClr w14:val="tx1"/>
                  </w14:solidFill>
                </w14:textFill>
              </w:rPr>
              <w:t>x</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等属于国家和地方有偿使用和交易的排污权总量指标</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因此，本项目废气总量控制指标为VOCs。</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项目</w:t>
            </w:r>
            <w:r>
              <w:rPr>
                <w:rFonts w:hint="default" w:ascii="Times New Roman" w:hAnsi="Times New Roman" w:eastAsia="宋体" w:cs="Times New Roman"/>
                <w:color w:val="000000" w:themeColor="text1"/>
                <w:kern w:val="2"/>
                <w:szCs w:val="24"/>
                <w:highlight w:val="none"/>
                <w:shd w:val="clear" w:color="auto" w:fill="FFFFFF"/>
                <w:lang w:eastAsia="zh-CN"/>
                <w14:textFill>
                  <w14:solidFill>
                    <w14:schemeClr w14:val="tx1"/>
                  </w14:solidFill>
                </w14:textFill>
              </w:rPr>
              <w:t>废气</w:t>
            </w:r>
            <w:r>
              <w:rPr>
                <w:rFonts w:hint="default" w:ascii="Times New Roman" w:hAnsi="Times New Roman" w:eastAsia="宋体" w:cs="Times New Roman"/>
                <w:color w:val="000000" w:themeColor="text1"/>
                <w:kern w:val="2"/>
                <w:szCs w:val="24"/>
                <w:highlight w:val="none"/>
                <w:shd w:val="clear" w:color="auto" w:fill="FFFFFF"/>
                <w14:textFill>
                  <w14:solidFill>
                    <w14:schemeClr w14:val="tx1"/>
                  </w14:solidFill>
                </w14:textFill>
              </w:rPr>
              <w:t>总量指标详见表3.8-1。</w:t>
            </w:r>
          </w:p>
          <w:p w14:paraId="5A71E43D">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highlight w:val="none"/>
                <w:u w:val="none"/>
                <w:lang w:val="en-GB" w:eastAsia="zh-CN"/>
                <w14:textFill>
                  <w14:solidFill>
                    <w14:schemeClr w14:val="tx1"/>
                  </w14:solidFill>
                </w14:textFill>
              </w:rPr>
              <w:t>项目废气污染物排放总量指标一览表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20"/>
              <w:gridCol w:w="1923"/>
              <w:gridCol w:w="1950"/>
              <w:gridCol w:w="2137"/>
            </w:tblGrid>
            <w:tr w14:paraId="7E05CF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1477" w:type="pct"/>
                  <w:noWrap w:val="0"/>
                  <w:vAlign w:val="center"/>
                </w:tcPr>
                <w:p w14:paraId="3A227B4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污染物</w:t>
                  </w:r>
                </w:p>
              </w:tc>
              <w:tc>
                <w:tcPr>
                  <w:tcW w:w="1127" w:type="pct"/>
                  <w:noWrap w:val="0"/>
                  <w:vAlign w:val="center"/>
                </w:tcPr>
                <w:p w14:paraId="7E678C4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有组织预测排放量</w:t>
                  </w:r>
                </w:p>
              </w:tc>
              <w:tc>
                <w:tcPr>
                  <w:tcW w:w="1143" w:type="pct"/>
                  <w:noWrap w:val="0"/>
                  <w:vAlign w:val="center"/>
                </w:tcPr>
                <w:p w14:paraId="3663404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无组织预测排放量</w:t>
                  </w:r>
                </w:p>
              </w:tc>
              <w:tc>
                <w:tcPr>
                  <w:tcW w:w="1252" w:type="pct"/>
                  <w:noWrap w:val="0"/>
                  <w:vAlign w:val="center"/>
                </w:tcPr>
                <w:p w14:paraId="7EDEDB2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全厂合计预测排放量</w:t>
                  </w:r>
                </w:p>
              </w:tc>
            </w:tr>
            <w:tr w14:paraId="44E84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77" w:type="pct"/>
                  <w:noWrap w:val="0"/>
                  <w:vAlign w:val="center"/>
                </w:tcPr>
                <w:p w14:paraId="55583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挥发性有机物（VOCs）</w:t>
                  </w:r>
                </w:p>
                <w:p w14:paraId="6C0CF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0D706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0.0203</w:t>
                  </w:r>
                </w:p>
              </w:tc>
              <w:tc>
                <w:tcPr>
                  <w:tcW w:w="1143" w:type="pct"/>
                  <w:shd w:val="clear" w:color="auto" w:fill="auto"/>
                  <w:noWrap w:val="0"/>
                  <w:vAlign w:val="center"/>
                </w:tcPr>
                <w:p w14:paraId="68F69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0.0090</w:t>
                  </w:r>
                </w:p>
              </w:tc>
              <w:tc>
                <w:tcPr>
                  <w:tcW w:w="1252" w:type="pct"/>
                  <w:noWrap w:val="0"/>
                  <w:vAlign w:val="center"/>
                </w:tcPr>
                <w:p w14:paraId="2D2F7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0.0293</w:t>
                  </w:r>
                </w:p>
              </w:tc>
            </w:tr>
            <w:tr w14:paraId="23C87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1477" w:type="pct"/>
                  <w:noWrap w:val="0"/>
                  <w:vAlign w:val="center"/>
                </w:tcPr>
                <w:p w14:paraId="56C44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颗粒物</w:t>
                  </w:r>
                </w:p>
                <w:p w14:paraId="08E0B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(t/a)</w:t>
                  </w:r>
                </w:p>
              </w:tc>
              <w:tc>
                <w:tcPr>
                  <w:tcW w:w="1127" w:type="pct"/>
                  <w:noWrap w:val="0"/>
                  <w:vAlign w:val="center"/>
                </w:tcPr>
                <w:p w14:paraId="06D9F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0.1666</w:t>
                  </w:r>
                </w:p>
              </w:tc>
              <w:tc>
                <w:tcPr>
                  <w:tcW w:w="1143" w:type="pct"/>
                  <w:noWrap w:val="0"/>
                  <w:vAlign w:val="center"/>
                </w:tcPr>
                <w:p w14:paraId="7C8FE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0.1852</w:t>
                  </w:r>
                </w:p>
              </w:tc>
              <w:tc>
                <w:tcPr>
                  <w:tcW w:w="1252" w:type="pct"/>
                  <w:noWrap w:val="0"/>
                  <w:vAlign w:val="center"/>
                </w:tcPr>
                <w:p w14:paraId="4868F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0.3518</w:t>
                  </w:r>
                </w:p>
              </w:tc>
            </w:tr>
          </w:tbl>
          <w:p w14:paraId="345740E8">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关于印发福州市</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大气污染联防联控联治工作方案的通知</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》榕环保综</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〔2018〕386号</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：VOCs排放实行区域内倍量替代，新、改扩建涉VOCs排放项目，应从源头加强控制，使用低</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无</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VOCs含量的原辅材料，加强废气收集、安装高效治理设施</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根据《2022年度福州市蓝天碧水碧海净土保卫战行动计划》</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榕环委办</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〔2022〕49号</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实施新建项目VOC</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s</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排放区域内倍量替代。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本项目</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VOCs</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的排放总量为：</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0.0293</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t/a。因此，本项目排放的</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由建设单位向</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福州市福清生态环境局</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申请区域</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建设单位承诺在项目投产前取得</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各污染</w:t>
            </w:r>
            <w:r>
              <w:rPr>
                <w:rFonts w:hint="eastAsia" w:ascii="Times New Roman" w:hAnsi="Times New Roman" w:cs="Times New Roman"/>
                <w:color w:val="000000" w:themeColor="text1"/>
                <w:kern w:val="2"/>
                <w:szCs w:val="24"/>
                <w:highlight w:val="none"/>
                <w:shd w:val="clear" w:color="auto" w:fill="FFFFFF"/>
                <w:lang w:val="en-US" w:eastAsia="zh-CN"/>
                <w14:textFill>
                  <w14:solidFill>
                    <w14:schemeClr w14:val="tx1"/>
                  </w14:solidFill>
                </w14:textFill>
              </w:rPr>
              <w:t>挥发性有机物</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的</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倍量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替代</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并依法</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办理</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排污许可</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手续（总量</w:t>
            </w:r>
            <w:r>
              <w:rPr>
                <w:rFonts w:hint="default"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承诺函详见</w:t>
            </w:r>
            <w:r>
              <w:rPr>
                <w:rFonts w:hint="eastAsia" w:ascii="Times New Roman" w:hAnsi="Times New Roman" w:eastAsia="宋体" w:cs="Times New Roman"/>
                <w:b/>
                <w:bCs/>
                <w:color w:val="000000" w:themeColor="text1"/>
                <w:kern w:val="2"/>
                <w:szCs w:val="24"/>
                <w:highlight w:val="none"/>
                <w:shd w:val="clear" w:color="auto" w:fill="FFFFFF"/>
                <w:lang w:val="en-US" w:eastAsia="zh-CN"/>
                <w14:textFill>
                  <w14:solidFill>
                    <w14:schemeClr w14:val="tx1"/>
                  </w14:solidFill>
                </w14:textFill>
              </w:rPr>
              <w:t>附件</w:t>
            </w:r>
            <w:r>
              <w:rPr>
                <w:rFonts w:hint="eastAsia" w:ascii="Times New Roman" w:hAnsi="Times New Roman" w:cs="Times New Roman"/>
                <w:b/>
                <w:bCs/>
                <w:color w:val="000000" w:themeColor="text1"/>
                <w:kern w:val="2"/>
                <w:szCs w:val="24"/>
                <w:highlight w:val="none"/>
                <w:shd w:val="clear" w:color="auto" w:fill="FFFFFF"/>
                <w:lang w:val="en-US" w:eastAsia="zh-CN"/>
                <w14:textFill>
                  <w14:solidFill>
                    <w14:schemeClr w14:val="tx1"/>
                  </w14:solidFill>
                </w14:textFill>
              </w:rPr>
              <w:t>十六</w:t>
            </w:r>
            <w:r>
              <w:rPr>
                <w:rFonts w:hint="eastAsia" w:ascii="Times New Roman" w:hAnsi="Times New Roman" w:eastAsia="宋体" w:cs="Times New Roman"/>
                <w:color w:val="000000" w:themeColor="text1"/>
                <w:kern w:val="2"/>
                <w:szCs w:val="24"/>
                <w:highlight w:val="none"/>
                <w:shd w:val="clear" w:color="auto" w:fill="FFFFFF"/>
                <w:lang w:val="en-US" w:eastAsia="zh-CN"/>
                <w14:textFill>
                  <w14:solidFill>
                    <w14:schemeClr w14:val="tx1"/>
                  </w14:solidFill>
                </w14:textFill>
              </w:rPr>
              <w:t>）。</w:t>
            </w:r>
          </w:p>
        </w:tc>
      </w:tr>
    </w:tbl>
    <w:p w14:paraId="50819DC2">
      <w:pPr>
        <w:rPr>
          <w:rFonts w:hint="eastAsia"/>
          <w:lang w:eastAsia="zh-CN"/>
        </w:rPr>
      </w:pPr>
      <w:r>
        <w:rPr>
          <w:rFonts w:hint="eastAsia"/>
          <w:highlight w:val="none"/>
          <w:lang w:eastAsia="zh-CN"/>
        </w:rPr>
        <w:br w:type="page"/>
      </w:r>
    </w:p>
    <w:p w14:paraId="150C7E7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07" w:name="_Toc20406"/>
      <w:bookmarkStart w:id="108" w:name="_Toc6870"/>
      <w:bookmarkStart w:id="109" w:name="_Toc3502"/>
      <w:r>
        <w:rPr>
          <w:rFonts w:hint="eastAsia" w:ascii="Times New Roman" w:hAnsi="Times New Roman" w:eastAsia="黑体" w:cs="Times New Roman"/>
          <w:snapToGrid w:val="0"/>
          <w:color w:val="auto"/>
          <w:sz w:val="30"/>
          <w:szCs w:val="30"/>
          <w:u w:val="none"/>
          <w:lang w:val="en-US" w:eastAsia="zh-CN"/>
        </w:rPr>
        <w:t>四、</w:t>
      </w:r>
      <w:r>
        <w:rPr>
          <w:rFonts w:hint="default" w:ascii="Times New Roman" w:hAnsi="Times New Roman" w:eastAsia="黑体" w:cs="Times New Roman"/>
          <w:snapToGrid w:val="0"/>
          <w:color w:val="auto"/>
          <w:sz w:val="30"/>
          <w:szCs w:val="30"/>
          <w:u w:val="none"/>
          <w:lang w:val="en-US" w:eastAsia="zh-CN"/>
        </w:rPr>
        <w:t>主要环境影响和保护措施</w:t>
      </w:r>
      <w:bookmarkEnd w:id="107"/>
      <w:bookmarkEnd w:id="108"/>
      <w:bookmarkEnd w:id="109"/>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3A3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dxa"/>
            <w:vAlign w:val="center"/>
          </w:tcPr>
          <w:p w14:paraId="6E0219F9">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004AE2A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color w:val="000000" w:themeColor="text1"/>
                <w:vertAlign w:val="baseline"/>
                <w:lang w:eastAsia="zh-CN"/>
                <w14:textFill>
                  <w14:solidFill>
                    <w14:schemeClr w14:val="tx1"/>
                  </w14:solidFill>
                </w14:textFill>
              </w:rPr>
            </w:pPr>
            <w:bookmarkStart w:id="110" w:name="_Toc234833275"/>
            <w:bookmarkStart w:id="111" w:name="_Toc281777364"/>
            <w:bookmarkStart w:id="112" w:name="_Toc56498971"/>
            <w:bookmarkStart w:id="113" w:name="_Toc212261317"/>
            <w:bookmarkStart w:id="114" w:name="_Toc235459029"/>
            <w:bookmarkStart w:id="115" w:name="_Toc222825971"/>
            <w:bookmarkStart w:id="116" w:name="_Toc213206595"/>
            <w:bookmarkStart w:id="117" w:name="_Toc17361639"/>
            <w:bookmarkStart w:id="118" w:name="_Toc233386843"/>
            <w:bookmarkStart w:id="119" w:name="_Toc56498815"/>
            <w:bookmarkStart w:id="120" w:name="_Toc224713628"/>
            <w:bookmarkStart w:id="121" w:name="_Toc235065596"/>
            <w:bookmarkStart w:id="122" w:name="_Toc279492221"/>
            <w:bookmarkStart w:id="123" w:name="_Toc232930955"/>
            <w:bookmarkStart w:id="124" w:name="_Toc278977997"/>
            <w:bookmarkStart w:id="125" w:name="_Toc85178610"/>
            <w:bookmarkStart w:id="126" w:name="_Toc211967612"/>
            <w:bookmarkStart w:id="127" w:name="_Toc17361640"/>
            <w:bookmarkStart w:id="128" w:name="_Toc225766861"/>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本项目</w:t>
            </w:r>
            <w:r>
              <w:rPr>
                <w:rFonts w:hint="default" w:ascii="Times New Roman" w:hAnsi="Times New Roman" w:eastAsia="宋体" w:cs="Times New Roman"/>
                <w:color w:val="auto"/>
                <w:kern w:val="2"/>
                <w:sz w:val="24"/>
                <w:szCs w:val="24"/>
                <w:shd w:val="clear" w:color="auto" w:fill="FFFFFF"/>
                <w:lang w:val="en-US" w:eastAsia="zh-CN"/>
              </w:rPr>
              <w:t>位于</w:t>
            </w:r>
            <w:r>
              <w:rPr>
                <w:rFonts w:hint="eastAsia" w:cs="Times New Roman"/>
                <w:color w:val="auto"/>
                <w:sz w:val="24"/>
                <w:szCs w:val="24"/>
                <w:highlight w:val="none"/>
                <w:lang w:eastAsia="zh-CN"/>
              </w:rPr>
              <w:t>福清融侨经济技术开发区（均和云谷·福清科技港33#厂房）</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利用现有厂房进行生产，根据现场勘查，该厂房已建成，因此不存在厂房等主体工程施工期环境影响。项目施工期主要为设备安装、调试阶段产生的环境问题，本项目设备安装、调试简单</w:t>
            </w:r>
            <w:r>
              <w:rPr>
                <w:rFonts w:hint="eastAsia" w:cs="Times New Roman"/>
                <w:color w:val="000000" w:themeColor="text1"/>
                <w:kern w:val="2"/>
                <w:sz w:val="24"/>
                <w:szCs w:val="24"/>
                <w:shd w:val="clear" w:color="auto" w:fill="FFFFFF"/>
                <w:lang w:val="en-US" w:eastAsia="zh-CN"/>
                <w14:textFill>
                  <w14:solidFill>
                    <w14:schemeClr w14:val="tx1"/>
                  </w14:solidFill>
                </w14:textFill>
              </w:rPr>
              <w:t>且</w:t>
            </w:r>
            <w:r>
              <w:rPr>
                <w:rFonts w:hint="default" w:ascii="Times New Roman" w:hAnsi="Times New Roman" w:eastAsia="宋体" w:cs="Times New Roman"/>
                <w:color w:val="000000" w:themeColor="text1"/>
                <w:kern w:val="2"/>
                <w:sz w:val="24"/>
                <w:szCs w:val="24"/>
                <w:shd w:val="clear" w:color="auto" w:fill="FFFFFF"/>
                <w:lang w:val="en-US" w:eastAsia="zh-CN"/>
                <w14:textFill>
                  <w14:solidFill>
                    <w14:schemeClr w14:val="tx1"/>
                  </w14:solidFill>
                </w14:textFill>
              </w:rPr>
              <w:t>时间较短，因此，随着设备安装、调试完毕后，项目施工期也将结束，施工期环境影响也随着消失，</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default" w:ascii="Times New Roman" w:hAnsi="Times New Roman" w:eastAsia="宋体" w:cs="Times New Roman"/>
                <w:color w:val="000000" w:themeColor="text1"/>
                <w:kern w:val="2"/>
                <w:sz w:val="24"/>
                <w:szCs w:val="24"/>
                <w:shd w:val="clear" w:color="auto" w:fill="FFFFFF"/>
                <w:lang w:val="zh-CN" w:eastAsia="zh-CN"/>
                <w14:textFill>
                  <w14:solidFill>
                    <w14:schemeClr w14:val="tx1"/>
                  </w14:solidFill>
                </w14:textFill>
              </w:rPr>
              <w:t>对周围环境的影响较小，故本环评对此不再作出具体分析。</w:t>
            </w:r>
          </w:p>
        </w:tc>
      </w:tr>
      <w:tr w14:paraId="3A09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9" w:hRule="atLeast"/>
        </w:trPr>
        <w:tc>
          <w:tcPr>
            <w:tcW w:w="533" w:type="dxa"/>
            <w:vAlign w:val="center"/>
          </w:tcPr>
          <w:p w14:paraId="018F02A0">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6F7CEE4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color w:val="000000" w:themeColor="text1"/>
                <w:sz w:val="28"/>
                <w:szCs w:val="28"/>
                <w14:textFill>
                  <w14:solidFill>
                    <w14:schemeClr w14:val="tx1"/>
                  </w14:solidFill>
                </w14:textFill>
              </w:rPr>
            </w:pPr>
            <w:bookmarkStart w:id="129" w:name="_Toc5587"/>
            <w:bookmarkStart w:id="130" w:name="_Toc5290"/>
            <w:r>
              <w:rPr>
                <w:rFonts w:hint="eastAsia"/>
                <w:b/>
                <w:color w:val="000000" w:themeColor="text1"/>
                <w:sz w:val="28"/>
                <w:szCs w:val="28"/>
                <w:lang w:val="en-US" w:eastAsia="zh-CN"/>
                <w14:textFill>
                  <w14:solidFill>
                    <w14:schemeClr w14:val="tx1"/>
                  </w14:solidFill>
                </w14:textFill>
              </w:rPr>
              <w:t>4</w:t>
            </w:r>
            <w:r>
              <w:rPr>
                <w:b/>
                <w:color w:val="000000" w:themeColor="text1"/>
                <w:sz w:val="28"/>
                <w:szCs w:val="28"/>
                <w14:textFill>
                  <w14:solidFill>
                    <w14:schemeClr w14:val="tx1"/>
                  </w14:solidFill>
                </w14:textFill>
              </w:rPr>
              <w:t>.1</w:t>
            </w:r>
            <w:r>
              <w:rPr>
                <w:rFonts w:eastAsia="宋体"/>
                <w:b/>
                <w:color w:val="000000" w:themeColor="text1"/>
                <w:sz w:val="28"/>
                <w:szCs w:val="28"/>
                <w14:textFill>
                  <w14:solidFill>
                    <w14:schemeClr w14:val="tx1"/>
                  </w14:solidFill>
                </w14:textFill>
              </w:rPr>
              <w:t>大气环境影响分析和污染防治措施</w:t>
            </w:r>
            <w:bookmarkEnd w:id="129"/>
            <w:bookmarkEnd w:id="130"/>
          </w:p>
          <w:p w14:paraId="74AB3F9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000000" w:themeColor="text1"/>
                <w:kern w:val="0"/>
                <w:sz w:val="24"/>
                <w14:textFill>
                  <w14:solidFill>
                    <w14:schemeClr w14:val="tx1"/>
                  </w14:solidFill>
                </w14:textFill>
              </w:rPr>
            </w:pPr>
            <w:bookmarkStart w:id="131" w:name="_Toc24593"/>
            <w:bookmarkStart w:id="132" w:name="_Toc5618"/>
            <w:bookmarkStart w:id="133" w:name="_Toc22111"/>
            <w:r>
              <w:rPr>
                <w:b/>
                <w:color w:val="000000" w:themeColor="text1"/>
                <w:kern w:val="0"/>
                <w:sz w:val="24"/>
                <w14:textFill>
                  <w14:solidFill>
                    <w14:schemeClr w14:val="tx1"/>
                  </w14:solidFill>
                </w14:textFill>
              </w:rPr>
              <w:t>4.1.1 运营期废气源强核算</w:t>
            </w:r>
            <w:bookmarkEnd w:id="131"/>
            <w:bookmarkEnd w:id="132"/>
            <w:bookmarkEnd w:id="133"/>
          </w:p>
          <w:p w14:paraId="14AB46F5">
            <w:pPr>
              <w:adjustRightInd w:val="0"/>
              <w:snapToGrid w:val="0"/>
              <w:spacing w:line="348" w:lineRule="auto"/>
              <w:ind w:firstLine="480" w:firstLineChars="200"/>
              <w:rPr>
                <w:color w:val="auto"/>
                <w:sz w:val="24"/>
              </w:rPr>
            </w:pPr>
            <w:r>
              <w:rPr>
                <w:rFonts w:hint="eastAsia"/>
                <w:color w:val="auto"/>
                <w:sz w:val="24"/>
              </w:rPr>
              <w:t>根据生产工艺流程图可知，项目运营期废气</w:t>
            </w:r>
            <w:r>
              <w:rPr>
                <w:rFonts w:hint="eastAsia"/>
                <w:color w:val="auto"/>
                <w:sz w:val="24"/>
                <w:lang w:val="en-US" w:eastAsia="zh-CN"/>
              </w:rPr>
              <w:t>来源于熔融过程中产生的熔融废气（颗粒物）、压铸时产生的压铸脱模废气（VOCs、颗粒物）</w:t>
            </w:r>
            <w:r>
              <w:rPr>
                <w:rFonts w:hint="eastAsia"/>
                <w:color w:val="auto"/>
                <w:sz w:val="24"/>
                <w:lang w:eastAsia="zh-CN"/>
              </w:rPr>
              <w:t>。</w:t>
            </w:r>
            <w:r>
              <w:rPr>
                <w:rFonts w:hint="eastAsia" w:ascii="Times New Roman" w:hAnsi="Times New Roman" w:eastAsia="宋体" w:cs="Times New Roman"/>
                <w:color w:val="auto"/>
                <w:sz w:val="24"/>
                <w:lang w:val="en-US" w:eastAsia="zh-CN"/>
              </w:rPr>
              <w:t>本项目废气源强</w:t>
            </w:r>
            <w:r>
              <w:rPr>
                <w:rFonts w:hint="eastAsia"/>
                <w:color w:val="auto"/>
                <w:kern w:val="0"/>
                <w:sz w:val="24"/>
                <w:szCs w:val="20"/>
              </w:rPr>
              <w:t>核算参照《污染源源强核算技术指南 准则》</w:t>
            </w:r>
            <w:r>
              <w:rPr>
                <w:rFonts w:hint="eastAsia"/>
                <w:color w:val="auto"/>
                <w:kern w:val="0"/>
                <w:sz w:val="24"/>
                <w:szCs w:val="20"/>
                <w:lang w:eastAsia="zh-CN"/>
              </w:rPr>
              <w:t>《</w:t>
            </w:r>
            <w:r>
              <w:rPr>
                <w:rFonts w:hint="eastAsia"/>
                <w:color w:val="auto"/>
                <w:kern w:val="0"/>
                <w:sz w:val="24"/>
                <w:szCs w:val="20"/>
                <w:lang w:val="en-US" w:eastAsia="zh-CN"/>
              </w:rPr>
              <w:t>排放源统计调查产排污核算方法和系数手册</w:t>
            </w:r>
            <w:r>
              <w:rPr>
                <w:rFonts w:hint="eastAsia"/>
                <w:color w:val="auto"/>
                <w:kern w:val="0"/>
                <w:sz w:val="24"/>
                <w:szCs w:val="20"/>
                <w:lang w:eastAsia="zh-CN"/>
              </w:rPr>
              <w:t>》</w:t>
            </w:r>
            <w:r>
              <w:rPr>
                <w:rFonts w:hint="eastAsia"/>
                <w:color w:val="auto"/>
                <w:kern w:val="0"/>
                <w:sz w:val="24"/>
                <w:szCs w:val="20"/>
              </w:rPr>
              <w:t>等相关要求进行。项目</w:t>
            </w:r>
            <w:r>
              <w:rPr>
                <w:color w:val="auto"/>
                <w:kern w:val="0"/>
                <w:sz w:val="24"/>
                <w:szCs w:val="20"/>
              </w:rPr>
              <w:t>废气污染源</w:t>
            </w:r>
            <w:r>
              <w:rPr>
                <w:rFonts w:hint="eastAsia"/>
                <w:color w:val="auto"/>
                <w:kern w:val="0"/>
                <w:sz w:val="24"/>
                <w:szCs w:val="20"/>
              </w:rPr>
              <w:t>源强分析如下：</w:t>
            </w:r>
          </w:p>
          <w:p w14:paraId="5DC81BFF">
            <w:pPr>
              <w:adjustRightInd w:val="0"/>
              <w:snapToGrid w:val="0"/>
              <w:spacing w:line="348"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熔融废气</w:t>
            </w:r>
          </w:p>
          <w:p w14:paraId="4BDE64E7">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w:t>
            </w:r>
            <w:r>
              <w:rPr>
                <w:rFonts w:hint="default" w:ascii="Times New Roman" w:hAnsi="Times New Roman" w:eastAsia="宋体" w:cs="Times New Roman"/>
                <w:bCs/>
                <w:color w:val="auto"/>
                <w:sz w:val="24"/>
                <w:szCs w:val="24"/>
              </w:rPr>
              <w:t>目</w:t>
            </w:r>
            <w:r>
              <w:rPr>
                <w:rFonts w:hint="default" w:ascii="Times New Roman" w:hAnsi="Times New Roman" w:eastAsia="宋体" w:cs="Times New Roman"/>
                <w:bCs/>
                <w:color w:val="auto"/>
                <w:sz w:val="24"/>
                <w:szCs w:val="24"/>
                <w:lang w:eastAsia="zh-CN"/>
              </w:rPr>
              <w:t>熔融工序采用电阻炉</w:t>
            </w:r>
            <w:r>
              <w:rPr>
                <w:rFonts w:hint="default" w:ascii="Times New Roman" w:hAnsi="Times New Roman" w:eastAsia="宋体" w:cs="Times New Roman"/>
                <w:bCs/>
                <w:color w:val="auto"/>
                <w:sz w:val="24"/>
                <w:szCs w:val="24"/>
                <w:lang w:val="en-US" w:eastAsia="zh-CN"/>
              </w:rPr>
              <w:t>将铝锭加热至熔化温度（720℃），并维持炉温720℃，进入保温阶段。</w:t>
            </w:r>
            <w:r>
              <w:rPr>
                <w:rFonts w:hint="eastAsia"/>
                <w:bCs/>
                <w:color w:val="auto"/>
                <w:sz w:val="24"/>
                <w:lang w:val="en-US" w:eastAsia="zh-CN"/>
              </w:rPr>
              <w:t>由于本项目使</w:t>
            </w:r>
            <w:r>
              <w:rPr>
                <w:rFonts w:hint="default" w:ascii="Times New Roman" w:hAnsi="Times New Roman" w:cs="Times New Roman"/>
                <w:bCs/>
                <w:color w:val="auto"/>
                <w:sz w:val="24"/>
                <w:lang w:val="en-US" w:eastAsia="zh-CN"/>
              </w:rPr>
              <w:t>用铝锭为99.79%</w:t>
            </w:r>
            <w:r>
              <w:rPr>
                <w:rFonts w:hint="eastAsia" w:ascii="Times New Roman" w:hAnsi="Times New Roman" w:cs="Times New Roman"/>
                <w:bCs/>
                <w:color w:val="auto"/>
                <w:sz w:val="24"/>
                <w:lang w:val="en-US" w:eastAsia="zh-CN"/>
              </w:rPr>
              <w:t>的铝，其余杂质含量为0.21%（Fe、Si、Cu、Mg、V、Ca、Zn、Tl）由于这些杂质的</w:t>
            </w:r>
            <w:r>
              <w:rPr>
                <w:rFonts w:hint="eastAsia" w:cs="Times New Roman"/>
                <w:bCs/>
                <w:color w:val="auto"/>
                <w:sz w:val="24"/>
                <w:lang w:val="en-US" w:eastAsia="zh-CN"/>
              </w:rPr>
              <w:t>熔点</w:t>
            </w:r>
            <w:r>
              <w:rPr>
                <w:rFonts w:hint="eastAsia" w:ascii="Times New Roman" w:hAnsi="Times New Roman" w:cs="Times New Roman"/>
                <w:bCs/>
                <w:color w:val="auto"/>
                <w:sz w:val="24"/>
                <w:lang w:val="en-US" w:eastAsia="zh-CN"/>
              </w:rPr>
              <w:t>都远高于720℃，因此本项目在生产过程中这部分杂质不会挥发到大气中。</w:t>
            </w:r>
            <w:r>
              <w:rPr>
                <w:rFonts w:hint="default" w:ascii="Times New Roman" w:hAnsi="Times New Roman" w:eastAsia="宋体" w:cs="Times New Roman"/>
                <w:bCs/>
                <w:color w:val="auto"/>
                <w:sz w:val="24"/>
                <w:szCs w:val="24"/>
                <w:lang w:val="en-US" w:eastAsia="zh-CN"/>
              </w:rPr>
              <w:t>采用的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是电阻炉，不使用天然气。因此，此过程不产生</w:t>
            </w:r>
            <w:r>
              <w:rPr>
                <w:rFonts w:hint="default" w:ascii="Times New Roman" w:hAnsi="Times New Roman" w:eastAsia="宋体" w:cs="Times New Roman"/>
                <w:bCs/>
                <w:color w:val="auto"/>
                <w:sz w:val="24"/>
                <w:szCs w:val="24"/>
                <w:lang w:val="en-US" w:eastAsia="zh-CN"/>
              </w:rPr>
              <w:t>SO</w:t>
            </w:r>
            <w:r>
              <w:rPr>
                <w:rFonts w:hint="default" w:ascii="Times New Roman" w:hAnsi="Times New Roman" w:eastAsia="宋体" w:cs="Times New Roman"/>
                <w:bCs/>
                <w:color w:val="auto"/>
                <w:sz w:val="24"/>
                <w:szCs w:val="24"/>
                <w:vertAlign w:val="subscript"/>
                <w:lang w:val="en-US" w:eastAsia="zh-CN"/>
              </w:rPr>
              <w:t>2</w:t>
            </w:r>
            <w:r>
              <w:rPr>
                <w:rFonts w:hint="default" w:ascii="Times New Roman" w:hAnsi="Times New Roman" w:eastAsia="宋体" w:cs="Times New Roman"/>
                <w:bCs/>
                <w:color w:val="auto"/>
                <w:sz w:val="24"/>
                <w:szCs w:val="24"/>
                <w:lang w:val="en-US" w:eastAsia="zh-CN"/>
              </w:rPr>
              <w:t>和NOx。在融化中仅产生熔化烟尘（颗粒物）</w:t>
            </w:r>
            <w:r>
              <w:rPr>
                <w:rFonts w:hint="default" w:ascii="Times New Roman" w:hAnsi="Times New Roman" w:eastAsia="宋体" w:cs="Times New Roman"/>
                <w:color w:val="000000" w:themeColor="text1"/>
                <w:kern w:val="0"/>
                <w:sz w:val="24"/>
                <w:szCs w:val="24"/>
                <w14:textFill>
                  <w14:solidFill>
                    <w14:schemeClr w14:val="tx1"/>
                  </w14:solidFill>
                </w14:textFill>
              </w:rPr>
              <w:t>。根据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《第二次全国污染源普查工业污染源产排污系数手册》中</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33-37，431-434 机械行业系数手册</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—01铸造，熔炼工序产污系数0.479</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千克/吨-产品</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进行计算，</w:t>
            </w:r>
            <w:r>
              <w:rPr>
                <w:rFonts w:hint="default" w:ascii="Times New Roman" w:hAnsi="Times New Roman" w:eastAsia="宋体" w:cs="Times New Roman"/>
                <w:bCs/>
                <w:color w:val="000000" w:themeColor="text1"/>
                <w:sz w:val="24"/>
                <w:szCs w:val="24"/>
                <w14:textFill>
                  <w14:solidFill>
                    <w14:schemeClr w14:val="tx1"/>
                  </w14:solidFill>
                </w14:textFill>
              </w:rPr>
              <w:t>产污系数详见表4.1-1。</w:t>
            </w:r>
          </w:p>
          <w:p w14:paraId="3F19F2BD">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本项目熔融产品为金属五金配件，年生产规模为300万个。单件产品重量约为100-350g，取250g进行计算则项目产品量为750t/a。本项目熔化废气（颗粒物）产生量为750t/a×0.479kg/t÷1000=0.3593t/a。本项目拟采用“布袋除尘+活性炭吸附”进行处理，熔融废气经集气罩收集后通过“布袋除尘器+活性炭吸附装置”由15m高生产废气排气筒（DA001）排放。集中电阻炉上方设有集气罩，收集效率取90%，设计风量为25000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h，布袋除尘器的除尘效率为90-95%，本次评价按90%计算。则颗粒物有组织排放量为0.3593t/a×90%×（1-90%）=0.0323t/a，排放速率为0.0323t/a×1000÷（300×8）=0.0135kg/h。无组织排放量为0.3593t/a×（1-90%）=0.0359t/a，排放效率为0.0359t/a×1000÷（300×8）=0.0150kg/h。合计熔融工序颗粒物总排放量为0.0683t/a，污染物产生及排放情况详见表4.1-2。</w:t>
            </w:r>
          </w:p>
          <w:p w14:paraId="7DD3F162">
            <w:pPr>
              <w:adjustRightInd w:val="0"/>
              <w:snapToGrid w:val="0"/>
              <w:spacing w:line="348"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（2）压铸脱模废气</w:t>
            </w:r>
          </w:p>
          <w:p w14:paraId="4DE94A09">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项目使用压铸机对熔化后的铝锭进行压铸成型，并使用脱模剂进行脱模，该过程会产生压铸脱模废气（颗粒物、</w:t>
            </w:r>
            <w:r>
              <w:rPr>
                <w:rFonts w:hint="eastAsia" w:cs="Times New Roman"/>
                <w:bCs/>
                <w:color w:val="000000" w:themeColor="text1"/>
                <w:sz w:val="24"/>
                <w:szCs w:val="24"/>
                <w:lang w:val="en-US" w:eastAsia="zh-CN"/>
                <w14:textFill>
                  <w14:solidFill>
                    <w14:schemeClr w14:val="tx1"/>
                  </w14:solidFill>
                </w14:textFill>
              </w:rPr>
              <w:t>VOCs</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）。根据《第二次全国污染源普查工业污染源产排污系数手册》中</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33-37，431-434 机械行业系数手册</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—01铸造，有色压铸阶段采用脱模剂，脱模废气中颗粒物产污系数1.99</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千克/吨-产品，挥发性有机物产物系数0.120千克/吨-产品</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进行计算，产物系数表详见表4.1-1。</w:t>
            </w:r>
          </w:p>
          <w:p w14:paraId="2A44B1F7">
            <w:pPr>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压铸产品为金属五金配件，年生产规模为300万个。单件产品重量约为100-350g，取250g进行计算则项目产品量为750t/a。本项目压铸过程颗粒物产生量为750t/a×1.99kg/t÷1000=1.4925t/a，挥发性有机物产生量为750t/a×0.12kg/t÷1000=0.09t/a。本项目拟采用</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布袋除尘+活性炭吸附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进行处理，经集气罩收集后通过</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布袋除尘器+活性炭吸附装置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由15m高生产废气排气筒（DA001）排放。压铸机上方设有集气罩，收集效率取90%，设计风量为25000m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/h，布袋除尘器的除尘效率为90-95%，本次评价按90%计算。活性炭吸附装置的处理效率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生态环境部发布《关于印发〈主要污染物总量减排核算技术指南（2022年修订）&gt;的通知》〔2022〕350号中规定，一次性活性炭的吸附效率50%。采用二级活性炭吸附效率为1-（1-50%）×（1-50%）=75%。因此本项目活性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处理效率以75%计。</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则颗粒物有组织排放量为1.4925t/a×90%×（1-90%）=0.1343t/a，排放速率为0.1343t/a×1000÷（300×8）=0.0560kg/h。挥发性有机物有组织排放量为0.09t/a×90%×（1-75%）=0.0203t/a，排放速率为0.0203t/a×1000÷（300×8）=0.0084kg/h。颗粒物无组织排放量1.4925t/a×（1-90%）=0.1493t/a，排放效率为0.1493t/a×1000÷（300×8）=0.0622kg/h。非甲烷总烃无组织排放量0.09t/a×（1-90%）=0.009t/a，排放效率为0.009t/a×1000÷（300×8）=0.0038kg/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合计压铸脱模工序颗粒物总排放量为0.2836t/a，挥发性有机物总排放量为0.0293t/a。项目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污染物产生及排放情况详见表4.1-2。</w:t>
            </w:r>
          </w:p>
          <w:p w14:paraId="1D151F05">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p>
          <w:p w14:paraId="56AEE1DD">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p>
          <w:p w14:paraId="3AC48147">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p>
          <w:p w14:paraId="15168716">
            <w:pPr>
              <w:adjustRightInd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pPr>
          </w:p>
          <w:p w14:paraId="154D26B2">
            <w:pPr>
              <w:adjustRightInd w:val="0"/>
              <w:snapToGrid w:val="0"/>
              <w:spacing w:line="360" w:lineRule="auto"/>
              <w:ind w:firstLine="482" w:firstLineChars="200"/>
              <w:jc w:val="cente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表4.1-</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 xml:space="preserve">1 </w:t>
            </w:r>
            <w:r>
              <w:rPr>
                <w:rFonts w:hint="eastAsia" w:cs="Times New Roman"/>
                <w:b/>
                <w:bCs/>
                <w:color w:val="000000" w:themeColor="text1"/>
                <w:sz w:val="24"/>
                <w:szCs w:val="24"/>
                <w:u w:val="none"/>
                <w:lang w:val="en-US" w:eastAsia="zh-CN"/>
                <w14:textFill>
                  <w14:solidFill>
                    <w14:schemeClr w14:val="tx1"/>
                  </w14:solidFill>
                </w14:textFill>
              </w:rPr>
              <w:t>33金属制品行业</w:t>
            </w: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系数手册</w:t>
            </w:r>
            <w:r>
              <w:rPr>
                <w:rFonts w:hint="eastAsia" w:ascii="Times New Roman" w:hAnsi="Times New Roman" w:eastAsia="宋体" w:cs="Times New Roman"/>
                <w:b/>
                <w:bCs/>
                <w:color w:val="000000" w:themeColor="text1"/>
                <w:sz w:val="24"/>
                <w:szCs w:val="24"/>
                <w:u w:val="none"/>
                <w:lang w:val="en-US" w:eastAsia="zh-CN"/>
                <w14:textFill>
                  <w14:solidFill>
                    <w14:schemeClr w14:val="tx1"/>
                  </w14:solidFill>
                </w14:textFill>
              </w:rPr>
              <w:t>产排污核算系数一览表（摘录）</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687"/>
              <w:gridCol w:w="1663"/>
              <w:gridCol w:w="725"/>
              <w:gridCol w:w="1575"/>
              <w:gridCol w:w="1487"/>
              <w:gridCol w:w="963"/>
              <w:gridCol w:w="698"/>
            </w:tblGrid>
            <w:tr w14:paraId="3B5CD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noWrap w:val="0"/>
                  <w:vAlign w:val="center"/>
                </w:tcPr>
                <w:p w14:paraId="47104D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产品</w:t>
                  </w:r>
                </w:p>
                <w:p w14:paraId="4763E4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402" w:type="pct"/>
                  <w:noWrap w:val="0"/>
                  <w:vAlign w:val="center"/>
                </w:tcPr>
                <w:p w14:paraId="30883F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原料</w:t>
                  </w:r>
                </w:p>
                <w:p w14:paraId="02D59B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974" w:type="pct"/>
                  <w:noWrap w:val="0"/>
                  <w:vAlign w:val="center"/>
                </w:tcPr>
                <w:p w14:paraId="4BEDEE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工艺</w:t>
                  </w:r>
                </w:p>
                <w:p w14:paraId="3EDB44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名称</w:t>
                  </w:r>
                </w:p>
              </w:tc>
              <w:tc>
                <w:tcPr>
                  <w:tcW w:w="425" w:type="pct"/>
                  <w:noWrap w:val="0"/>
                  <w:vAlign w:val="center"/>
                </w:tcPr>
                <w:p w14:paraId="0EF352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规模等级</w:t>
                  </w:r>
                </w:p>
              </w:tc>
              <w:tc>
                <w:tcPr>
                  <w:tcW w:w="923" w:type="pct"/>
                  <w:noWrap w:val="0"/>
                  <w:vAlign w:val="center"/>
                </w:tcPr>
                <w:p w14:paraId="42BD63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污染物类别</w:t>
                  </w:r>
                </w:p>
              </w:tc>
              <w:tc>
                <w:tcPr>
                  <w:tcW w:w="871" w:type="pct"/>
                  <w:noWrap w:val="0"/>
                  <w:vAlign w:val="center"/>
                </w:tcPr>
                <w:p w14:paraId="3E549F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污染物指标</w:t>
                  </w:r>
                </w:p>
              </w:tc>
              <w:tc>
                <w:tcPr>
                  <w:tcW w:w="564" w:type="pct"/>
                  <w:noWrap w:val="0"/>
                  <w:vAlign w:val="center"/>
                </w:tcPr>
                <w:p w14:paraId="723009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单位</w:t>
                  </w:r>
                </w:p>
              </w:tc>
              <w:tc>
                <w:tcPr>
                  <w:tcW w:w="409" w:type="pct"/>
                  <w:noWrap w:val="0"/>
                  <w:vAlign w:val="center"/>
                </w:tcPr>
                <w:p w14:paraId="04AA1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产污系数</w:t>
                  </w:r>
                </w:p>
              </w:tc>
            </w:tr>
            <w:tr w14:paraId="1C021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8" w:type="pct"/>
                  <w:vMerge w:val="restart"/>
                  <w:noWrap w:val="0"/>
                  <w:vAlign w:val="center"/>
                </w:tcPr>
                <w:p w14:paraId="6A1DCA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铸件</w:t>
                  </w:r>
                </w:p>
              </w:tc>
              <w:tc>
                <w:tcPr>
                  <w:tcW w:w="402" w:type="pct"/>
                  <w:vMerge w:val="restart"/>
                  <w:noWrap w:val="0"/>
                  <w:vAlign w:val="center"/>
                </w:tcPr>
                <w:p w14:paraId="047F57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铝锭</w:t>
                  </w:r>
                </w:p>
              </w:tc>
              <w:tc>
                <w:tcPr>
                  <w:tcW w:w="974" w:type="pct"/>
                  <w:noWrap w:val="0"/>
                  <w:vAlign w:val="center"/>
                </w:tcPr>
                <w:p w14:paraId="705B58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熔炼（感应电炉/电阻炉及其他）</w:t>
                  </w:r>
                </w:p>
              </w:tc>
              <w:tc>
                <w:tcPr>
                  <w:tcW w:w="425" w:type="pct"/>
                  <w:noWrap w:val="0"/>
                  <w:vAlign w:val="center"/>
                </w:tcPr>
                <w:p w14:paraId="24FE46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所有规模</w:t>
                  </w:r>
                </w:p>
              </w:tc>
              <w:tc>
                <w:tcPr>
                  <w:tcW w:w="923" w:type="pct"/>
                  <w:noWrap w:val="0"/>
                  <w:vAlign w:val="center"/>
                </w:tcPr>
                <w:p w14:paraId="71543E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废气</w:t>
                  </w:r>
                </w:p>
              </w:tc>
              <w:tc>
                <w:tcPr>
                  <w:tcW w:w="871" w:type="pct"/>
                  <w:noWrap w:val="0"/>
                  <w:vAlign w:val="center"/>
                </w:tcPr>
                <w:p w14:paraId="259039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颗粒物</w:t>
                  </w:r>
                </w:p>
              </w:tc>
              <w:tc>
                <w:tcPr>
                  <w:tcW w:w="564" w:type="pct"/>
                  <w:noWrap w:val="0"/>
                  <w:vAlign w:val="center"/>
                </w:tcPr>
                <w:p w14:paraId="54EFE8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9" w:type="pct"/>
                  <w:noWrap w:val="0"/>
                  <w:vAlign w:val="center"/>
                </w:tcPr>
                <w:p w14:paraId="3E5498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0.479</w:t>
                  </w:r>
                </w:p>
              </w:tc>
            </w:tr>
            <w:tr w14:paraId="5EDD7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28" w:type="pct"/>
                  <w:vMerge w:val="continue"/>
                  <w:noWrap w:val="0"/>
                  <w:vAlign w:val="center"/>
                </w:tcPr>
                <w:p w14:paraId="5BA80F9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402" w:type="pct"/>
                  <w:vMerge w:val="continue"/>
                  <w:noWrap w:val="0"/>
                  <w:vAlign w:val="center"/>
                </w:tcPr>
                <w:p w14:paraId="5ABBF7F9">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974" w:type="pct"/>
                  <w:vMerge w:val="restart"/>
                  <w:noWrap w:val="0"/>
                  <w:vAlign w:val="center"/>
                </w:tcPr>
                <w:p w14:paraId="27FD5B9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压铸脱模</w:t>
                  </w:r>
                </w:p>
              </w:tc>
              <w:tc>
                <w:tcPr>
                  <w:tcW w:w="425" w:type="pct"/>
                  <w:vMerge w:val="restart"/>
                  <w:noWrap w:val="0"/>
                  <w:vAlign w:val="center"/>
                </w:tcPr>
                <w:p w14:paraId="498E0E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所有规模</w:t>
                  </w:r>
                </w:p>
              </w:tc>
              <w:tc>
                <w:tcPr>
                  <w:tcW w:w="923" w:type="pct"/>
                  <w:vMerge w:val="restart"/>
                  <w:noWrap w:val="0"/>
                  <w:vAlign w:val="center"/>
                </w:tcPr>
                <w:p w14:paraId="238EA4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废气</w:t>
                  </w:r>
                </w:p>
              </w:tc>
              <w:tc>
                <w:tcPr>
                  <w:tcW w:w="871" w:type="pct"/>
                  <w:noWrap w:val="0"/>
                  <w:vAlign w:val="center"/>
                </w:tcPr>
                <w:p w14:paraId="3758D30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颗粒物</w:t>
                  </w:r>
                </w:p>
              </w:tc>
              <w:tc>
                <w:tcPr>
                  <w:tcW w:w="564" w:type="pct"/>
                  <w:noWrap w:val="0"/>
                  <w:vAlign w:val="center"/>
                </w:tcPr>
                <w:p w14:paraId="42FD43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9" w:type="pct"/>
                  <w:noWrap w:val="0"/>
                  <w:vAlign w:val="center"/>
                </w:tcPr>
                <w:p w14:paraId="5769B29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1.99</w:t>
                  </w:r>
                </w:p>
              </w:tc>
            </w:tr>
            <w:tr w14:paraId="4A5E7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8" w:type="pct"/>
                  <w:vMerge w:val="continue"/>
                  <w:noWrap w:val="0"/>
                  <w:vAlign w:val="center"/>
                </w:tcPr>
                <w:p w14:paraId="203203A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402" w:type="pct"/>
                  <w:vMerge w:val="continue"/>
                  <w:noWrap w:val="0"/>
                  <w:vAlign w:val="center"/>
                </w:tcPr>
                <w:p w14:paraId="74BC12B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974" w:type="pct"/>
                  <w:vMerge w:val="continue"/>
                  <w:noWrap w:val="0"/>
                  <w:vAlign w:val="center"/>
                </w:tcPr>
                <w:p w14:paraId="1B914C3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000000" w:themeColor="text1"/>
                      <w:sz w:val="21"/>
                      <w:szCs w:val="21"/>
                      <w:u w:val="none"/>
                      <w:lang w:val="en-US" w:eastAsia="zh-CN"/>
                      <w14:textFill>
                        <w14:solidFill>
                          <w14:schemeClr w14:val="tx1"/>
                        </w14:solidFill>
                      </w14:textFill>
                    </w:rPr>
                  </w:pPr>
                </w:p>
              </w:tc>
              <w:tc>
                <w:tcPr>
                  <w:tcW w:w="425" w:type="pct"/>
                  <w:vMerge w:val="continue"/>
                  <w:noWrap w:val="0"/>
                  <w:vAlign w:val="center"/>
                </w:tcPr>
                <w:p w14:paraId="0551C7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923" w:type="pct"/>
                  <w:vMerge w:val="continue"/>
                  <w:noWrap w:val="0"/>
                  <w:vAlign w:val="center"/>
                </w:tcPr>
                <w:p w14:paraId="1EFD14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p>
              </w:tc>
              <w:tc>
                <w:tcPr>
                  <w:tcW w:w="871" w:type="pct"/>
                  <w:noWrap w:val="0"/>
                  <w:vAlign w:val="center"/>
                </w:tcPr>
                <w:p w14:paraId="50066EC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挥发性有机物</w:t>
                  </w:r>
                </w:p>
              </w:tc>
              <w:tc>
                <w:tcPr>
                  <w:tcW w:w="564" w:type="pct"/>
                  <w:noWrap w:val="0"/>
                  <w:vAlign w:val="center"/>
                </w:tcPr>
                <w:p w14:paraId="0996F5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千克/吨-产品</w:t>
                  </w:r>
                </w:p>
              </w:tc>
              <w:tc>
                <w:tcPr>
                  <w:tcW w:w="409" w:type="pct"/>
                  <w:noWrap w:val="0"/>
                  <w:vAlign w:val="center"/>
                </w:tcPr>
                <w:p w14:paraId="5BBE0E1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000000" w:themeColor="text1"/>
                      <w:sz w:val="21"/>
                      <w:szCs w:val="21"/>
                      <w:u w:val="none"/>
                      <w:lang w:val="en-US" w:eastAsia="zh-CN"/>
                      <w14:textFill>
                        <w14:solidFill>
                          <w14:schemeClr w14:val="tx1"/>
                        </w14:solidFill>
                      </w14:textFill>
                    </w:rPr>
                  </w:pPr>
                  <w:r>
                    <w:rPr>
                      <w:rFonts w:hint="eastAsia" w:cs="Times New Roman"/>
                      <w:b w:val="0"/>
                      <w:bCs w:val="0"/>
                      <w:color w:val="000000" w:themeColor="text1"/>
                      <w:sz w:val="21"/>
                      <w:szCs w:val="21"/>
                      <w:u w:val="none"/>
                      <w:lang w:val="en-US" w:eastAsia="zh-CN"/>
                      <w14:textFill>
                        <w14:solidFill>
                          <w14:schemeClr w14:val="tx1"/>
                        </w14:solidFill>
                      </w14:textFill>
                    </w:rPr>
                    <w:t>0.120</w:t>
                  </w:r>
                </w:p>
              </w:tc>
            </w:tr>
            <w:tr w14:paraId="6AF41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000" w:type="pct"/>
                  <w:gridSpan w:val="8"/>
                  <w:noWrap w:val="0"/>
                  <w:vAlign w:val="center"/>
                </w:tcPr>
                <w:p w14:paraId="58CA8F6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注：挥发性有机物以</w:t>
                  </w:r>
                  <w:r>
                    <w:rPr>
                      <w:rFonts w:hint="eastAsia" w:cs="Times New Roman"/>
                      <w:b w:val="0"/>
                      <w:bCs w:val="0"/>
                      <w:color w:val="000000" w:themeColor="text1"/>
                      <w:sz w:val="21"/>
                      <w:szCs w:val="21"/>
                      <w:u w:val="none"/>
                      <w:lang w:val="en-US" w:eastAsia="zh-CN"/>
                      <w14:textFill>
                        <w14:solidFill>
                          <w14:schemeClr w14:val="tx1"/>
                        </w14:solidFill>
                      </w14:textFill>
                    </w:rPr>
                    <w:t>VOCs</w:t>
                  </w: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计。</w:t>
                  </w:r>
                </w:p>
              </w:tc>
            </w:tr>
          </w:tbl>
          <w:p w14:paraId="5C73FE2E">
            <w:pPr>
              <w:spacing w:line="360" w:lineRule="auto"/>
              <w:rPr>
                <w:rFonts w:hint="default" w:cs="Times New Roman"/>
                <w:color w:val="000000" w:themeColor="text1"/>
                <w:sz w:val="24"/>
                <w:lang w:val="en-US" w:eastAsia="zh-CN"/>
                <w14:textFill>
                  <w14:solidFill>
                    <w14:schemeClr w14:val="tx1"/>
                  </w14:solidFill>
                </w14:textFill>
              </w:rPr>
            </w:pPr>
          </w:p>
        </w:tc>
      </w:tr>
    </w:tbl>
    <w:p w14:paraId="1C3FF22B">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3338"/>
      </w:tblGrid>
      <w:tr w14:paraId="5E23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3" w:type="pct"/>
            <w:vAlign w:val="center"/>
          </w:tcPr>
          <w:p w14:paraId="0C02A4A1">
            <w:pPr>
              <w:jc w:val="center"/>
              <w:rPr>
                <w:rFonts w:hint="default" w:ascii="Times New Roman" w:hAnsi="Times New Roman" w:eastAsia="宋体" w:cs="Times New Roman"/>
                <w:color w:val="auto"/>
                <w:kern w:val="0"/>
                <w:sz w:val="24"/>
                <w:szCs w:val="24"/>
                <w:lang w:val="en-US" w:eastAsia="zh-CN"/>
              </w:rPr>
            </w:pPr>
          </w:p>
        </w:tc>
        <w:tc>
          <w:tcPr>
            <w:tcW w:w="4806" w:type="pct"/>
          </w:tcPr>
          <w:p w14:paraId="2CB78609">
            <w:pPr>
              <w:keepNext/>
              <w:keepLines w:val="0"/>
              <w:pageBreakBefore w:val="0"/>
              <w:widowControl w:val="0"/>
              <w:kinsoku/>
              <w:wordWrap/>
              <w:overflowPunct w:val="0"/>
              <w:topLinePunct w:val="0"/>
              <w:autoSpaceDE/>
              <w:autoSpaceDN/>
              <w:bidi w:val="0"/>
              <w:adjustRightInd w:val="0"/>
              <w:snapToGrid w:val="0"/>
              <w:spacing w:line="240" w:lineRule="auto"/>
              <w:ind w:left="431" w:hanging="431"/>
              <w:textAlignment w:val="auto"/>
              <w:outlineLvl w:val="2"/>
              <w:rPr>
                <w:rFonts w:hint="default"/>
                <w:b/>
                <w:color w:val="262626"/>
                <w:kern w:val="0"/>
                <w:sz w:val="24"/>
                <w:lang w:val="en-US" w:eastAsia="zh-CN"/>
              </w:rPr>
            </w:pPr>
            <w:bookmarkStart w:id="134" w:name="_Toc25571"/>
            <w:bookmarkStart w:id="135" w:name="_Toc18114"/>
            <w:r>
              <w:rPr>
                <w:rFonts w:hint="eastAsia"/>
                <w:b/>
                <w:color w:val="262626"/>
                <w:kern w:val="0"/>
                <w:sz w:val="24"/>
                <w:lang w:val="en-US" w:eastAsia="zh-CN"/>
              </w:rPr>
              <w:t>4.1.2 废气产排情况一览表</w:t>
            </w:r>
            <w:bookmarkEnd w:id="134"/>
            <w:bookmarkEnd w:id="135"/>
          </w:p>
          <w:p w14:paraId="5BBB3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w:t>
            </w:r>
            <w:r>
              <w:rPr>
                <w:rFonts w:hint="eastAsia" w:cs="Times New Roman"/>
                <w:b/>
                <w:bCs/>
                <w:color w:val="auto"/>
                <w:sz w:val="24"/>
                <w:szCs w:val="24"/>
                <w:u w:val="none"/>
                <w:lang w:val="en-US" w:eastAsia="zh-CN"/>
              </w:rPr>
              <w:t>2</w:t>
            </w:r>
            <w:r>
              <w:rPr>
                <w:rFonts w:hint="eastAsia" w:ascii="Times New Roman" w:hAnsi="Times New Roman" w:eastAsia="宋体" w:cs="Times New Roman"/>
                <w:b/>
                <w:bCs/>
                <w:color w:val="auto"/>
                <w:sz w:val="24"/>
                <w:szCs w:val="24"/>
                <w:u w:val="none"/>
                <w:lang w:val="en-US" w:eastAsia="zh-CN"/>
              </w:rPr>
              <w:t xml:space="preserve"> 项目废气产排情况一览表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750"/>
              <w:gridCol w:w="873"/>
              <w:gridCol w:w="750"/>
              <w:gridCol w:w="845"/>
              <w:gridCol w:w="805"/>
              <w:gridCol w:w="818"/>
              <w:gridCol w:w="2179"/>
              <w:gridCol w:w="810"/>
              <w:gridCol w:w="825"/>
              <w:gridCol w:w="960"/>
              <w:gridCol w:w="885"/>
              <w:gridCol w:w="885"/>
              <w:gridCol w:w="690"/>
              <w:gridCol w:w="649"/>
            </w:tblGrid>
            <w:tr w14:paraId="6DD90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restart"/>
                  <w:tcBorders>
                    <w:tl2br w:val="nil"/>
                    <w:tr2bl w:val="nil"/>
                  </w:tcBorders>
                  <w:vAlign w:val="center"/>
                </w:tcPr>
                <w:p w14:paraId="521BBB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285" w:type="pct"/>
                  <w:vMerge w:val="restart"/>
                  <w:tcBorders>
                    <w:tl2br w:val="nil"/>
                    <w:tr2bl w:val="nil"/>
                  </w:tcBorders>
                  <w:vAlign w:val="center"/>
                </w:tcPr>
                <w:p w14:paraId="3DFEC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332" w:type="pct"/>
                  <w:vMerge w:val="restart"/>
                  <w:tcBorders>
                    <w:tl2br w:val="nil"/>
                    <w:tr2bl w:val="nil"/>
                  </w:tcBorders>
                  <w:vAlign w:val="center"/>
                </w:tcPr>
                <w:p w14:paraId="584C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285" w:type="pct"/>
                  <w:vMerge w:val="restart"/>
                  <w:tcBorders>
                    <w:tl2br w:val="nil"/>
                    <w:tr2bl w:val="nil"/>
                  </w:tcBorders>
                  <w:vAlign w:val="center"/>
                </w:tcPr>
                <w:p w14:paraId="60517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940" w:type="pct"/>
                  <w:gridSpan w:val="3"/>
                  <w:tcBorders>
                    <w:tl2br w:val="nil"/>
                    <w:tr2bl w:val="nil"/>
                  </w:tcBorders>
                  <w:vAlign w:val="center"/>
                </w:tcPr>
                <w:p w14:paraId="0E1EF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830" w:type="pct"/>
                  <w:vMerge w:val="restart"/>
                  <w:tcBorders>
                    <w:tl2br w:val="nil"/>
                    <w:tr2bl w:val="nil"/>
                  </w:tcBorders>
                  <w:vAlign w:val="center"/>
                </w:tcPr>
                <w:p w14:paraId="7D3A0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989" w:type="pct"/>
                  <w:gridSpan w:val="3"/>
                  <w:tcBorders>
                    <w:tl2br w:val="nil"/>
                    <w:tr2bl w:val="nil"/>
                  </w:tcBorders>
                  <w:vAlign w:val="center"/>
                </w:tcPr>
                <w:p w14:paraId="3B6715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排放情况</w:t>
                  </w:r>
                </w:p>
              </w:tc>
              <w:tc>
                <w:tcPr>
                  <w:tcW w:w="1185" w:type="pct"/>
                  <w:gridSpan w:val="4"/>
                  <w:tcBorders>
                    <w:tl2br w:val="nil"/>
                    <w:tr2bl w:val="nil"/>
                  </w:tcBorders>
                  <w:vAlign w:val="center"/>
                </w:tcPr>
                <w:p w14:paraId="2123CD2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排气口基本情况</w:t>
                  </w:r>
                </w:p>
              </w:tc>
            </w:tr>
            <w:tr w14:paraId="43E3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49" w:type="pct"/>
                  <w:vMerge w:val="continue"/>
                  <w:tcBorders>
                    <w:tl2br w:val="nil"/>
                    <w:tr2bl w:val="nil"/>
                  </w:tcBorders>
                  <w:vAlign w:val="center"/>
                </w:tcPr>
                <w:p w14:paraId="2AF36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285" w:type="pct"/>
                  <w:vMerge w:val="continue"/>
                  <w:tcBorders>
                    <w:tl2br w:val="nil"/>
                    <w:tr2bl w:val="nil"/>
                  </w:tcBorders>
                  <w:vAlign w:val="center"/>
                </w:tcPr>
                <w:p w14:paraId="50B6A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32" w:type="pct"/>
                  <w:vMerge w:val="continue"/>
                  <w:tcBorders>
                    <w:tl2br w:val="nil"/>
                    <w:tr2bl w:val="nil"/>
                  </w:tcBorders>
                  <w:vAlign w:val="center"/>
                </w:tcPr>
                <w:p w14:paraId="61BEA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285" w:type="pct"/>
                  <w:vMerge w:val="continue"/>
                  <w:tcBorders>
                    <w:tl2br w:val="nil"/>
                    <w:tr2bl w:val="nil"/>
                  </w:tcBorders>
                  <w:vAlign w:val="center"/>
                </w:tcPr>
                <w:p w14:paraId="37D663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322" w:type="pct"/>
                  <w:tcBorders>
                    <w:tl2br w:val="nil"/>
                    <w:tr2bl w:val="nil"/>
                  </w:tcBorders>
                  <w:vAlign w:val="center"/>
                </w:tcPr>
                <w:p w14:paraId="103330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p w14:paraId="14DCF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t/a</w:t>
                  </w:r>
                </w:p>
              </w:tc>
              <w:tc>
                <w:tcPr>
                  <w:tcW w:w="306" w:type="pct"/>
                  <w:tcBorders>
                    <w:tl2br w:val="nil"/>
                    <w:tr2bl w:val="nil"/>
                  </w:tcBorders>
                  <w:vAlign w:val="center"/>
                </w:tcPr>
                <w:p w14:paraId="11697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r>
                    <w:rPr>
                      <w:rFonts w:hint="default" w:ascii="Times New Roman" w:hAnsi="Times New Roman" w:eastAsia="宋体" w:cs="Times New Roman"/>
                      <w:b w:val="0"/>
                      <w:bCs w:val="0"/>
                      <w:color w:val="auto"/>
                      <w:sz w:val="21"/>
                      <w:szCs w:val="21"/>
                      <w:highlight w:val="none"/>
                      <w:u w:val="none"/>
                      <w:vertAlign w:val="baseline"/>
                      <w:lang w:val="en-US" w:eastAsia="zh-CN"/>
                    </w:rPr>
                    <w:t>kg/h</w:t>
                  </w:r>
                </w:p>
              </w:tc>
              <w:tc>
                <w:tcPr>
                  <w:tcW w:w="311" w:type="pct"/>
                  <w:tcBorders>
                    <w:tl2br w:val="nil"/>
                    <w:tr2bl w:val="nil"/>
                  </w:tcBorders>
                  <w:vAlign w:val="center"/>
                </w:tcPr>
                <w:p w14:paraId="69C274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w:t>
                  </w:r>
                </w:p>
                <w:p w14:paraId="7D4738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浓</w:t>
                  </w:r>
                  <w:r>
                    <w:rPr>
                      <w:rFonts w:hint="default" w:ascii="Times New Roman" w:hAnsi="Times New Roman" w:eastAsia="宋体" w:cs="Times New Roman"/>
                      <w:b w:val="0"/>
                      <w:bCs w:val="0"/>
                      <w:color w:val="auto"/>
                      <w:sz w:val="21"/>
                      <w:szCs w:val="21"/>
                      <w:u w:val="none"/>
                      <w:vertAlign w:val="baseline"/>
                      <w:lang w:val="en-US" w:eastAsia="zh-CN"/>
                    </w:rPr>
                    <w:t>度</w:t>
                  </w:r>
                  <w:r>
                    <w:rPr>
                      <w:rFonts w:hint="default" w:ascii="Times New Roman" w:hAnsi="Times New Roman" w:eastAsia="宋体" w:cs="Times New Roman"/>
                      <w:b w:val="0"/>
                      <w:bCs w:val="0"/>
                      <w:color w:val="auto"/>
                      <w:sz w:val="21"/>
                      <w:szCs w:val="21"/>
                      <w:highlight w:val="none"/>
                      <w:u w:val="none"/>
                      <w:vertAlign w:val="baseli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830" w:type="pct"/>
                  <w:vMerge w:val="continue"/>
                  <w:tcBorders>
                    <w:tl2br w:val="nil"/>
                    <w:tr2bl w:val="nil"/>
                  </w:tcBorders>
                  <w:vAlign w:val="center"/>
                </w:tcPr>
                <w:p w14:paraId="0EE72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308" w:type="pct"/>
                  <w:tcBorders>
                    <w:tl2br w:val="nil"/>
                    <w:tr2bl w:val="nil"/>
                  </w:tcBorders>
                  <w:vAlign w:val="center"/>
                </w:tcPr>
                <w:p w14:paraId="66948A3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排放量</w:t>
                  </w:r>
                </w:p>
                <w:p w14:paraId="4F1323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314" w:type="pct"/>
                  <w:tcBorders>
                    <w:tl2br w:val="nil"/>
                    <w:tr2bl w:val="nil"/>
                  </w:tcBorders>
                  <w:vAlign w:val="center"/>
                </w:tcPr>
                <w:p w14:paraId="0C53C51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排放速率kg/h</w:t>
                  </w:r>
                </w:p>
              </w:tc>
              <w:tc>
                <w:tcPr>
                  <w:tcW w:w="365" w:type="pct"/>
                  <w:tcBorders>
                    <w:tl2br w:val="nil"/>
                    <w:tr2bl w:val="nil"/>
                  </w:tcBorders>
                  <w:vAlign w:val="center"/>
                </w:tcPr>
                <w:p w14:paraId="0DD366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排放浓度mg/m</w:t>
                  </w:r>
                  <w:r>
                    <w:rPr>
                      <w:rFonts w:hint="eastAsia" w:eastAsia="宋体" w:cs="Times New Roman"/>
                      <w:b w:val="0"/>
                      <w:bCs w:val="0"/>
                      <w:color w:val="auto"/>
                      <w:sz w:val="21"/>
                      <w:szCs w:val="21"/>
                      <w:u w:val="none"/>
                      <w:vertAlign w:val="superscript"/>
                      <w:lang w:val="en-US" w:eastAsia="zh-CN"/>
                    </w:rPr>
                    <w:t>3</w:t>
                  </w:r>
                </w:p>
              </w:tc>
              <w:tc>
                <w:tcPr>
                  <w:tcW w:w="337" w:type="pct"/>
                  <w:tcBorders>
                    <w:tl2br w:val="nil"/>
                    <w:tr2bl w:val="nil"/>
                  </w:tcBorders>
                  <w:vAlign w:val="center"/>
                </w:tcPr>
                <w:p w14:paraId="1EB886B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排气筒编号</w:t>
                  </w:r>
                </w:p>
              </w:tc>
              <w:tc>
                <w:tcPr>
                  <w:tcW w:w="337" w:type="pct"/>
                  <w:tcBorders>
                    <w:tl2br w:val="nil"/>
                    <w:tr2bl w:val="nil"/>
                  </w:tcBorders>
                  <w:vAlign w:val="center"/>
                </w:tcPr>
                <w:p w14:paraId="37F2E9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类型</w:t>
                  </w:r>
                </w:p>
              </w:tc>
              <w:tc>
                <w:tcPr>
                  <w:tcW w:w="263" w:type="pct"/>
                  <w:tcBorders>
                    <w:tl2br w:val="nil"/>
                    <w:tr2bl w:val="nil"/>
                  </w:tcBorders>
                  <w:vAlign w:val="center"/>
                </w:tcPr>
                <w:p w14:paraId="073C9FD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排气筒高度</w:t>
                  </w:r>
                </w:p>
              </w:tc>
              <w:tc>
                <w:tcPr>
                  <w:tcW w:w="247" w:type="pct"/>
                  <w:tcBorders>
                    <w:tl2br w:val="nil"/>
                    <w:tr2bl w:val="nil"/>
                  </w:tcBorders>
                  <w:vAlign w:val="center"/>
                </w:tcPr>
                <w:p w14:paraId="70260D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排气筒温度</w:t>
                  </w:r>
                </w:p>
              </w:tc>
            </w:tr>
            <w:tr w14:paraId="66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49" w:type="pct"/>
                  <w:vMerge w:val="restart"/>
                  <w:tcBorders>
                    <w:tl2br w:val="nil"/>
                    <w:tr2bl w:val="nil"/>
                  </w:tcBorders>
                  <w:vAlign w:val="center"/>
                </w:tcPr>
                <w:p w14:paraId="460923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285" w:type="pct"/>
                  <w:tcBorders>
                    <w:tl2br w:val="nil"/>
                    <w:tr2bl w:val="nil"/>
                  </w:tcBorders>
                  <w:vAlign w:val="center"/>
                </w:tcPr>
                <w:p w14:paraId="355FD8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熔融工序</w:t>
                  </w:r>
                </w:p>
              </w:tc>
              <w:tc>
                <w:tcPr>
                  <w:tcW w:w="332" w:type="pct"/>
                  <w:tcBorders>
                    <w:tl2br w:val="nil"/>
                    <w:tr2bl w:val="nil"/>
                  </w:tcBorders>
                  <w:vAlign w:val="center"/>
                </w:tcPr>
                <w:p w14:paraId="28B0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颗粒物</w:t>
                  </w:r>
                </w:p>
              </w:tc>
              <w:tc>
                <w:tcPr>
                  <w:tcW w:w="285" w:type="pct"/>
                  <w:tcBorders>
                    <w:tl2br w:val="nil"/>
                    <w:tr2bl w:val="nil"/>
                  </w:tcBorders>
                  <w:vAlign w:val="center"/>
                </w:tcPr>
                <w:p w14:paraId="71ED6D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25000</w:t>
                  </w:r>
                </w:p>
              </w:tc>
              <w:tc>
                <w:tcPr>
                  <w:tcW w:w="322" w:type="pct"/>
                  <w:tcBorders>
                    <w:tl2br w:val="nil"/>
                    <w:tr2bl w:val="nil"/>
                  </w:tcBorders>
                  <w:vAlign w:val="center"/>
                </w:tcPr>
                <w:p w14:paraId="10135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0.3593</w:t>
                  </w:r>
                </w:p>
              </w:tc>
              <w:tc>
                <w:tcPr>
                  <w:tcW w:w="306" w:type="pct"/>
                  <w:tcBorders>
                    <w:tl2br w:val="nil"/>
                    <w:tr2bl w:val="nil"/>
                  </w:tcBorders>
                  <w:vAlign w:val="center"/>
                </w:tcPr>
                <w:p w14:paraId="6062C73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1347</w:t>
                  </w:r>
                </w:p>
              </w:tc>
              <w:tc>
                <w:tcPr>
                  <w:tcW w:w="311" w:type="pct"/>
                  <w:tcBorders>
                    <w:tl2br w:val="nil"/>
                    <w:tr2bl w:val="nil"/>
                  </w:tcBorders>
                  <w:vAlign w:val="center"/>
                </w:tcPr>
                <w:p w14:paraId="4D504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5.39</w:t>
                  </w:r>
                </w:p>
              </w:tc>
              <w:tc>
                <w:tcPr>
                  <w:tcW w:w="830" w:type="pct"/>
                  <w:vMerge w:val="restart"/>
                  <w:tcBorders>
                    <w:tl2br w:val="nil"/>
                    <w:tr2bl w:val="nil"/>
                  </w:tcBorders>
                  <w:vAlign w:val="center"/>
                </w:tcPr>
                <w:p w14:paraId="5DFA6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+布袋除尘器+</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b w:val="0"/>
                      <w:bCs w:val="0"/>
                      <w:color w:val="auto"/>
                      <w:sz w:val="21"/>
                      <w:szCs w:val="21"/>
                      <w:highlight w:val="none"/>
                      <w:u w:val="none"/>
                      <w:vertAlign w:val="baseline"/>
                      <w:lang w:val="en-US" w:eastAsia="zh-CN"/>
                    </w:rPr>
                    <w:t>+15m生产废气排气筒（DA001）</w:t>
                  </w:r>
                </w:p>
              </w:tc>
              <w:tc>
                <w:tcPr>
                  <w:tcW w:w="308" w:type="pct"/>
                  <w:tcBorders>
                    <w:tl2br w:val="nil"/>
                    <w:tr2bl w:val="nil"/>
                  </w:tcBorders>
                  <w:vAlign w:val="center"/>
                </w:tcPr>
                <w:p w14:paraId="08568E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0.0323</w:t>
                  </w:r>
                </w:p>
              </w:tc>
              <w:tc>
                <w:tcPr>
                  <w:tcW w:w="314" w:type="pct"/>
                  <w:tcBorders>
                    <w:tl2br w:val="nil"/>
                    <w:tr2bl w:val="nil"/>
                  </w:tcBorders>
                  <w:vAlign w:val="center"/>
                </w:tcPr>
                <w:p w14:paraId="7E61A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0.</w:t>
                  </w:r>
                  <w:r>
                    <w:rPr>
                      <w:rFonts w:hint="eastAsia" w:cs="Times New Roman"/>
                      <w:color w:val="auto"/>
                      <w:sz w:val="21"/>
                      <w:szCs w:val="21"/>
                      <w:highlight w:val="none"/>
                      <w:vertAlign w:val="baseline"/>
                      <w:lang w:val="en-US" w:eastAsia="zh-CN"/>
                    </w:rPr>
                    <w:t>0135</w:t>
                  </w:r>
                </w:p>
              </w:tc>
              <w:tc>
                <w:tcPr>
                  <w:tcW w:w="365" w:type="pct"/>
                  <w:tcBorders>
                    <w:tl2br w:val="nil"/>
                    <w:tr2bl w:val="nil"/>
                  </w:tcBorders>
                  <w:vAlign w:val="center"/>
                </w:tcPr>
                <w:p w14:paraId="6C266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0.5389</w:t>
                  </w:r>
                </w:p>
              </w:tc>
              <w:tc>
                <w:tcPr>
                  <w:tcW w:w="337" w:type="pct"/>
                  <w:tcBorders>
                    <w:tl2br w:val="nil"/>
                    <w:tr2bl w:val="nil"/>
                  </w:tcBorders>
                  <w:vAlign w:val="center"/>
                </w:tcPr>
                <w:p w14:paraId="0D9F5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337" w:type="pct"/>
                  <w:tcBorders>
                    <w:tl2br w:val="nil"/>
                    <w:tr2bl w:val="nil"/>
                  </w:tcBorders>
                  <w:vAlign w:val="center"/>
                </w:tcPr>
                <w:p w14:paraId="5268D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263" w:type="pct"/>
                  <w:tcBorders>
                    <w:tl2br w:val="nil"/>
                    <w:tr2bl w:val="nil"/>
                  </w:tcBorders>
                  <w:vAlign w:val="center"/>
                </w:tcPr>
                <w:p w14:paraId="7CA5F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247" w:type="pct"/>
                  <w:tcBorders>
                    <w:tl2br w:val="nil"/>
                    <w:tr2bl w:val="nil"/>
                  </w:tcBorders>
                  <w:vAlign w:val="center"/>
                </w:tcPr>
                <w:p w14:paraId="1918B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0040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49" w:type="pct"/>
                  <w:vMerge w:val="continue"/>
                  <w:tcBorders>
                    <w:tl2br w:val="nil"/>
                    <w:tr2bl w:val="nil"/>
                  </w:tcBorders>
                  <w:vAlign w:val="center"/>
                </w:tcPr>
                <w:p w14:paraId="54F2B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restart"/>
                  <w:tcBorders>
                    <w:tl2br w:val="nil"/>
                    <w:tr2bl w:val="nil"/>
                  </w:tcBorders>
                  <w:vAlign w:val="center"/>
                </w:tcPr>
                <w:p w14:paraId="40EF1B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green"/>
                      <w:u w:val="none"/>
                      <w:lang w:val="en-US" w:eastAsia="zh-CN"/>
                    </w:rPr>
                  </w:pPr>
                  <w:r>
                    <w:rPr>
                      <w:rFonts w:hint="eastAsia" w:cs="Times New Roman"/>
                      <w:b w:val="0"/>
                      <w:bCs w:val="0"/>
                      <w:color w:val="auto"/>
                      <w:sz w:val="21"/>
                      <w:szCs w:val="21"/>
                      <w:highlight w:val="none"/>
                      <w:u w:val="none"/>
                      <w:lang w:val="en-US" w:eastAsia="zh-CN"/>
                    </w:rPr>
                    <w:t>压铸脱模工序</w:t>
                  </w:r>
                </w:p>
              </w:tc>
              <w:tc>
                <w:tcPr>
                  <w:tcW w:w="332" w:type="pct"/>
                  <w:tcBorders>
                    <w:tl2br w:val="nil"/>
                    <w:tr2bl w:val="nil"/>
                  </w:tcBorders>
                  <w:vAlign w:val="center"/>
                </w:tcPr>
                <w:p w14:paraId="29BC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颗粒物</w:t>
                  </w:r>
                </w:p>
              </w:tc>
              <w:tc>
                <w:tcPr>
                  <w:tcW w:w="285" w:type="pct"/>
                  <w:tcBorders>
                    <w:tl2br w:val="nil"/>
                    <w:tr2bl w:val="nil"/>
                  </w:tcBorders>
                  <w:vAlign w:val="center"/>
                </w:tcPr>
                <w:p w14:paraId="2F6C6E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25000</w:t>
                  </w:r>
                </w:p>
              </w:tc>
              <w:tc>
                <w:tcPr>
                  <w:tcW w:w="322" w:type="pct"/>
                  <w:tcBorders>
                    <w:tl2br w:val="nil"/>
                    <w:tr2bl w:val="nil"/>
                  </w:tcBorders>
                  <w:vAlign w:val="center"/>
                </w:tcPr>
                <w:p w14:paraId="459F3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1.4925</w:t>
                  </w:r>
                </w:p>
              </w:tc>
              <w:tc>
                <w:tcPr>
                  <w:tcW w:w="306" w:type="pct"/>
                  <w:tcBorders>
                    <w:tl2br w:val="nil"/>
                    <w:tr2bl w:val="nil"/>
                  </w:tcBorders>
                  <w:vAlign w:val="center"/>
                </w:tcPr>
                <w:p w14:paraId="497DF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0.5597</w:t>
                  </w:r>
                </w:p>
              </w:tc>
              <w:tc>
                <w:tcPr>
                  <w:tcW w:w="311" w:type="pct"/>
                  <w:tcBorders>
                    <w:tl2br w:val="nil"/>
                    <w:tr2bl w:val="nil"/>
                  </w:tcBorders>
                  <w:vAlign w:val="center"/>
                </w:tcPr>
                <w:p w14:paraId="3C580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22.39</w:t>
                  </w:r>
                </w:p>
              </w:tc>
              <w:tc>
                <w:tcPr>
                  <w:tcW w:w="830" w:type="pct"/>
                  <w:vMerge w:val="continue"/>
                  <w:tcBorders>
                    <w:tl2br w:val="nil"/>
                    <w:tr2bl w:val="nil"/>
                  </w:tcBorders>
                  <w:vAlign w:val="center"/>
                </w:tcPr>
                <w:p w14:paraId="2BFA3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2C33F45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0.1343</w:t>
                  </w:r>
                </w:p>
              </w:tc>
              <w:tc>
                <w:tcPr>
                  <w:tcW w:w="314" w:type="pct"/>
                  <w:tcBorders>
                    <w:tl2br w:val="nil"/>
                    <w:tr2bl w:val="nil"/>
                  </w:tcBorders>
                  <w:vAlign w:val="center"/>
                </w:tcPr>
                <w:p w14:paraId="69D365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0.0560</w:t>
                  </w:r>
                </w:p>
              </w:tc>
              <w:tc>
                <w:tcPr>
                  <w:tcW w:w="365" w:type="pct"/>
                  <w:tcBorders>
                    <w:tl2br w:val="nil"/>
                    <w:tr2bl w:val="nil"/>
                  </w:tcBorders>
                  <w:vAlign w:val="center"/>
                </w:tcPr>
                <w:p w14:paraId="325914C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2.2388</w:t>
                  </w:r>
                </w:p>
              </w:tc>
              <w:tc>
                <w:tcPr>
                  <w:tcW w:w="337" w:type="pct"/>
                  <w:tcBorders>
                    <w:tl2br w:val="nil"/>
                    <w:tr2bl w:val="nil"/>
                  </w:tcBorders>
                  <w:shd w:val="clear" w:color="auto" w:fill="auto"/>
                  <w:vAlign w:val="center"/>
                </w:tcPr>
                <w:p w14:paraId="727297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337" w:type="pct"/>
                  <w:tcBorders>
                    <w:tl2br w:val="nil"/>
                    <w:tr2bl w:val="nil"/>
                  </w:tcBorders>
                  <w:shd w:val="clear" w:color="auto" w:fill="auto"/>
                  <w:vAlign w:val="center"/>
                </w:tcPr>
                <w:p w14:paraId="25B144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63" w:type="pct"/>
                  <w:tcBorders>
                    <w:tl2br w:val="nil"/>
                    <w:tr2bl w:val="nil"/>
                  </w:tcBorders>
                  <w:shd w:val="clear" w:color="auto" w:fill="auto"/>
                  <w:vAlign w:val="center"/>
                </w:tcPr>
                <w:p w14:paraId="374A47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47" w:type="pct"/>
                  <w:tcBorders>
                    <w:tl2br w:val="nil"/>
                    <w:tr2bl w:val="nil"/>
                  </w:tcBorders>
                  <w:shd w:val="clear" w:color="auto" w:fill="auto"/>
                  <w:vAlign w:val="center"/>
                </w:tcPr>
                <w:p w14:paraId="7AB5B3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5D2B4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9" w:type="pct"/>
                  <w:vMerge w:val="continue"/>
                  <w:tcBorders>
                    <w:tl2br w:val="nil"/>
                    <w:tr2bl w:val="nil"/>
                  </w:tcBorders>
                  <w:vAlign w:val="center"/>
                </w:tcPr>
                <w:p w14:paraId="3B507B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continue"/>
                  <w:tcBorders>
                    <w:tl2br w:val="nil"/>
                    <w:tr2bl w:val="nil"/>
                  </w:tcBorders>
                  <w:vAlign w:val="center"/>
                </w:tcPr>
                <w:p w14:paraId="12C0F43E">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lang w:val="en-US" w:eastAsia="zh-CN"/>
                    </w:rPr>
                  </w:pPr>
                </w:p>
              </w:tc>
              <w:tc>
                <w:tcPr>
                  <w:tcW w:w="332" w:type="pct"/>
                  <w:tcBorders>
                    <w:tl2br w:val="nil"/>
                    <w:tr2bl w:val="nil"/>
                  </w:tcBorders>
                  <w:vAlign w:val="center"/>
                </w:tcPr>
                <w:p w14:paraId="22CA957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挥发性有机物</w:t>
                  </w:r>
                </w:p>
              </w:tc>
              <w:tc>
                <w:tcPr>
                  <w:tcW w:w="285" w:type="pct"/>
                  <w:tcBorders>
                    <w:tl2br w:val="nil"/>
                    <w:tr2bl w:val="nil"/>
                  </w:tcBorders>
                  <w:vAlign w:val="center"/>
                </w:tcPr>
                <w:p w14:paraId="40FD127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25000</w:t>
                  </w:r>
                </w:p>
              </w:tc>
              <w:tc>
                <w:tcPr>
                  <w:tcW w:w="322" w:type="pct"/>
                  <w:tcBorders>
                    <w:tl2br w:val="nil"/>
                    <w:tr2bl w:val="nil"/>
                  </w:tcBorders>
                  <w:vAlign w:val="center"/>
                </w:tcPr>
                <w:p w14:paraId="45DAE6C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0.09</w:t>
                  </w:r>
                </w:p>
              </w:tc>
              <w:tc>
                <w:tcPr>
                  <w:tcW w:w="306" w:type="pct"/>
                  <w:tcBorders>
                    <w:tl2br w:val="nil"/>
                    <w:tr2bl w:val="nil"/>
                  </w:tcBorders>
                  <w:vAlign w:val="center"/>
                </w:tcPr>
                <w:p w14:paraId="6BBF2E1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0.0338</w:t>
                  </w:r>
                </w:p>
              </w:tc>
              <w:tc>
                <w:tcPr>
                  <w:tcW w:w="311" w:type="pct"/>
                  <w:tcBorders>
                    <w:tl2br w:val="nil"/>
                    <w:tr2bl w:val="nil"/>
                  </w:tcBorders>
                  <w:vAlign w:val="center"/>
                </w:tcPr>
                <w:p w14:paraId="6B6F24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1.35</w:t>
                  </w:r>
                </w:p>
              </w:tc>
              <w:tc>
                <w:tcPr>
                  <w:tcW w:w="830" w:type="pct"/>
                  <w:vMerge w:val="continue"/>
                  <w:tcBorders>
                    <w:tl2br w:val="nil"/>
                    <w:tr2bl w:val="nil"/>
                  </w:tcBorders>
                  <w:vAlign w:val="center"/>
                </w:tcPr>
                <w:p w14:paraId="54DA8E9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59222D4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0.0203</w:t>
                  </w:r>
                </w:p>
              </w:tc>
              <w:tc>
                <w:tcPr>
                  <w:tcW w:w="314" w:type="pct"/>
                  <w:tcBorders>
                    <w:tl2br w:val="nil"/>
                    <w:tr2bl w:val="nil"/>
                  </w:tcBorders>
                  <w:vAlign w:val="center"/>
                </w:tcPr>
                <w:p w14:paraId="200E447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0.0084</w:t>
                  </w:r>
                </w:p>
              </w:tc>
              <w:tc>
                <w:tcPr>
                  <w:tcW w:w="365" w:type="pct"/>
                  <w:tcBorders>
                    <w:tl2br w:val="nil"/>
                    <w:tr2bl w:val="nil"/>
                  </w:tcBorders>
                  <w:vAlign w:val="center"/>
                </w:tcPr>
                <w:p w14:paraId="00D7CB0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0.3375</w:t>
                  </w:r>
                </w:p>
              </w:tc>
              <w:tc>
                <w:tcPr>
                  <w:tcW w:w="337" w:type="pct"/>
                  <w:tcBorders>
                    <w:tl2br w:val="nil"/>
                    <w:tr2bl w:val="nil"/>
                  </w:tcBorders>
                  <w:shd w:val="clear" w:color="auto" w:fill="auto"/>
                  <w:vAlign w:val="center"/>
                </w:tcPr>
                <w:p w14:paraId="5A8F56E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337" w:type="pct"/>
                  <w:tcBorders>
                    <w:tl2br w:val="nil"/>
                    <w:tr2bl w:val="nil"/>
                  </w:tcBorders>
                  <w:shd w:val="clear" w:color="auto" w:fill="auto"/>
                  <w:vAlign w:val="center"/>
                </w:tcPr>
                <w:p w14:paraId="5D12FB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63" w:type="pct"/>
                  <w:tcBorders>
                    <w:tl2br w:val="nil"/>
                    <w:tr2bl w:val="nil"/>
                  </w:tcBorders>
                  <w:shd w:val="clear" w:color="auto" w:fill="auto"/>
                  <w:vAlign w:val="center"/>
                </w:tcPr>
                <w:p w14:paraId="0628A97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47" w:type="pct"/>
                  <w:tcBorders>
                    <w:tl2br w:val="nil"/>
                    <w:tr2bl w:val="nil"/>
                  </w:tcBorders>
                  <w:shd w:val="clear" w:color="auto" w:fill="auto"/>
                  <w:vAlign w:val="center"/>
                </w:tcPr>
                <w:p w14:paraId="71E5CE9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2E05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49" w:type="pct"/>
                  <w:vMerge w:val="restart"/>
                  <w:tcBorders>
                    <w:tl2br w:val="nil"/>
                    <w:tr2bl w:val="nil"/>
                  </w:tcBorders>
                  <w:vAlign w:val="center"/>
                </w:tcPr>
                <w:p w14:paraId="07ED81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eastAsia="宋体" w:cs="Times New Roman"/>
                      <w:b w:val="0"/>
                      <w:bCs w:val="0"/>
                      <w:color w:val="auto"/>
                      <w:sz w:val="21"/>
                      <w:szCs w:val="21"/>
                      <w:u w:val="none"/>
                      <w:vertAlign w:val="baseline"/>
                      <w:lang w:val="en-US" w:eastAsia="zh-CN"/>
                    </w:rPr>
                    <w:t>无组织</w:t>
                  </w:r>
                </w:p>
              </w:tc>
              <w:tc>
                <w:tcPr>
                  <w:tcW w:w="285" w:type="pct"/>
                  <w:tcBorders>
                    <w:tl2br w:val="nil"/>
                    <w:tr2bl w:val="nil"/>
                  </w:tcBorders>
                  <w:shd w:val="clear" w:color="auto" w:fill="auto"/>
                  <w:vAlign w:val="center"/>
                </w:tcPr>
                <w:p w14:paraId="53E2343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sz w:val="21"/>
                      <w:szCs w:val="21"/>
                      <w:u w:val="none"/>
                      <w:vertAlign w:val="baseline"/>
                      <w:lang w:val="en-US" w:eastAsia="zh-CN"/>
                    </w:rPr>
                    <w:t>熔融工序</w:t>
                  </w:r>
                </w:p>
              </w:tc>
              <w:tc>
                <w:tcPr>
                  <w:tcW w:w="332" w:type="pct"/>
                  <w:tcBorders>
                    <w:tl2br w:val="nil"/>
                    <w:tr2bl w:val="nil"/>
                  </w:tcBorders>
                  <w:shd w:val="clear" w:color="auto" w:fill="auto"/>
                  <w:vAlign w:val="center"/>
                </w:tcPr>
                <w:p w14:paraId="18ABDC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颗粒物</w:t>
                  </w:r>
                </w:p>
              </w:tc>
              <w:tc>
                <w:tcPr>
                  <w:tcW w:w="285" w:type="pct"/>
                  <w:tcBorders>
                    <w:tl2br w:val="nil"/>
                    <w:tr2bl w:val="nil"/>
                  </w:tcBorders>
                  <w:vAlign w:val="center"/>
                </w:tcPr>
                <w:p w14:paraId="4086745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2" w:type="pct"/>
                  <w:tcBorders>
                    <w:tl2br w:val="nil"/>
                    <w:tr2bl w:val="nil"/>
                  </w:tcBorders>
                  <w:vAlign w:val="center"/>
                </w:tcPr>
                <w:p w14:paraId="4F9D722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0.</w:t>
                  </w:r>
                  <w:r>
                    <w:rPr>
                      <w:rFonts w:hint="eastAsia" w:cs="Times New Roman"/>
                      <w:b w:val="0"/>
                      <w:bCs w:val="0"/>
                      <w:color w:val="auto"/>
                      <w:sz w:val="21"/>
                      <w:szCs w:val="21"/>
                      <w:highlight w:val="none"/>
                      <w:u w:val="none"/>
                      <w:vertAlign w:val="baseline"/>
                      <w:lang w:val="en-US" w:eastAsia="zh-CN"/>
                    </w:rPr>
                    <w:t>0359</w:t>
                  </w:r>
                </w:p>
              </w:tc>
              <w:tc>
                <w:tcPr>
                  <w:tcW w:w="306" w:type="pct"/>
                  <w:tcBorders>
                    <w:tl2br w:val="nil"/>
                    <w:tr2bl w:val="nil"/>
                  </w:tcBorders>
                  <w:vAlign w:val="center"/>
                </w:tcPr>
                <w:p w14:paraId="3935E26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04AA1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30" w:type="pct"/>
                  <w:vMerge w:val="restart"/>
                  <w:tcBorders>
                    <w:tl2br w:val="nil"/>
                    <w:tr2bl w:val="nil"/>
                  </w:tcBorders>
                  <w:vAlign w:val="center"/>
                </w:tcPr>
                <w:p w14:paraId="0CFF6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加强废气的收集及活性炭吸附净化装置维护保养，防止废气事故无组织排放；生产过程中门窗关闭，保持一个相对密闭的空间，合理设计送排风系统</w:t>
                  </w:r>
                </w:p>
              </w:tc>
              <w:tc>
                <w:tcPr>
                  <w:tcW w:w="308" w:type="pct"/>
                  <w:tcBorders>
                    <w:tl2br w:val="nil"/>
                    <w:tr2bl w:val="nil"/>
                  </w:tcBorders>
                  <w:vAlign w:val="center"/>
                </w:tcPr>
                <w:p w14:paraId="627963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0.0359</w:t>
                  </w:r>
                </w:p>
              </w:tc>
              <w:tc>
                <w:tcPr>
                  <w:tcW w:w="314" w:type="pct"/>
                  <w:tcBorders>
                    <w:tl2br w:val="nil"/>
                    <w:tr2bl w:val="nil"/>
                  </w:tcBorders>
                  <w:vAlign w:val="center"/>
                </w:tcPr>
                <w:p w14:paraId="64762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0.0150</w:t>
                  </w:r>
                </w:p>
              </w:tc>
              <w:tc>
                <w:tcPr>
                  <w:tcW w:w="365" w:type="pct"/>
                  <w:tcBorders>
                    <w:tl2br w:val="nil"/>
                    <w:tr2bl w:val="nil"/>
                  </w:tcBorders>
                  <w:vAlign w:val="center"/>
                </w:tcPr>
                <w:p w14:paraId="1117C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37" w:type="pct"/>
                  <w:tcBorders>
                    <w:tl2br w:val="nil"/>
                    <w:tr2bl w:val="nil"/>
                  </w:tcBorders>
                  <w:shd w:val="clear" w:color="auto" w:fill="auto"/>
                  <w:vAlign w:val="center"/>
                </w:tcPr>
                <w:p w14:paraId="3D6AFC5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7" w:type="pct"/>
                  <w:tcBorders>
                    <w:tl2br w:val="nil"/>
                    <w:tr2bl w:val="nil"/>
                  </w:tcBorders>
                  <w:shd w:val="clear" w:color="auto" w:fill="auto"/>
                  <w:vAlign w:val="center"/>
                </w:tcPr>
                <w:p w14:paraId="085802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499EA2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47" w:type="pct"/>
                  <w:tcBorders>
                    <w:tl2br w:val="nil"/>
                    <w:tr2bl w:val="nil"/>
                  </w:tcBorders>
                  <w:shd w:val="clear" w:color="auto" w:fill="auto"/>
                  <w:vAlign w:val="center"/>
                </w:tcPr>
                <w:p w14:paraId="3A47D1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6A69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49" w:type="pct"/>
                  <w:vMerge w:val="continue"/>
                  <w:tcBorders>
                    <w:tl2br w:val="nil"/>
                    <w:tr2bl w:val="nil"/>
                  </w:tcBorders>
                  <w:vAlign w:val="center"/>
                </w:tcPr>
                <w:p w14:paraId="6C89B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restart"/>
                  <w:tcBorders>
                    <w:tl2br w:val="nil"/>
                    <w:tr2bl w:val="nil"/>
                  </w:tcBorders>
                  <w:shd w:val="clear" w:color="auto" w:fill="auto"/>
                  <w:vAlign w:val="center"/>
                </w:tcPr>
                <w:p w14:paraId="4BD90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lang w:val="en-US" w:eastAsia="zh-CN" w:bidi="ar-SA"/>
                    </w:rPr>
                  </w:pPr>
                  <w:r>
                    <w:rPr>
                      <w:rFonts w:hint="eastAsia" w:cs="Times New Roman"/>
                      <w:b w:val="0"/>
                      <w:bCs w:val="0"/>
                      <w:color w:val="auto"/>
                      <w:sz w:val="21"/>
                      <w:szCs w:val="21"/>
                      <w:highlight w:val="none"/>
                      <w:u w:val="none"/>
                      <w:lang w:val="en-US" w:eastAsia="zh-CN"/>
                    </w:rPr>
                    <w:t>压铸脱模工序</w:t>
                  </w:r>
                </w:p>
              </w:tc>
              <w:tc>
                <w:tcPr>
                  <w:tcW w:w="332" w:type="pct"/>
                  <w:tcBorders>
                    <w:tl2br w:val="nil"/>
                    <w:tr2bl w:val="nil"/>
                  </w:tcBorders>
                  <w:shd w:val="clear" w:color="auto" w:fill="auto"/>
                  <w:vAlign w:val="center"/>
                </w:tcPr>
                <w:p w14:paraId="77D04E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颗粒物</w:t>
                  </w:r>
                </w:p>
              </w:tc>
              <w:tc>
                <w:tcPr>
                  <w:tcW w:w="285" w:type="pct"/>
                  <w:tcBorders>
                    <w:tl2br w:val="nil"/>
                    <w:tr2bl w:val="nil"/>
                  </w:tcBorders>
                  <w:vAlign w:val="center"/>
                </w:tcPr>
                <w:p w14:paraId="4DF240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2" w:type="pct"/>
                  <w:tcBorders>
                    <w:tl2br w:val="nil"/>
                    <w:tr2bl w:val="nil"/>
                  </w:tcBorders>
                  <w:vAlign w:val="center"/>
                </w:tcPr>
                <w:p w14:paraId="50CC55C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0.1493</w:t>
                  </w:r>
                </w:p>
              </w:tc>
              <w:tc>
                <w:tcPr>
                  <w:tcW w:w="306" w:type="pct"/>
                  <w:tcBorders>
                    <w:tl2br w:val="nil"/>
                    <w:tr2bl w:val="nil"/>
                  </w:tcBorders>
                  <w:vAlign w:val="center"/>
                </w:tcPr>
                <w:p w14:paraId="214B0E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45EA0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830" w:type="pct"/>
                  <w:vMerge w:val="continue"/>
                  <w:tcBorders>
                    <w:tl2br w:val="nil"/>
                    <w:tr2bl w:val="nil"/>
                  </w:tcBorders>
                  <w:vAlign w:val="center"/>
                </w:tcPr>
                <w:p w14:paraId="4F522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07DDCDA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0.1493</w:t>
                  </w:r>
                </w:p>
              </w:tc>
              <w:tc>
                <w:tcPr>
                  <w:tcW w:w="314" w:type="pct"/>
                  <w:tcBorders>
                    <w:tl2br w:val="nil"/>
                    <w:tr2bl w:val="nil"/>
                  </w:tcBorders>
                  <w:vAlign w:val="center"/>
                </w:tcPr>
                <w:p w14:paraId="44C63E9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0.0622</w:t>
                  </w:r>
                </w:p>
              </w:tc>
              <w:tc>
                <w:tcPr>
                  <w:tcW w:w="365" w:type="pct"/>
                  <w:tcBorders>
                    <w:tl2br w:val="nil"/>
                    <w:tr2bl w:val="nil"/>
                  </w:tcBorders>
                  <w:vAlign w:val="center"/>
                </w:tcPr>
                <w:p w14:paraId="2359DA3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37" w:type="pct"/>
                  <w:tcBorders>
                    <w:tl2br w:val="nil"/>
                    <w:tr2bl w:val="nil"/>
                  </w:tcBorders>
                  <w:shd w:val="clear" w:color="auto" w:fill="auto"/>
                  <w:vAlign w:val="center"/>
                </w:tcPr>
                <w:p w14:paraId="239690D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337" w:type="pct"/>
                  <w:tcBorders>
                    <w:tl2br w:val="nil"/>
                    <w:tr2bl w:val="nil"/>
                  </w:tcBorders>
                  <w:shd w:val="clear" w:color="auto" w:fill="auto"/>
                  <w:vAlign w:val="center"/>
                </w:tcPr>
                <w:p w14:paraId="5316C6D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318D00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47" w:type="pct"/>
                  <w:tcBorders>
                    <w:tl2br w:val="nil"/>
                    <w:tr2bl w:val="nil"/>
                  </w:tcBorders>
                  <w:shd w:val="clear" w:color="auto" w:fill="auto"/>
                  <w:vAlign w:val="center"/>
                </w:tcPr>
                <w:p w14:paraId="73D00C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04D3F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49" w:type="pct"/>
                  <w:vMerge w:val="continue"/>
                  <w:tcBorders>
                    <w:tl2br w:val="nil"/>
                    <w:tr2bl w:val="nil"/>
                  </w:tcBorders>
                  <w:vAlign w:val="center"/>
                </w:tcPr>
                <w:p w14:paraId="1EBCAA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285" w:type="pct"/>
                  <w:vMerge w:val="continue"/>
                  <w:tcBorders>
                    <w:tl2br w:val="nil"/>
                    <w:tr2bl w:val="nil"/>
                  </w:tcBorders>
                  <w:shd w:val="clear" w:color="auto" w:fill="auto"/>
                  <w:vAlign w:val="center"/>
                </w:tcPr>
                <w:p w14:paraId="4BCE8D8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lang w:val="en-US" w:eastAsia="zh-CN"/>
                    </w:rPr>
                  </w:pPr>
                </w:p>
              </w:tc>
              <w:tc>
                <w:tcPr>
                  <w:tcW w:w="332" w:type="pct"/>
                  <w:tcBorders>
                    <w:tl2br w:val="nil"/>
                    <w:tr2bl w:val="nil"/>
                  </w:tcBorders>
                  <w:shd w:val="clear" w:color="auto" w:fill="auto"/>
                  <w:vAlign w:val="center"/>
                </w:tcPr>
                <w:p w14:paraId="61BD7D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挥发性有机物</w:t>
                  </w:r>
                </w:p>
              </w:tc>
              <w:tc>
                <w:tcPr>
                  <w:tcW w:w="285" w:type="pct"/>
                  <w:tcBorders>
                    <w:tl2br w:val="nil"/>
                    <w:tr2bl w:val="nil"/>
                  </w:tcBorders>
                  <w:vAlign w:val="center"/>
                </w:tcPr>
                <w:p w14:paraId="12C31F1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2" w:type="pct"/>
                  <w:tcBorders>
                    <w:tl2br w:val="nil"/>
                    <w:tr2bl w:val="nil"/>
                  </w:tcBorders>
                  <w:vAlign w:val="center"/>
                </w:tcPr>
                <w:p w14:paraId="3E605C0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0.0090</w:t>
                  </w:r>
                </w:p>
              </w:tc>
              <w:tc>
                <w:tcPr>
                  <w:tcW w:w="306" w:type="pct"/>
                  <w:tcBorders>
                    <w:tl2br w:val="nil"/>
                    <w:tr2bl w:val="nil"/>
                  </w:tcBorders>
                  <w:vAlign w:val="center"/>
                </w:tcPr>
                <w:p w14:paraId="1A37461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24AEB4C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830" w:type="pct"/>
                  <w:vMerge w:val="continue"/>
                  <w:tcBorders>
                    <w:tl2br w:val="nil"/>
                    <w:tr2bl w:val="nil"/>
                  </w:tcBorders>
                  <w:vAlign w:val="center"/>
                </w:tcPr>
                <w:p w14:paraId="0D522C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08" w:type="pct"/>
                  <w:tcBorders>
                    <w:tl2br w:val="nil"/>
                    <w:tr2bl w:val="nil"/>
                  </w:tcBorders>
                  <w:vAlign w:val="center"/>
                </w:tcPr>
                <w:p w14:paraId="6A19A5E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0.0090</w:t>
                  </w:r>
                </w:p>
              </w:tc>
              <w:tc>
                <w:tcPr>
                  <w:tcW w:w="314" w:type="pct"/>
                  <w:tcBorders>
                    <w:tl2br w:val="nil"/>
                    <w:tr2bl w:val="nil"/>
                  </w:tcBorders>
                  <w:vAlign w:val="center"/>
                </w:tcPr>
                <w:p w14:paraId="541750C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0.0038</w:t>
                  </w:r>
                </w:p>
              </w:tc>
              <w:tc>
                <w:tcPr>
                  <w:tcW w:w="365" w:type="pct"/>
                  <w:tcBorders>
                    <w:tl2br w:val="nil"/>
                    <w:tr2bl w:val="nil"/>
                  </w:tcBorders>
                  <w:vAlign w:val="center"/>
                </w:tcPr>
                <w:p w14:paraId="2F0F9B0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37" w:type="pct"/>
                  <w:tcBorders>
                    <w:tl2br w:val="nil"/>
                    <w:tr2bl w:val="nil"/>
                  </w:tcBorders>
                  <w:shd w:val="clear" w:color="auto" w:fill="auto"/>
                  <w:vAlign w:val="center"/>
                </w:tcPr>
                <w:p w14:paraId="02E00D9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337" w:type="pct"/>
                  <w:tcBorders>
                    <w:tl2br w:val="nil"/>
                    <w:tr2bl w:val="nil"/>
                  </w:tcBorders>
                  <w:shd w:val="clear" w:color="auto" w:fill="auto"/>
                  <w:vAlign w:val="center"/>
                </w:tcPr>
                <w:p w14:paraId="6DAF6B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09D0A5C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47" w:type="pct"/>
                  <w:tcBorders>
                    <w:tl2br w:val="nil"/>
                    <w:tr2bl w:val="nil"/>
                  </w:tcBorders>
                  <w:shd w:val="clear" w:color="auto" w:fill="auto"/>
                  <w:vAlign w:val="center"/>
                </w:tcPr>
                <w:p w14:paraId="7BEA9FF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67A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 w:type="pct"/>
                  <w:vMerge w:val="restart"/>
                  <w:vAlign w:val="center"/>
                </w:tcPr>
                <w:p w14:paraId="41625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1533" w:type="pct"/>
                  <w:gridSpan w:val="5"/>
                  <w:vAlign w:val="center"/>
                </w:tcPr>
                <w:p w14:paraId="0B0BA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1142" w:type="pct"/>
                  <w:gridSpan w:val="2"/>
                  <w:shd w:val="clear" w:color="auto" w:fill="auto"/>
                  <w:vAlign w:val="center"/>
                </w:tcPr>
                <w:p w14:paraId="2EE6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989" w:type="pct"/>
                  <w:gridSpan w:val="3"/>
                  <w:shd w:val="clear" w:color="auto" w:fill="auto"/>
                  <w:vAlign w:val="center"/>
                </w:tcPr>
                <w:p w14:paraId="0902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1185" w:type="pct"/>
                  <w:gridSpan w:val="4"/>
                  <w:vAlign w:val="center"/>
                </w:tcPr>
                <w:p w14:paraId="28767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r>
            <w:tr w14:paraId="4D557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49" w:type="pct"/>
                  <w:vMerge w:val="continue"/>
                  <w:vAlign w:val="center"/>
                </w:tcPr>
                <w:p w14:paraId="29627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533" w:type="pct"/>
                  <w:gridSpan w:val="5"/>
                  <w:vAlign w:val="center"/>
                </w:tcPr>
                <w:p w14:paraId="116983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颗粒物</w:t>
                  </w:r>
                  <w:r>
                    <w:rPr>
                      <w:rFonts w:hint="eastAsia" w:cs="Times New Roman"/>
                      <w:b w:val="0"/>
                      <w:bCs w:val="0"/>
                      <w:color w:val="auto"/>
                      <w:sz w:val="21"/>
                      <w:szCs w:val="21"/>
                      <w:u w:val="none"/>
                      <w:lang w:val="en-US" w:eastAsia="zh-CN"/>
                    </w:rPr>
                    <w:t>（t/a）</w:t>
                  </w:r>
                </w:p>
              </w:tc>
              <w:tc>
                <w:tcPr>
                  <w:tcW w:w="1142" w:type="pct"/>
                  <w:gridSpan w:val="2"/>
                  <w:shd w:val="clear" w:color="auto" w:fill="auto"/>
                  <w:vAlign w:val="center"/>
                </w:tcPr>
                <w:p w14:paraId="2FD2C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0.1666</w:t>
                  </w:r>
                </w:p>
              </w:tc>
              <w:tc>
                <w:tcPr>
                  <w:tcW w:w="989" w:type="pct"/>
                  <w:gridSpan w:val="3"/>
                  <w:shd w:val="clear" w:color="auto" w:fill="auto"/>
                  <w:vAlign w:val="center"/>
                </w:tcPr>
                <w:p w14:paraId="66A036D7">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0.1852</w:t>
                  </w:r>
                </w:p>
              </w:tc>
              <w:tc>
                <w:tcPr>
                  <w:tcW w:w="1185" w:type="pct"/>
                  <w:gridSpan w:val="4"/>
                  <w:vAlign w:val="center"/>
                </w:tcPr>
                <w:p w14:paraId="4FE368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0.3518</w:t>
                  </w:r>
                </w:p>
              </w:tc>
            </w:tr>
            <w:tr w14:paraId="16619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49" w:type="pct"/>
                  <w:vMerge w:val="continue"/>
                  <w:vAlign w:val="center"/>
                </w:tcPr>
                <w:p w14:paraId="2CAC7D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533" w:type="pct"/>
                  <w:gridSpan w:val="5"/>
                  <w:vAlign w:val="center"/>
                </w:tcPr>
                <w:p w14:paraId="671C4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挥发性有机物VOCs（t/a）</w:t>
                  </w:r>
                </w:p>
              </w:tc>
              <w:tc>
                <w:tcPr>
                  <w:tcW w:w="1142" w:type="pct"/>
                  <w:gridSpan w:val="2"/>
                  <w:shd w:val="clear" w:color="auto" w:fill="auto"/>
                  <w:vAlign w:val="center"/>
                </w:tcPr>
                <w:p w14:paraId="3F42AEB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0.0203</w:t>
                  </w:r>
                </w:p>
              </w:tc>
              <w:tc>
                <w:tcPr>
                  <w:tcW w:w="989" w:type="pct"/>
                  <w:gridSpan w:val="3"/>
                  <w:shd w:val="clear" w:color="auto" w:fill="auto"/>
                  <w:vAlign w:val="center"/>
                </w:tcPr>
                <w:p w14:paraId="025A542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u w:val="none"/>
                      <w:vertAlign w:val="baseline"/>
                      <w:lang w:val="en-US" w:eastAsia="zh-CN" w:bidi="ar-SA"/>
                    </w:rPr>
                  </w:pPr>
                  <w:r>
                    <w:rPr>
                      <w:rFonts w:hint="eastAsia" w:cs="Times New Roman"/>
                      <w:b w:val="0"/>
                      <w:bCs w:val="0"/>
                      <w:color w:val="auto"/>
                      <w:kern w:val="2"/>
                      <w:sz w:val="21"/>
                      <w:szCs w:val="21"/>
                      <w:u w:val="none"/>
                      <w:vertAlign w:val="baseline"/>
                      <w:lang w:val="en-US" w:eastAsia="zh-CN" w:bidi="ar-SA"/>
                    </w:rPr>
                    <w:t>0.0090</w:t>
                  </w:r>
                </w:p>
              </w:tc>
              <w:tc>
                <w:tcPr>
                  <w:tcW w:w="1185" w:type="pct"/>
                  <w:gridSpan w:val="4"/>
                  <w:vAlign w:val="center"/>
                </w:tcPr>
                <w:p w14:paraId="4ACDD09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0.0293</w:t>
                  </w:r>
                </w:p>
              </w:tc>
            </w:tr>
          </w:tbl>
          <w:p w14:paraId="1F583C7B">
            <w:pPr>
              <w:numPr>
                <w:ilvl w:val="0"/>
                <w:numId w:val="0"/>
              </w:numPr>
              <w:adjustRightInd w:val="0"/>
              <w:snapToGrid w:val="0"/>
              <w:spacing w:line="348" w:lineRule="auto"/>
              <w:rPr>
                <w:rFonts w:hint="default" w:cs="Times New Roman"/>
                <w:color w:val="262626"/>
                <w:sz w:val="24"/>
                <w:lang w:val="en-US" w:eastAsia="zh-CN"/>
              </w:rPr>
            </w:pPr>
          </w:p>
        </w:tc>
      </w:tr>
    </w:tbl>
    <w:p w14:paraId="216EC953">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13"/>
      </w:tblGrid>
      <w:tr w14:paraId="01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2" w:hRule="atLeast"/>
        </w:trPr>
        <w:tc>
          <w:tcPr>
            <w:tcW w:w="252" w:type="pct"/>
            <w:vAlign w:val="center"/>
          </w:tcPr>
          <w:p w14:paraId="7F1C2790">
            <w:pPr>
              <w:jc w:val="center"/>
              <w:rPr>
                <w:rFonts w:hint="default" w:ascii="Times New Roman" w:hAnsi="Times New Roman" w:eastAsia="宋体" w:cs="Times New Roman"/>
                <w:color w:val="auto"/>
                <w:kern w:val="0"/>
                <w:sz w:val="24"/>
                <w:szCs w:val="24"/>
                <w:lang w:val="en-US" w:eastAsia="zh-CN"/>
              </w:rPr>
            </w:pPr>
          </w:p>
        </w:tc>
        <w:tc>
          <w:tcPr>
            <w:tcW w:w="4747" w:type="pct"/>
          </w:tcPr>
          <w:p w14:paraId="116892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36" w:name="_Toc13376"/>
            <w:bookmarkStart w:id="137" w:name="_Toc24457"/>
            <w:r>
              <w:rPr>
                <w:rFonts w:hint="eastAsia"/>
                <w:b/>
                <w:color w:val="262626"/>
                <w:kern w:val="0"/>
                <w:sz w:val="24"/>
                <w:lang w:val="en-US" w:eastAsia="zh-CN"/>
              </w:rPr>
              <w:t>4.1.3运营期大气污染防治措施合理性分析</w:t>
            </w:r>
            <w:bookmarkEnd w:id="136"/>
            <w:bookmarkEnd w:id="137"/>
          </w:p>
          <w:p w14:paraId="4B91027D">
            <w:pPr>
              <w:pStyle w:val="45"/>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w:t>
            </w:r>
            <w:r>
              <w:rPr>
                <w:rFonts w:hint="eastAsia" w:ascii="Times New Roman" w:hAnsi="Times New Roman" w:cs="Times New Roman"/>
                <w:color w:val="auto"/>
                <w:sz w:val="24"/>
                <w:szCs w:val="24"/>
                <w:lang w:val="en-US" w:eastAsia="zh-CN"/>
              </w:rPr>
              <w:t>挥发性有机物、</w:t>
            </w:r>
            <w:r>
              <w:rPr>
                <w:rFonts w:hint="default"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w:t>
            </w:r>
          </w:p>
          <w:p w14:paraId="4DE774BF">
            <w:pPr>
              <w:pStyle w:val="45"/>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514E5521">
            <w:pPr>
              <w:pStyle w:val="45"/>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厂房总体为钢筋混凝土结构，墙体、屋顶、门窗等均采用密闭设计。本项目所使用设备均设置在车间内，</w:t>
            </w:r>
            <w:r>
              <w:rPr>
                <w:rFonts w:hint="eastAsia" w:ascii="Times New Roman" w:hAnsi="Times New Roman" w:cs="Times New Roman"/>
                <w:color w:val="auto"/>
                <w:sz w:val="24"/>
                <w:szCs w:val="24"/>
                <w:lang w:val="en-US" w:eastAsia="zh-CN"/>
              </w:rPr>
              <w:t>抛光、研磨、去毛边等设备设置密闭生产车间，加强车间管理，定期使用吸尘器对车间内进行清扫，</w:t>
            </w:r>
            <w:r>
              <w:rPr>
                <w:rFonts w:hint="eastAsia" w:ascii="Times New Roman" w:hAnsi="Times New Roman" w:eastAsia="宋体" w:cs="Times New Roman"/>
                <w:color w:val="auto"/>
                <w:sz w:val="24"/>
                <w:szCs w:val="24"/>
                <w:lang w:val="en-US" w:eastAsia="zh-CN"/>
              </w:rPr>
              <w:t>可减少污染物无组织扩散。</w:t>
            </w:r>
          </w:p>
          <w:p w14:paraId="4B0B26E6">
            <w:pPr>
              <w:pStyle w:val="45"/>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0F1A82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熔融、压铸脱模工序生产废</w:t>
            </w:r>
            <w:r>
              <w:rPr>
                <w:rFonts w:hint="eastAsia" w:ascii="Times New Roman" w:hAnsi="Times New Roman" w:cs="Times New Roman"/>
                <w:color w:val="auto"/>
                <w:kern w:val="0"/>
                <w:sz w:val="24"/>
                <w:szCs w:val="24"/>
                <w:highlight w:val="none"/>
                <w:lang w:val="en-US" w:eastAsia="zh-CN" w:bidi="ar-SA"/>
              </w:rPr>
              <w:t>气</w:t>
            </w:r>
            <w:r>
              <w:rPr>
                <w:rFonts w:hint="eastAsia" w:cs="Times New Roman"/>
                <w:color w:val="auto"/>
                <w:kern w:val="0"/>
                <w:sz w:val="24"/>
                <w:szCs w:val="24"/>
                <w:highlight w:val="none"/>
                <w:lang w:val="en-US" w:eastAsia="zh-CN" w:bidi="ar-SA"/>
              </w:rPr>
              <w:t>（挥发性有机物、颗粒物）</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布袋除尘器+二级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m高排气筒（DA001）排放</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机加工（研磨、钻孔、去毛边）等工序</w:t>
            </w:r>
            <w:r>
              <w:rPr>
                <w:rFonts w:hint="eastAsia" w:ascii="Times New Roman" w:hAnsi="Times New Roman" w:cs="Times New Roman"/>
                <w:color w:val="auto"/>
                <w:sz w:val="24"/>
                <w:szCs w:val="24"/>
                <w:highlight w:val="none"/>
                <w:lang w:val="en-US" w:eastAsia="zh-CN"/>
              </w:rPr>
              <w:t>设置密闭生产车间，</w:t>
            </w:r>
            <w:r>
              <w:rPr>
                <w:rFonts w:hint="eastAsia" w:cs="Times New Roman"/>
                <w:color w:val="auto"/>
                <w:sz w:val="24"/>
                <w:szCs w:val="24"/>
                <w:highlight w:val="none"/>
                <w:lang w:val="en-US" w:eastAsia="zh-CN"/>
              </w:rPr>
              <w:t>产生的金属粉尘比重大，会沉降在设备周围，</w:t>
            </w:r>
            <w:r>
              <w:rPr>
                <w:rFonts w:hint="eastAsia" w:ascii="Times New Roman" w:hAnsi="Times New Roman" w:cs="Times New Roman"/>
                <w:color w:val="auto"/>
                <w:sz w:val="24"/>
                <w:szCs w:val="24"/>
                <w:highlight w:val="none"/>
                <w:lang w:val="en-US" w:eastAsia="zh-CN"/>
              </w:rPr>
              <w:t>加强车间管理，定期对车间内进行清扫</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收集后作为一般固体废物，外售综合利用。</w:t>
            </w:r>
          </w:p>
          <w:p w14:paraId="12B654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熔融</w:t>
            </w:r>
            <w:r>
              <w:rPr>
                <w:rFonts w:hint="eastAsia" w:ascii="Times New Roman" w:hAnsi="Times New Roman" w:eastAsia="宋体" w:cs="Times New Roman"/>
                <w:color w:val="auto"/>
                <w:kern w:val="0"/>
                <w:sz w:val="24"/>
                <w:szCs w:val="24"/>
                <w:highlight w:val="none"/>
                <w:lang w:val="en-US" w:eastAsia="zh-CN" w:bidi="ar-SA"/>
              </w:rPr>
              <w:t>工序与</w:t>
            </w:r>
            <w:r>
              <w:rPr>
                <w:rFonts w:hint="eastAsia" w:cs="Times New Roman"/>
                <w:color w:val="auto"/>
                <w:kern w:val="0"/>
                <w:sz w:val="24"/>
                <w:szCs w:val="24"/>
                <w:highlight w:val="none"/>
                <w:lang w:val="en-US" w:eastAsia="zh-CN" w:bidi="ar-SA"/>
              </w:rPr>
              <w:t>压铸脱模工序</w:t>
            </w:r>
            <w:r>
              <w:rPr>
                <w:rFonts w:hint="eastAsia" w:ascii="Times New Roman" w:hAnsi="Times New Roman" w:eastAsia="宋体" w:cs="Times New Roman"/>
                <w:color w:val="auto"/>
                <w:kern w:val="0"/>
                <w:sz w:val="24"/>
                <w:szCs w:val="24"/>
                <w:highlight w:val="none"/>
                <w:lang w:val="en-US" w:eastAsia="zh-CN" w:bidi="ar-SA"/>
              </w:rPr>
              <w:t>所产生的废气执行相同的排放标准</w:t>
            </w:r>
            <w:r>
              <w:rPr>
                <w:rFonts w:hint="eastAsia" w:cs="Times New Roman"/>
                <w:color w:val="auto"/>
                <w:kern w:val="0"/>
                <w:sz w:val="24"/>
                <w:szCs w:val="24"/>
                <w:highlight w:val="none"/>
                <w:lang w:val="en-US" w:eastAsia="zh-CN" w:bidi="ar-SA"/>
              </w:rPr>
              <w:t>且</w:t>
            </w:r>
            <w:r>
              <w:rPr>
                <w:rFonts w:hint="eastAsia" w:ascii="Times New Roman" w:hAnsi="Times New Roman" w:eastAsia="宋体" w:cs="Times New Roman"/>
                <w:color w:val="auto"/>
                <w:kern w:val="0"/>
                <w:sz w:val="24"/>
                <w:szCs w:val="24"/>
                <w:highlight w:val="none"/>
                <w:lang w:val="en-US" w:eastAsia="zh-CN" w:bidi="ar-SA"/>
              </w:rPr>
              <w:t>污染源位置相近，具备合并排放的先决条件。将两根排气筒合并具有充分的合理性：技术上，合并后可建设更高规格的排气筒，利用更强的烟囱效应提升污染物扩散效率</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确保稳定满足环保标准</w:t>
            </w:r>
            <w:r>
              <w:rPr>
                <w:rFonts w:hint="eastAsia" w:cs="Times New Roman"/>
                <w:color w:val="auto"/>
                <w:kern w:val="0"/>
                <w:sz w:val="24"/>
                <w:szCs w:val="24"/>
                <w:highlight w:val="none"/>
                <w:lang w:val="en-US" w:eastAsia="zh-CN" w:bidi="ar-SA"/>
              </w:rPr>
              <w:t>；在</w:t>
            </w:r>
            <w:r>
              <w:rPr>
                <w:rFonts w:hint="eastAsia" w:ascii="Times New Roman" w:hAnsi="Times New Roman" w:eastAsia="宋体" w:cs="Times New Roman"/>
                <w:color w:val="auto"/>
                <w:kern w:val="0"/>
                <w:sz w:val="24"/>
                <w:szCs w:val="24"/>
                <w:highlight w:val="none"/>
                <w:lang w:val="en-US" w:eastAsia="zh-CN" w:bidi="ar-SA"/>
              </w:rPr>
              <w:t>经济与管理上，可实现净化设施的集中配置与统一运维，显著降低投资与长期运营成本，并简化监测与监管流程。</w:t>
            </w:r>
            <w:r>
              <w:rPr>
                <w:rFonts w:hint="eastAsia" w:cs="Times New Roman"/>
                <w:color w:val="auto"/>
                <w:kern w:val="0"/>
                <w:sz w:val="24"/>
                <w:szCs w:val="24"/>
                <w:highlight w:val="none"/>
                <w:lang w:val="en-US" w:eastAsia="zh-CN" w:bidi="ar-SA"/>
              </w:rPr>
              <w:t>熔融产生的颗粒物量较小</w:t>
            </w:r>
            <w:r>
              <w:rPr>
                <w:rFonts w:hint="eastAsia" w:ascii="Times New Roman" w:hAnsi="Times New Roman" w:eastAsia="宋体" w:cs="Times New Roman"/>
                <w:color w:val="auto"/>
                <w:kern w:val="0"/>
                <w:sz w:val="24"/>
                <w:szCs w:val="24"/>
                <w:highlight w:val="none"/>
                <w:lang w:val="en-US" w:eastAsia="zh-CN" w:bidi="ar-SA"/>
              </w:rPr>
              <w:t>，通过合理的系统设计，其运行特性不会对合并后处理系统的稳定性与处理效率构成影响。因此，</w:t>
            </w:r>
            <w:r>
              <w:rPr>
                <w:rFonts w:hint="eastAsia" w:cs="Times New Roman"/>
                <w:color w:val="auto"/>
                <w:kern w:val="0"/>
                <w:sz w:val="24"/>
                <w:szCs w:val="24"/>
                <w:highlight w:val="none"/>
                <w:lang w:val="en-US" w:eastAsia="zh-CN" w:bidi="ar-SA"/>
              </w:rPr>
              <w:t>熔融</w:t>
            </w:r>
            <w:r>
              <w:rPr>
                <w:rFonts w:hint="eastAsia" w:ascii="Times New Roman" w:hAnsi="Times New Roman" w:eastAsia="宋体" w:cs="Times New Roman"/>
                <w:color w:val="auto"/>
                <w:kern w:val="0"/>
                <w:sz w:val="24"/>
                <w:szCs w:val="24"/>
                <w:highlight w:val="none"/>
                <w:lang w:val="en-US" w:eastAsia="zh-CN" w:bidi="ar-SA"/>
              </w:rPr>
              <w:t>废气与</w:t>
            </w:r>
            <w:r>
              <w:rPr>
                <w:rFonts w:hint="eastAsia" w:cs="Times New Roman"/>
                <w:color w:val="auto"/>
                <w:kern w:val="0"/>
                <w:sz w:val="24"/>
                <w:szCs w:val="24"/>
                <w:highlight w:val="none"/>
                <w:lang w:val="en-US" w:eastAsia="zh-CN" w:bidi="ar-SA"/>
              </w:rPr>
              <w:t>压铸脱模</w:t>
            </w:r>
            <w:r>
              <w:rPr>
                <w:rFonts w:hint="eastAsia" w:ascii="Times New Roman" w:hAnsi="Times New Roman" w:eastAsia="宋体" w:cs="Times New Roman"/>
                <w:color w:val="auto"/>
                <w:kern w:val="0"/>
                <w:sz w:val="24"/>
                <w:szCs w:val="24"/>
                <w:highlight w:val="none"/>
                <w:lang w:val="en-US" w:eastAsia="zh-CN" w:bidi="ar-SA"/>
              </w:rPr>
              <w:t>废气合并一根排气筒排放方案可行。项目车间废气处理工艺流程图详见图4.</w:t>
            </w:r>
            <w:r>
              <w:rPr>
                <w:rFonts w:hint="eastAsia" w:ascii="Times New Roman" w:hAnsi="Times New Roman"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-1。</w:t>
            </w:r>
          </w:p>
          <w:p w14:paraId="41EFABD6">
            <w:pPr>
              <w:pStyle w:val="50"/>
              <w:ind w:left="0" w:leftChars="0" w:firstLine="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5447665" cy="2010410"/>
                  <wp:effectExtent l="0" t="0" r="635" b="8890"/>
                  <wp:docPr id="2" name="F360BE8B-6686-4F3D-AEAF-501FE73E4058-3" descr="C:/Users/AA/AppData/Local/Temp/瑞昌废气处理工艺流程图.png瑞昌废气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3" descr="C:/Users/AA/AppData/Local/Temp/瑞昌废气处理工艺流程图.png瑞昌废气处理工艺流程图"/>
                          <pic:cNvPicPr>
                            <a:picLocks noChangeAspect="1"/>
                          </pic:cNvPicPr>
                        </pic:nvPicPr>
                        <pic:blipFill>
                          <a:blip r:embed="rId24"/>
                          <a:stretch>
                            <a:fillRect/>
                          </a:stretch>
                        </pic:blipFill>
                        <pic:spPr>
                          <a:xfrm>
                            <a:off x="0" y="0"/>
                            <a:ext cx="5447665" cy="2010410"/>
                          </a:xfrm>
                          <a:prstGeom prst="rect">
                            <a:avLst/>
                          </a:prstGeom>
                        </pic:spPr>
                      </pic:pic>
                    </a:graphicData>
                  </a:graphic>
                </wp:inline>
              </w:drawing>
            </w:r>
          </w:p>
          <w:p w14:paraId="2D2F3A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4881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6552F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本项目采用颗粒</w:t>
            </w:r>
            <w:r>
              <w:rPr>
                <w:rFonts w:hint="default" w:ascii="Times New Roman" w:hAnsi="Times New Roman" w:eastAsia="宋体" w:cs="Times New Roman"/>
                <w:color w:val="auto"/>
                <w:sz w:val="24"/>
                <w:szCs w:val="24"/>
                <w:lang w:val="en-US" w:eastAsia="zh-CN"/>
              </w:rPr>
              <w:t>活性炭，是一种具有多孔结构和大的内部比表面积的材料。由于其大的比表面积、微孔结构、高的吸附能力和很高的表</w:t>
            </w:r>
            <w:r>
              <w:rPr>
                <w:rFonts w:hint="default" w:ascii="Times New Roman" w:hAnsi="Times New Roman" w:eastAsia="宋体" w:cs="Times New Roman"/>
                <w:color w:val="000000"/>
                <w:sz w:val="24"/>
                <w:szCs w:val="24"/>
                <w:lang w:val="en-US" w:eastAsia="zh-CN"/>
              </w:rPr>
              <w:t>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52463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5B33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1排气筒配套的活性炭吸附装置对应的风量为</w:t>
            </w:r>
            <w:r>
              <w:rPr>
                <w:rFonts w:hint="eastAsia" w:cs="Times New Roman"/>
                <w:color w:val="auto"/>
                <w:sz w:val="24"/>
                <w:szCs w:val="24"/>
                <w:highlight w:val="none"/>
                <w:lang w:val="en-US" w:eastAsia="zh-CN"/>
              </w:rPr>
              <w:t>25000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eastAsia" w:cs="Times New Roman"/>
                <w:color w:val="auto"/>
                <w:sz w:val="24"/>
                <w:szCs w:val="24"/>
                <w:highlight w:val="none"/>
                <w:lang w:val="en-US" w:eastAsia="zh-CN"/>
              </w:rPr>
              <w:t>/长度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/0.75=</w:t>
            </w:r>
            <w:r>
              <w:rPr>
                <w:rFonts w:hint="eastAsia" w:cs="Times New Roman"/>
                <w:color w:val="auto"/>
                <w:sz w:val="24"/>
                <w:szCs w:val="24"/>
                <w:highlight w:val="none"/>
                <w:lang w:val="en-US" w:eastAsia="zh-CN"/>
              </w:rPr>
              <w:t>1.1574</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满足《吸附法工业有机废气治理工程技术规范（</w:t>
            </w:r>
            <w:r>
              <w:rPr>
                <w:rFonts w:hint="default" w:ascii="Times New Roman" w:hAnsi="Times New Roman" w:eastAsia="宋体" w:cs="Times New Roman"/>
                <w:color w:val="auto"/>
                <w:sz w:val="24"/>
                <w:szCs w:val="24"/>
                <w:highlight w:val="none"/>
                <w:lang w:val="en-US" w:eastAsia="zh-CN"/>
              </w:rPr>
              <w:t>HJ2026-2013</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采用蜂窝状吸附剂时，气体流速宜低于1.2m/s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1.1574=2.16</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08299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741536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198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180</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，满足该规范要求。</w:t>
            </w:r>
          </w:p>
          <w:p w14:paraId="04E9F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 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4F97D8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5337175" cy="2940050"/>
                  <wp:effectExtent l="0" t="0" r="1587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5337175" cy="2940050"/>
                          </a:xfrm>
                          <a:prstGeom prst="rect">
                            <a:avLst/>
                          </a:prstGeom>
                          <a:noFill/>
                          <a:ln>
                            <a:noFill/>
                          </a:ln>
                        </pic:spPr>
                      </pic:pic>
                    </a:graphicData>
                  </a:graphic>
                </wp:inline>
              </w:drawing>
            </w:r>
          </w:p>
          <w:p w14:paraId="6C1A6D43">
            <w:pPr>
              <w:pStyle w:val="51"/>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更换周期参数表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202"/>
              <w:gridCol w:w="1202"/>
              <w:gridCol w:w="1202"/>
              <w:gridCol w:w="1202"/>
              <w:gridCol w:w="1202"/>
              <w:gridCol w:w="1202"/>
            </w:tblGrid>
            <w:tr w14:paraId="2A1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01" w:type="dxa"/>
                  <w:noWrap w:val="0"/>
                  <w:vAlign w:val="center"/>
                </w:tcPr>
                <w:p w14:paraId="0B2C38B6">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1202" w:type="dxa"/>
                  <w:noWrap w:val="0"/>
                  <w:vAlign w:val="center"/>
                </w:tcPr>
                <w:p w14:paraId="1F3F7B8B">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1202" w:type="dxa"/>
                  <w:noWrap w:val="0"/>
                  <w:vAlign w:val="center"/>
                </w:tcPr>
                <w:p w14:paraId="363A8EF9">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1202" w:type="dxa"/>
                  <w:noWrap w:val="0"/>
                  <w:vAlign w:val="center"/>
                </w:tcPr>
                <w:p w14:paraId="5923A629">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1202" w:type="dxa"/>
                  <w:noWrap w:val="0"/>
                  <w:vAlign w:val="center"/>
                </w:tcPr>
                <w:p w14:paraId="3964E26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1202" w:type="dxa"/>
                  <w:noWrap w:val="0"/>
                  <w:vAlign w:val="center"/>
                </w:tcPr>
                <w:p w14:paraId="7577035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1202" w:type="dxa"/>
                  <w:noWrap w:val="0"/>
                  <w:vAlign w:val="center"/>
                </w:tcPr>
                <w:p w14:paraId="20BDF03A">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62D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01" w:type="dxa"/>
                  <w:noWrap w:val="0"/>
                  <w:vAlign w:val="center"/>
                </w:tcPr>
                <w:p w14:paraId="062C1705">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1202" w:type="dxa"/>
                  <w:noWrap w:val="0"/>
                  <w:vAlign w:val="center"/>
                </w:tcPr>
                <w:p w14:paraId="3C4F7B25">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1202" w:type="dxa"/>
                  <w:noWrap w:val="0"/>
                  <w:vAlign w:val="center"/>
                </w:tcPr>
                <w:p w14:paraId="7AEA8ADC">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1202" w:type="dxa"/>
                  <w:noWrap w:val="0"/>
                  <w:vAlign w:val="center"/>
                </w:tcPr>
                <w:p w14:paraId="0EF1D91C">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1202" w:type="dxa"/>
                  <w:noWrap w:val="0"/>
                  <w:vAlign w:val="center"/>
                </w:tcPr>
                <w:p w14:paraId="498E41FF">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1202" w:type="dxa"/>
                  <w:noWrap w:val="0"/>
                  <w:vAlign w:val="center"/>
                </w:tcPr>
                <w:p w14:paraId="7E61975B">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1202" w:type="dxa"/>
                  <w:noWrap w:val="0"/>
                  <w:vAlign w:val="center"/>
                </w:tcPr>
                <w:p w14:paraId="7926F5D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116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01" w:type="dxa"/>
                  <w:noWrap w:val="0"/>
                  <w:vAlign w:val="center"/>
                </w:tcPr>
                <w:p w14:paraId="0AD4EC05">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1202" w:type="dxa"/>
                  <w:noWrap w:val="0"/>
                  <w:vAlign w:val="center"/>
                </w:tcPr>
                <w:p w14:paraId="20BB5EAD">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400</w:t>
                  </w:r>
                </w:p>
              </w:tc>
              <w:tc>
                <w:tcPr>
                  <w:tcW w:w="1202" w:type="dxa"/>
                  <w:noWrap w:val="0"/>
                  <w:vAlign w:val="center"/>
                </w:tcPr>
                <w:p w14:paraId="01CA2960">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1202" w:type="dxa"/>
                  <w:noWrap w:val="0"/>
                  <w:vAlign w:val="center"/>
                </w:tcPr>
                <w:p w14:paraId="2736CC2E">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1.0125</w:t>
                  </w:r>
                </w:p>
              </w:tc>
              <w:tc>
                <w:tcPr>
                  <w:tcW w:w="1202" w:type="dxa"/>
                  <w:noWrap w:val="0"/>
                  <w:vAlign w:val="center"/>
                </w:tcPr>
                <w:p w14:paraId="249EDA23">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25000</w:t>
                  </w:r>
                </w:p>
              </w:tc>
              <w:tc>
                <w:tcPr>
                  <w:tcW w:w="1202" w:type="dxa"/>
                  <w:noWrap w:val="0"/>
                  <w:vAlign w:val="center"/>
                </w:tcPr>
                <w:p w14:paraId="6D3C0718">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p>
              </w:tc>
              <w:tc>
                <w:tcPr>
                  <w:tcW w:w="1202" w:type="dxa"/>
                  <w:noWrap w:val="0"/>
                  <w:vAlign w:val="center"/>
                </w:tcPr>
                <w:p w14:paraId="189B9D38">
                  <w:pPr>
                    <w:pStyle w:val="51"/>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198</w:t>
                  </w:r>
                </w:p>
              </w:tc>
            </w:tr>
          </w:tbl>
          <w:p w14:paraId="061095AB">
            <w:pPr>
              <w:pStyle w:val="51"/>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346B2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2DA63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生态环境部发布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关于印发〈主要污染物总量减排核算技术指南（2022年修订）〉的通知》〔2022〕350号中规定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一次性活性炭的吸附效率50%。采用二级活性炭吸附效率为1-（1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Arial" w:hAnsi="Arial" w:eastAsia="宋体" w:cs="Arial"/>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为保证废气与活性炭的接触时间和吸附效果，要求控制吸附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置吸附层的风速，一般取0.10m/s～0.15m/s之间；吸附剂和气体的接触时间宜按不低于3s计；同时确保项目活性炭吸附装置一次性装置量，定期更换活性纤维，采取以上治理措</w:t>
            </w:r>
            <w:r>
              <w:rPr>
                <w:rFonts w:hint="eastAsia" w:cs="Times New Roman"/>
                <w:color w:val="000000" w:themeColor="text1"/>
                <w:sz w:val="24"/>
                <w:szCs w:val="24"/>
                <w:lang w:val="en-US" w:eastAsia="zh-CN"/>
                <w14:textFill>
                  <w14:solidFill>
                    <w14:schemeClr w14:val="tx1"/>
                  </w14:solidFill>
                </w14:textFill>
              </w:rPr>
              <w:t>施和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综合治理措施后，本评价废气设施去除效率按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%计，根据预测，有机废气污染物非甲烷总烃可以达标排放，因此，项目有机废气经处理后对环境影响较小，采取的措施可行。</w:t>
            </w:r>
          </w:p>
          <w:p w14:paraId="0C9ECFA7">
            <w:pPr>
              <w:pStyle w:val="50"/>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（3）集气罩收集效率可行性分析</w:t>
            </w:r>
          </w:p>
          <w:p w14:paraId="44C82ECB">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根据《废气处理工程设计手册》（王纯、张殷印主编）中的经验公式：</w:t>
            </w:r>
          </w:p>
          <w:p w14:paraId="582B0C2B">
            <w:pPr>
              <w:pStyle w:val="50"/>
              <w:ind w:firstLine="48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Q=3600Fvβ</w:t>
            </w:r>
          </w:p>
          <w:p w14:paraId="1B45ED3F">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其中：Q为集气罩的计算风量m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p>
          <w:p w14:paraId="2C11550A">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V罩口平均速度，m/s。可取0.5~1.5。本项目取0.5。</w:t>
            </w:r>
          </w:p>
          <w:p w14:paraId="63300EDD">
            <w:pPr>
              <w:pStyle w:val="50"/>
              <w:ind w:firstLine="480"/>
              <w:jc w:val="both"/>
              <w:rPr>
                <w:rFonts w:hint="default" w:ascii="Times New Roman" w:hAnsi="Times New Roman" w:eastAsia="宋体" w:cs="Times New Roman"/>
                <w:color w:val="000000" w:themeColor="text1"/>
                <w:sz w:val="84"/>
                <w:szCs w:val="8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F罩口面积m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电阻炉、压铸机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上方集气罩尺寸</w:t>
            </w:r>
            <w:r>
              <w:rPr>
                <w:rFonts w:hint="eastAsia" w:cs="Times New Roman"/>
                <w:color w:val="000000" w:themeColor="text1"/>
                <w:sz w:val="24"/>
                <w:szCs w:val="24"/>
                <w:lang w:val="en-US" w:eastAsia="zh-CN"/>
                <w14:textFill>
                  <w14:solidFill>
                    <w14:schemeClr w14:val="tx1"/>
                  </w14:solidFill>
                </w14:textFill>
              </w:rPr>
              <w:t>为1.0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m，共计设置</w:t>
            </w:r>
            <w:r>
              <w:rPr>
                <w:rFonts w:hint="eastAsia"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个，则集气罩共计面积为</w:t>
            </w:r>
            <w:r>
              <w:rPr>
                <w:rFonts w:hint="eastAsia"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498DADE">
            <w:pPr>
              <w:pStyle w:val="5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β—安全系数，一般取1.05~1.1，本环评取1.1：</w:t>
            </w:r>
          </w:p>
          <w:p w14:paraId="028D05E5">
            <w:pPr>
              <w:pStyle w:val="50"/>
              <w:ind w:firstLine="480"/>
              <w:jc w:val="both"/>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计算可得，风机总风量为</w:t>
            </w:r>
            <w:r>
              <w:rPr>
                <w:rFonts w:hint="eastAsia" w:cs="Times New Roman"/>
                <w:color w:val="000000" w:themeColor="text1"/>
                <w:sz w:val="24"/>
                <w:szCs w:val="24"/>
                <w:lang w:val="en-US" w:eastAsia="zh-CN"/>
                <w14:textFill>
                  <w14:solidFill>
                    <w14:schemeClr w14:val="tx1"/>
                  </w14:solidFill>
                </w14:textFill>
              </w:rPr>
              <w:t>23760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/h，考虑管阻等因素，引风机风量按不低于120%的集气罩风量进行设计，项目引风机风量按</w:t>
            </w:r>
            <w:r>
              <w:rPr>
                <w:rFonts w:hint="eastAsia" w:cs="Times New Roman"/>
                <w:color w:val="000000" w:themeColor="text1"/>
                <w:sz w:val="24"/>
                <w:szCs w:val="24"/>
                <w:lang w:val="en-US" w:eastAsia="zh-CN"/>
                <w14:textFill>
                  <w14:solidFill>
                    <w14:schemeClr w14:val="tx1"/>
                  </w14:solidFill>
                </w14:textFill>
              </w:rPr>
              <w:t>25000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/h进行设计。</w:t>
            </w:r>
          </w:p>
          <w:p w14:paraId="5636F706">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（3）污染物达标分析</w:t>
            </w:r>
          </w:p>
          <w:p w14:paraId="39C450D1">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0.3375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0.0084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kg/h；颗粒物有组织排放浓度为</w:t>
            </w:r>
            <w:r>
              <w:rPr>
                <w:rFonts w:hint="eastAsia" w:ascii="Times New Roman" w:hAnsi="Times New Roman" w:cs="Times New Roman"/>
                <w:color w:val="000000" w:themeColor="text1"/>
                <w:highlight w:val="none"/>
                <w:lang w:val="en-US" w:eastAsia="zh-CN"/>
                <w14:textFill>
                  <w14:solidFill>
                    <w14:schemeClr w14:val="tx1"/>
                  </w14:solidFill>
                </w14:textFill>
              </w:rPr>
              <w:t>1.6666</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，排放速率为</w:t>
            </w:r>
            <w:r>
              <w:rPr>
                <w:rFonts w:hint="eastAsia" w:ascii="Times New Roman" w:hAnsi="Times New Roman" w:cs="Times New Roman"/>
                <w:color w:val="000000" w:themeColor="text1"/>
                <w:highlight w:val="none"/>
                <w:lang w:val="en-US" w:eastAsia="zh-CN"/>
                <w14:textFill>
                  <w14:solidFill>
                    <w14:schemeClr w14:val="tx1"/>
                  </w14:solidFill>
                </w14:textFill>
              </w:rPr>
              <w:t>0.0695kg</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/h。可达到《铸造工业大气污染物排放标准》（GB39726-2020）中表1</w:t>
            </w:r>
            <w:r>
              <w:rPr>
                <w:rFonts w:hint="eastAsia" w:ascii="Times New Roman" w:hAnsi="Times New Roman" w:cs="Times New Roman"/>
                <w:color w:val="000000" w:themeColor="text1"/>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标准限值</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《工业企业挥发性有机物排放标准》（DB35/1782-2018）表1中其他行业非甲烷总烃排放标准（即颗粒物有组织排放≤30mg/m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；非甲烷总烃有组织排放≤100mg/m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项目废气经处理后对环境影响较小，</w:t>
            </w:r>
            <w:r>
              <w:rPr>
                <w:rFonts w:hint="default" w:ascii="Times New Roman" w:hAnsi="Times New Roman" w:eastAsia="宋体" w:cs="Times New Roman"/>
                <w:color w:val="000000" w:themeColor="text1"/>
                <w:highlight w:val="none"/>
                <w:lang w:val="en-US" w:eastAsia="zh-CN"/>
                <w14:textFill>
                  <w14:solidFill>
                    <w14:schemeClr w14:val="tx1"/>
                  </w14:solidFill>
                </w14:textFill>
              </w:rPr>
              <w:t>采取的措施可行。</w:t>
            </w:r>
          </w:p>
          <w:p w14:paraId="2A56014D">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000000" w:themeColor="text1"/>
                <w:kern w:val="0"/>
                <w:sz w:val="24"/>
                <w:lang w:val="en-US" w:eastAsia="zh-CN"/>
                <w14:textFill>
                  <w14:solidFill>
                    <w14:schemeClr w14:val="tx1"/>
                  </w14:solidFill>
                </w14:textFill>
              </w:rPr>
            </w:pPr>
            <w:bookmarkStart w:id="138" w:name="_Toc25956"/>
            <w:bookmarkStart w:id="139" w:name="_Toc30738"/>
            <w:r>
              <w:rPr>
                <w:rFonts w:hint="eastAsia"/>
                <w:b/>
                <w:color w:val="000000" w:themeColor="text1"/>
                <w:kern w:val="0"/>
                <w:sz w:val="24"/>
                <w:lang w:val="en-US" w:eastAsia="zh-CN"/>
                <w14:textFill>
                  <w14:solidFill>
                    <w14:schemeClr w14:val="tx1"/>
                  </w14:solidFill>
                </w14:textFill>
              </w:rPr>
              <w:t>4.1.4非正常工况排放量核算</w:t>
            </w:r>
            <w:bookmarkEnd w:id="138"/>
            <w:bookmarkEnd w:id="139"/>
          </w:p>
          <w:p w14:paraId="2BB07C4F">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（1）非正常排放情形及排放源强</w:t>
            </w:r>
          </w:p>
          <w:p w14:paraId="0DCCC08D">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44C6426D">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有机废气处理设施故障，导致有机废气非正常排放。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本评价按最不利情况考虑，即废气处理效率降低为0</w:t>
            </w:r>
            <w:r>
              <w:rPr>
                <w:rFonts w:hint="default" w:ascii="Times New Roman" w:hAnsi="Times New Roman" w:eastAsia="宋体" w:cs="Times New Roman"/>
                <w:color w:val="000000"/>
                <w:kern w:val="2"/>
                <w:sz w:val="24"/>
                <w:szCs w:val="24"/>
                <w:lang w:val="en-US" w:eastAsia="zh-CN" w:bidi="ar-SA"/>
              </w:rPr>
              <w:t>%的情况下污染物排放对周边环境的影响。由于有机废气事故排放效果不显著，短时间内难以发现，非正常工况持续时间按1h计，发生频率按1次/年。非正常工况下废气排放源强核算结果见下表4.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w:t>
            </w:r>
          </w:p>
          <w:p w14:paraId="6EE0C6BE">
            <w:pPr>
              <w:pStyle w:val="51"/>
              <w:keepNext w:val="0"/>
              <w:keepLines w:val="0"/>
              <w:pageBreakBefore w:val="0"/>
              <w:widowControl w:val="0"/>
              <w:kinsoku/>
              <w:wordWrap/>
              <w:overflowPunct/>
              <w:topLinePunct w:val="0"/>
              <w:autoSpaceDE/>
              <w:autoSpaceDN/>
              <w:bidi w:val="0"/>
              <w:adjustRightInd w:val="0"/>
              <w:snapToGrid w:val="0"/>
              <w:spacing w:before="163" w:beforeLines="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 污染源非正常排放量核算</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696"/>
              <w:gridCol w:w="934"/>
              <w:gridCol w:w="1447"/>
              <w:gridCol w:w="1245"/>
              <w:gridCol w:w="1230"/>
              <w:gridCol w:w="720"/>
              <w:gridCol w:w="705"/>
              <w:gridCol w:w="1142"/>
            </w:tblGrid>
            <w:tr w14:paraId="2761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2" w:hRule="atLeast"/>
                <w:jc w:val="center"/>
              </w:trPr>
              <w:tc>
                <w:tcPr>
                  <w:tcW w:w="273" w:type="pct"/>
                  <w:tcBorders>
                    <w:tl2br w:val="nil"/>
                    <w:tr2bl w:val="nil"/>
                  </w:tcBorders>
                  <w:noWrap w:val="0"/>
                  <w:vAlign w:val="center"/>
                </w:tcPr>
                <w:p w14:paraId="25936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序号</w:t>
                  </w:r>
                </w:p>
              </w:tc>
              <w:tc>
                <w:tcPr>
                  <w:tcW w:w="405" w:type="pct"/>
                  <w:tcBorders>
                    <w:tl2br w:val="nil"/>
                    <w:tr2bl w:val="nil"/>
                  </w:tcBorders>
                  <w:noWrap w:val="0"/>
                  <w:vAlign w:val="center"/>
                </w:tcPr>
                <w:p w14:paraId="4810F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排放源</w:t>
                  </w:r>
                </w:p>
              </w:tc>
              <w:tc>
                <w:tcPr>
                  <w:tcW w:w="543" w:type="pct"/>
                  <w:tcBorders>
                    <w:tl2br w:val="nil"/>
                    <w:tr2bl w:val="nil"/>
                  </w:tcBorders>
                  <w:noWrap w:val="0"/>
                  <w:vAlign w:val="center"/>
                </w:tcPr>
                <w:p w14:paraId="1B9C2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非正常排放原因</w:t>
                  </w:r>
                </w:p>
              </w:tc>
              <w:tc>
                <w:tcPr>
                  <w:tcW w:w="842" w:type="pct"/>
                  <w:tcBorders>
                    <w:tl2br w:val="nil"/>
                    <w:tr2bl w:val="nil"/>
                  </w:tcBorders>
                  <w:noWrap w:val="0"/>
                  <w:vAlign w:val="center"/>
                </w:tcPr>
                <w:p w14:paraId="283D6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污染源</w:t>
                  </w:r>
                </w:p>
              </w:tc>
              <w:tc>
                <w:tcPr>
                  <w:tcW w:w="724" w:type="pct"/>
                  <w:tcBorders>
                    <w:tl2br w:val="nil"/>
                    <w:tr2bl w:val="nil"/>
                  </w:tcBorders>
                  <w:noWrap w:val="0"/>
                  <w:vAlign w:val="center"/>
                </w:tcPr>
                <w:p w14:paraId="5033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非正常排放浓度mg/m</w:t>
                  </w:r>
                  <w:r>
                    <w:rPr>
                      <w:rFonts w:hint="eastAsia" w:ascii="Times New Roman" w:hAnsi="Times New Roman" w:eastAsia="宋体" w:cs="Times New Roman"/>
                      <w:color w:val="000000"/>
                      <w:kern w:val="0"/>
                      <w:sz w:val="21"/>
                      <w:szCs w:val="21"/>
                      <w:vertAlign w:val="superscript"/>
                      <w:lang w:val="en-US" w:eastAsia="zh-CN" w:bidi="ar-SA"/>
                    </w:rPr>
                    <w:t>3</w:t>
                  </w:r>
                </w:p>
              </w:tc>
              <w:tc>
                <w:tcPr>
                  <w:tcW w:w="716" w:type="pct"/>
                  <w:tcBorders>
                    <w:tl2br w:val="nil"/>
                    <w:tr2bl w:val="nil"/>
                  </w:tcBorders>
                  <w:noWrap w:val="0"/>
                  <w:vAlign w:val="center"/>
                </w:tcPr>
                <w:p w14:paraId="0935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非正常排放速率kg/h</w:t>
                  </w:r>
                </w:p>
              </w:tc>
              <w:tc>
                <w:tcPr>
                  <w:tcW w:w="419" w:type="pct"/>
                  <w:tcBorders>
                    <w:tl2br w:val="nil"/>
                    <w:tr2bl w:val="nil"/>
                  </w:tcBorders>
                  <w:noWrap w:val="0"/>
                  <w:vAlign w:val="center"/>
                </w:tcPr>
                <w:p w14:paraId="00E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单次维持时间</w:t>
                  </w:r>
                </w:p>
              </w:tc>
              <w:tc>
                <w:tcPr>
                  <w:tcW w:w="410" w:type="pct"/>
                  <w:tcBorders>
                    <w:tl2br w:val="nil"/>
                    <w:tr2bl w:val="nil"/>
                  </w:tcBorders>
                  <w:noWrap w:val="0"/>
                  <w:vAlign w:val="center"/>
                </w:tcPr>
                <w:p w14:paraId="7D3D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年发生次数</w:t>
                  </w:r>
                </w:p>
              </w:tc>
              <w:tc>
                <w:tcPr>
                  <w:tcW w:w="664" w:type="pct"/>
                  <w:tcBorders>
                    <w:tl2br w:val="nil"/>
                    <w:tr2bl w:val="nil"/>
                  </w:tcBorders>
                  <w:noWrap w:val="0"/>
                  <w:vAlign w:val="center"/>
                </w:tcPr>
                <w:p w14:paraId="63630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应对措施</w:t>
                  </w:r>
                </w:p>
              </w:tc>
            </w:tr>
            <w:tr w14:paraId="71F2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273" w:type="pct"/>
                  <w:vMerge w:val="restart"/>
                  <w:tcBorders>
                    <w:tl2br w:val="nil"/>
                    <w:tr2bl w:val="nil"/>
                  </w:tcBorders>
                  <w:noWrap w:val="0"/>
                  <w:vAlign w:val="center"/>
                </w:tcPr>
                <w:p w14:paraId="1D408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w:t>
                  </w:r>
                </w:p>
              </w:tc>
              <w:tc>
                <w:tcPr>
                  <w:tcW w:w="405" w:type="pct"/>
                  <w:vMerge w:val="restart"/>
                  <w:tcBorders>
                    <w:tl2br w:val="nil"/>
                    <w:tr2bl w:val="nil"/>
                  </w:tcBorders>
                  <w:noWrap w:val="0"/>
                  <w:vAlign w:val="center"/>
                </w:tcPr>
                <w:p w14:paraId="049A7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DA001</w:t>
                  </w:r>
                </w:p>
              </w:tc>
              <w:tc>
                <w:tcPr>
                  <w:tcW w:w="543" w:type="pct"/>
                  <w:vMerge w:val="restart"/>
                  <w:tcBorders>
                    <w:tl2br w:val="nil"/>
                    <w:tr2bl w:val="nil"/>
                  </w:tcBorders>
                  <w:noWrap w:val="0"/>
                  <w:vAlign w:val="center"/>
                </w:tcPr>
                <w:p w14:paraId="54EF24D0">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处理设施故障</w:t>
                  </w:r>
                </w:p>
              </w:tc>
              <w:tc>
                <w:tcPr>
                  <w:tcW w:w="842" w:type="pct"/>
                  <w:tcBorders>
                    <w:tl2br w:val="nil"/>
                    <w:tr2bl w:val="nil"/>
                  </w:tcBorders>
                  <w:noWrap w:val="0"/>
                  <w:vAlign w:val="center"/>
                </w:tcPr>
                <w:p w14:paraId="7E3F955F">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挥发性有机物</w:t>
                  </w:r>
                </w:p>
              </w:tc>
              <w:tc>
                <w:tcPr>
                  <w:tcW w:w="724" w:type="pct"/>
                  <w:tcBorders>
                    <w:tl2br w:val="nil"/>
                    <w:tr2bl w:val="nil"/>
                  </w:tcBorders>
                  <w:noWrap w:val="0"/>
                  <w:vAlign w:val="center"/>
                </w:tcPr>
                <w:p w14:paraId="6C89B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1.3500</w:t>
                  </w:r>
                </w:p>
              </w:tc>
              <w:tc>
                <w:tcPr>
                  <w:tcW w:w="716" w:type="pct"/>
                  <w:tcBorders>
                    <w:tl2br w:val="nil"/>
                    <w:tr2bl w:val="nil"/>
                  </w:tcBorders>
                  <w:noWrap w:val="0"/>
                  <w:vAlign w:val="center"/>
                </w:tcPr>
                <w:p w14:paraId="56FBF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0.0338</w:t>
                  </w:r>
                </w:p>
              </w:tc>
              <w:tc>
                <w:tcPr>
                  <w:tcW w:w="419" w:type="pct"/>
                  <w:vMerge w:val="restart"/>
                  <w:tcBorders>
                    <w:tl2br w:val="nil"/>
                    <w:tr2bl w:val="nil"/>
                  </w:tcBorders>
                  <w:noWrap w:val="0"/>
                  <w:vAlign w:val="center"/>
                </w:tcPr>
                <w:p w14:paraId="433CD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1h</w:t>
                  </w:r>
                </w:p>
              </w:tc>
              <w:tc>
                <w:tcPr>
                  <w:tcW w:w="410" w:type="pct"/>
                  <w:vMerge w:val="restart"/>
                  <w:tcBorders>
                    <w:tl2br w:val="nil"/>
                    <w:tr2bl w:val="nil"/>
                  </w:tcBorders>
                  <w:noWrap w:val="0"/>
                  <w:vAlign w:val="center"/>
                </w:tcPr>
                <w:p w14:paraId="5EFBD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1次</w:t>
                  </w:r>
                </w:p>
              </w:tc>
              <w:tc>
                <w:tcPr>
                  <w:tcW w:w="664" w:type="pct"/>
                  <w:vMerge w:val="restart"/>
                  <w:tcBorders>
                    <w:tl2br w:val="nil"/>
                    <w:tr2bl w:val="nil"/>
                  </w:tcBorders>
                  <w:noWrap w:val="0"/>
                  <w:vAlign w:val="center"/>
                </w:tcPr>
                <w:p w14:paraId="16FB2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立即停产，修复后生产</w:t>
                  </w:r>
                </w:p>
              </w:tc>
            </w:tr>
            <w:tr w14:paraId="5577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273" w:type="pct"/>
                  <w:vMerge w:val="continue"/>
                  <w:tcBorders>
                    <w:tl2br w:val="nil"/>
                    <w:tr2bl w:val="nil"/>
                  </w:tcBorders>
                  <w:noWrap w:val="0"/>
                  <w:vAlign w:val="center"/>
                </w:tcPr>
                <w:p w14:paraId="6E64B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405" w:type="pct"/>
                  <w:vMerge w:val="continue"/>
                  <w:tcBorders>
                    <w:tl2br w:val="nil"/>
                    <w:tr2bl w:val="nil"/>
                  </w:tcBorders>
                  <w:noWrap w:val="0"/>
                  <w:vAlign w:val="center"/>
                </w:tcPr>
                <w:p w14:paraId="4CA32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543" w:type="pct"/>
                  <w:vMerge w:val="continue"/>
                  <w:tcBorders>
                    <w:tl2br w:val="nil"/>
                    <w:tr2bl w:val="nil"/>
                  </w:tcBorders>
                  <w:noWrap w:val="0"/>
                  <w:vAlign w:val="center"/>
                </w:tcPr>
                <w:p w14:paraId="3E91772A">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000000"/>
                      <w:sz w:val="21"/>
                      <w:szCs w:val="21"/>
                      <w:lang w:val="en-US" w:eastAsia="zh-CN"/>
                    </w:rPr>
                  </w:pPr>
                </w:p>
              </w:tc>
              <w:tc>
                <w:tcPr>
                  <w:tcW w:w="842" w:type="pct"/>
                  <w:tcBorders>
                    <w:tl2br w:val="nil"/>
                    <w:tr2bl w:val="nil"/>
                  </w:tcBorders>
                  <w:noWrap w:val="0"/>
                  <w:vAlign w:val="center"/>
                </w:tcPr>
                <w:p w14:paraId="1AD40362">
                  <w:pPr>
                    <w:pStyle w:val="52"/>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000000"/>
                      <w:kern w:val="0"/>
                      <w:sz w:val="21"/>
                      <w:szCs w:val="21"/>
                      <w:lang w:val="en-US" w:eastAsia="zh-CN" w:bidi="ar-SA"/>
                    </w:rPr>
                  </w:pPr>
                  <w:r>
                    <w:rPr>
                      <w:rFonts w:hint="eastAsia" w:cs="Times New Roman"/>
                      <w:color w:val="000000"/>
                      <w:kern w:val="0"/>
                      <w:sz w:val="21"/>
                      <w:szCs w:val="21"/>
                      <w:lang w:val="en-US" w:eastAsia="zh-CN" w:bidi="ar-SA"/>
                    </w:rPr>
                    <w:t>颗粒物</w:t>
                  </w:r>
                </w:p>
              </w:tc>
              <w:tc>
                <w:tcPr>
                  <w:tcW w:w="724" w:type="pct"/>
                  <w:tcBorders>
                    <w:tl2br w:val="nil"/>
                    <w:tr2bl w:val="nil"/>
                  </w:tcBorders>
                  <w:noWrap w:val="0"/>
                  <w:vAlign w:val="center"/>
                </w:tcPr>
                <w:p w14:paraId="443AF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22.3875</w:t>
                  </w:r>
                </w:p>
              </w:tc>
              <w:tc>
                <w:tcPr>
                  <w:tcW w:w="716" w:type="pct"/>
                  <w:tcBorders>
                    <w:tl2br w:val="nil"/>
                    <w:tr2bl w:val="nil"/>
                  </w:tcBorders>
                  <w:noWrap w:val="0"/>
                  <w:vAlign w:val="center"/>
                </w:tcPr>
                <w:p w14:paraId="4E866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lang w:val="en-US" w:eastAsia="zh-CN"/>
                    </w:rPr>
                  </w:pPr>
                  <w:r>
                    <w:rPr>
                      <w:rFonts w:hint="eastAsia" w:cs="Times New Roman"/>
                      <w:color w:val="000000"/>
                      <w:lang w:val="en-US" w:eastAsia="zh-CN"/>
                    </w:rPr>
                    <w:t>0.5597</w:t>
                  </w:r>
                </w:p>
              </w:tc>
              <w:tc>
                <w:tcPr>
                  <w:tcW w:w="419" w:type="pct"/>
                  <w:vMerge w:val="continue"/>
                  <w:tcBorders>
                    <w:tl2br w:val="nil"/>
                    <w:tr2bl w:val="nil"/>
                  </w:tcBorders>
                  <w:noWrap w:val="0"/>
                  <w:vAlign w:val="center"/>
                </w:tcPr>
                <w:p w14:paraId="6C1DA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410" w:type="pct"/>
                  <w:vMerge w:val="continue"/>
                  <w:tcBorders>
                    <w:tl2br w:val="nil"/>
                    <w:tr2bl w:val="nil"/>
                  </w:tcBorders>
                  <w:noWrap w:val="0"/>
                  <w:vAlign w:val="center"/>
                </w:tcPr>
                <w:p w14:paraId="5F14C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c>
                <w:tcPr>
                  <w:tcW w:w="664" w:type="pct"/>
                  <w:vMerge w:val="continue"/>
                  <w:tcBorders>
                    <w:tl2br w:val="nil"/>
                    <w:tr2bl w:val="nil"/>
                  </w:tcBorders>
                  <w:noWrap w:val="0"/>
                  <w:vAlign w:val="center"/>
                </w:tcPr>
                <w:p w14:paraId="59440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p>
              </w:tc>
            </w:tr>
          </w:tbl>
          <w:p w14:paraId="0494A0D7">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0197C6D5">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04AFC87B">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34E5F8D8">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7C3E7621">
            <w:pPr>
              <w:pStyle w:val="4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6DE9D063">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40" w:name="_Toc2614"/>
            <w:bookmarkStart w:id="141" w:name="_Toc25547"/>
            <w:r>
              <w:rPr>
                <w:rFonts w:hint="eastAsia" w:ascii="Times New Roman" w:hAnsi="Times New Roman" w:eastAsia="宋体" w:cs="Times New Roman"/>
                <w:color w:val="auto"/>
                <w:sz w:val="28"/>
                <w:szCs w:val="28"/>
                <w:u w:val="none"/>
                <w:lang w:val="en-US" w:eastAsia="zh-CN"/>
              </w:rPr>
              <w:t>4.2水环境影响分析和污染防治措施</w:t>
            </w:r>
            <w:bookmarkEnd w:id="140"/>
            <w:bookmarkEnd w:id="141"/>
          </w:p>
          <w:p w14:paraId="6AE1F93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42" w:name="_Toc22065"/>
            <w:bookmarkStart w:id="143" w:name="_Toc9940"/>
            <w:r>
              <w:rPr>
                <w:rFonts w:hint="eastAsia"/>
                <w:b/>
                <w:color w:val="262626"/>
                <w:kern w:val="0"/>
                <w:sz w:val="24"/>
                <w:lang w:val="en-US" w:eastAsia="zh-CN"/>
              </w:rPr>
              <w:t>4.2.1运营期废水源强分析</w:t>
            </w:r>
            <w:bookmarkEnd w:id="142"/>
            <w:bookmarkEnd w:id="143"/>
          </w:p>
          <w:p w14:paraId="51E4C422">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因此不产生生产废水排放。生活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水经化粪池处理后排入市政污水管网，送往福清市融元污水处理厂进行处理。</w:t>
            </w:r>
          </w:p>
          <w:p w14:paraId="2B90B117">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（1）压铸成型间接冷却水</w:t>
            </w:r>
          </w:p>
          <w:p w14:paraId="746F0903">
            <w:pPr>
              <w:widowControl/>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根据水平衡分析可知，项目拟设置1台冷却水塔，在循环过程中因受热等因素损失的水量，约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6.88t</w:t>
            </w:r>
            <w:r>
              <w:rPr>
                <w:rFonts w:hint="default" w:ascii="Times New Roman" w:hAnsi="Times New Roman" w:eastAsia="宋体" w:cs="Times New Roman"/>
                <w:color w:val="000000" w:themeColor="text1"/>
                <w:sz w:val="24"/>
                <w:szCs w:val="24"/>
                <w:highlight w:val="none"/>
                <w14:textFill>
                  <w14:solidFill>
                    <w14:schemeClr w14:val="tx1"/>
                  </w14:solidFill>
                </w14:textFill>
              </w:rPr>
              <w:t>/d，则年补充新鲜水量约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2064</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14:paraId="54261972">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（2）产品水洗用水</w:t>
            </w:r>
          </w:p>
          <w:p w14:paraId="248D1BC1">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本项目生产的部分产品在进行</w:t>
            </w:r>
            <w:r>
              <w:rPr>
                <w:rFonts w:hint="eastAsia" w:cs="Times New Roman"/>
                <w:color w:val="000000" w:themeColor="text1"/>
                <w:sz w:val="24"/>
                <w:szCs w:val="24"/>
                <w:highlight w:val="none"/>
                <w:lang w:val="en-US" w:eastAsia="zh-CN"/>
                <w14:textFill>
                  <w14:solidFill>
                    <w14:schemeClr w14:val="tx1"/>
                  </w14:solidFill>
                </w14:textFill>
              </w:rPr>
              <w:t>钻孔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、攻牙等机加工后需要对产品进行清洗去除表面的铝渣或铝粉。根据业主提供资料，本项目仅对部分工件进行清洗。用水量约为0.2t/d</w:t>
            </w:r>
            <w:r>
              <w:rPr>
                <w:rFonts w:hint="eastAsia" w:cs="Times New Roman"/>
                <w:color w:val="000000" w:themeColor="text1"/>
                <w:sz w:val="24"/>
                <w:szCs w:val="24"/>
                <w:highlight w:val="none"/>
                <w:lang w:val="en-US" w:eastAsia="zh-CN"/>
                <w14:textFill>
                  <w14:solidFill>
                    <w14:schemeClr w14:val="tx1"/>
                  </w14:solidFill>
                </w14:textFill>
              </w:rPr>
              <w:t>（60t/a）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，清洗池的水经循环</w:t>
            </w:r>
            <w:r>
              <w:rPr>
                <w:rFonts w:hint="eastAsia" w:cs="Times New Roman"/>
                <w:color w:val="000000" w:themeColor="text1"/>
                <w:sz w:val="24"/>
                <w:szCs w:val="24"/>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处理设施处理后回用于产品水洗工序，仅处理时产生0.02t/d（6t/a）的用水损耗，定期补充新鲜用水。</w:t>
            </w:r>
          </w:p>
          <w:p w14:paraId="5C148D04">
            <w:pPr>
              <w:pStyle w:val="40"/>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（3）研磨工序冷却水，经循环</w:t>
            </w:r>
            <w:r>
              <w:rPr>
                <w:rFonts w:hint="eastAsia" w:cs="Times New Roman"/>
                <w:color w:val="000000" w:themeColor="text1"/>
                <w:sz w:val="24"/>
                <w:szCs w:val="24"/>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处理设施处理后循环使用不外排，需每天补充新鲜水量0.05t/d（15t/a）</w:t>
            </w:r>
          </w:p>
          <w:p w14:paraId="75E81C23">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生活污水</w:t>
            </w:r>
          </w:p>
          <w:p w14:paraId="014BBD81">
            <w:pPr>
              <w:pStyle w:val="53"/>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44" w:name="_Toc28146"/>
            <w:bookmarkStart w:id="145" w:name="_Toc22817"/>
            <w:bookmarkStart w:id="146" w:name="_Toc4624"/>
            <w:r>
              <w:rPr>
                <w:rFonts w:hint="default" w:ascii="Times New Roman" w:hAnsi="Times New Roman" w:eastAsia="宋体" w:cs="Times New Roman"/>
                <w:b w:val="0"/>
                <w:bCs w:val="0"/>
                <w:color w:val="auto"/>
                <w:sz w:val="24"/>
                <w:szCs w:val="24"/>
                <w:highlight w:val="none"/>
                <w:lang w:val="en-US" w:eastAsia="zh-CN"/>
              </w:rPr>
              <w:t>本项目劳动定员30人，均不住厂，根据《建筑给水排水设计标准》（GB50015-2019），车间工作人员的生活用水额定应根据车间性质确定，一般宜采用30～50L/人·班，本项目不住厂职工生活用水额定按50L/人·班计。项目年工作日按300天计，则本项目职工生活用水量约1.5t/d（450t/a），根据《排水源统计调查产排污计算方法和核算手册》中《生活源产排污系数手册》，人均日生活用水量≤150升/人·天时，折污系数取0.8，则项目生活污水产生量约1.2t/d（360t/a）。生活污水依托厂区现有的化粪池处理达标后排入市政污水管网，最终进入</w:t>
            </w:r>
            <w:bookmarkEnd w:id="144"/>
            <w:bookmarkEnd w:id="145"/>
            <w:bookmarkEnd w:id="146"/>
            <w:r>
              <w:rPr>
                <w:rFonts w:hint="default" w:ascii="Times New Roman" w:hAnsi="Times New Roman" w:eastAsia="宋体" w:cs="Times New Roman"/>
                <w:color w:val="auto"/>
                <w:sz w:val="24"/>
                <w:szCs w:val="24"/>
                <w:lang w:val="en-US" w:eastAsia="zh-CN"/>
              </w:rPr>
              <w:t>福清市融元污水处理厂集</w:t>
            </w:r>
            <w:r>
              <w:rPr>
                <w:rFonts w:hint="default" w:ascii="Times New Roman" w:hAnsi="Times New Roman" w:eastAsia="宋体" w:cs="Times New Roman"/>
                <w:b w:val="0"/>
                <w:bCs w:val="0"/>
                <w:color w:val="auto"/>
                <w:sz w:val="24"/>
                <w:szCs w:val="24"/>
                <w:highlight w:val="none"/>
                <w:lang w:val="en-US" w:eastAsia="zh-CN"/>
              </w:rPr>
              <w:t>中进行处理，污水处理厂尾水排入龙江，所处龙江“南门桥水闸至龙江入海口”断面。</w:t>
            </w:r>
          </w:p>
          <w:p w14:paraId="58887A91">
            <w:pPr>
              <w:pStyle w:val="53"/>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147" w:name="_Toc14324"/>
            <w:bookmarkStart w:id="148" w:name="_Toc22915"/>
            <w:bookmarkStart w:id="149" w:name="_Toc6977"/>
            <w:r>
              <w:rPr>
                <w:rFonts w:hint="default" w:ascii="Times New Roman" w:hAnsi="Times New Roman" w:eastAsia="宋体" w:cs="Times New Roman"/>
                <w:b w:val="0"/>
                <w:bCs w:val="0"/>
                <w:color w:val="auto"/>
                <w:sz w:val="24"/>
                <w:szCs w:val="24"/>
                <w:highlight w:val="none"/>
                <w:lang w:val="en-US" w:eastAsia="zh-CN"/>
              </w:rPr>
              <w:t>参考《给排水设计手册》第五册《城镇排水》表4-1典型生活污水水质示例的低浓度；因此，不住厂职工产生的生活污水中各主要污染物浓度按CODcr：250mg/L、BOD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110mg/L、NH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-N：24mg/L、SS：100mg/L。参考环评手册中《常用污水处理设备及去除率》，化粪池对生活污水中COD、BOD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、SS、NH3-N的处理效率分别为20%、15%、30%、0%，则生活污水中各污染物产排情况详见表4.2-1。</w:t>
            </w:r>
            <w:bookmarkEnd w:id="147"/>
            <w:bookmarkEnd w:id="148"/>
            <w:bookmarkEnd w:id="149"/>
          </w:p>
          <w:p w14:paraId="789F3B51">
            <w:pPr>
              <w:pStyle w:val="51"/>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 废水污染物产生及排放情况一览表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741"/>
              <w:gridCol w:w="970"/>
              <w:gridCol w:w="882"/>
              <w:gridCol w:w="995"/>
              <w:gridCol w:w="848"/>
            </w:tblGrid>
            <w:tr w14:paraId="30AA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4" w:hRule="atLeast"/>
              </w:trPr>
              <w:tc>
                <w:tcPr>
                  <w:tcW w:w="674" w:type="pct"/>
                  <w:tcBorders>
                    <w:tl2br w:val="nil"/>
                    <w:tr2bl w:val="nil"/>
                  </w:tcBorders>
                  <w:noWrap w:val="0"/>
                  <w:vAlign w:val="center"/>
                </w:tcPr>
                <w:p w14:paraId="3620B43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176" w:type="pct"/>
                  <w:tcBorders>
                    <w:tl2br w:val="nil"/>
                    <w:tr2bl w:val="nil"/>
                  </w:tcBorders>
                  <w:noWrap w:val="0"/>
                  <w:vAlign w:val="center"/>
                </w:tcPr>
                <w:p w14:paraId="0762AD0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4C44774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6B1C1951">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9" w:type="pct"/>
                  <w:tcBorders>
                    <w:tl2br w:val="nil"/>
                    <w:tr2bl w:val="nil"/>
                  </w:tcBorders>
                  <w:noWrap w:val="0"/>
                  <w:vAlign w:val="center"/>
                </w:tcPr>
                <w:p w14:paraId="7991F67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1" w:type="pct"/>
                  <w:tcBorders>
                    <w:tl2br w:val="nil"/>
                    <w:tr2bl w:val="nil"/>
                  </w:tcBorders>
                  <w:noWrap w:val="0"/>
                  <w:vAlign w:val="center"/>
                </w:tcPr>
                <w:p w14:paraId="6ED9C9E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4E8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4" w:type="pct"/>
                  <w:vMerge w:val="restart"/>
                  <w:tcBorders>
                    <w:tl2br w:val="nil"/>
                    <w:tr2bl w:val="nil"/>
                  </w:tcBorders>
                  <w:noWrap w:val="0"/>
                  <w:vAlign w:val="center"/>
                </w:tcPr>
                <w:p w14:paraId="35837F83">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450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7F0B4B3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4E797819">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386153D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9" w:type="pct"/>
                  <w:tcBorders>
                    <w:tl2br w:val="nil"/>
                    <w:tr2bl w:val="nil"/>
                  </w:tcBorders>
                  <w:noWrap w:val="0"/>
                  <w:vAlign w:val="center"/>
                </w:tcPr>
                <w:p w14:paraId="2666065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1" w:type="pct"/>
                  <w:tcBorders>
                    <w:tl2br w:val="nil"/>
                    <w:tr2bl w:val="nil"/>
                  </w:tcBorders>
                  <w:noWrap w:val="0"/>
                  <w:vAlign w:val="center"/>
                </w:tcPr>
                <w:p w14:paraId="23E4AA97">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613DA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74" w:type="pct"/>
                  <w:vMerge w:val="continue"/>
                  <w:tcBorders>
                    <w:tl2br w:val="nil"/>
                    <w:tr2bl w:val="nil"/>
                  </w:tcBorders>
                  <w:noWrap w:val="0"/>
                  <w:vAlign w:val="center"/>
                </w:tcPr>
                <w:p w14:paraId="7CAE4C30">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7E86DDB">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7F4EF93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1125</w:t>
                  </w:r>
                </w:p>
              </w:tc>
              <w:tc>
                <w:tcPr>
                  <w:tcW w:w="513" w:type="pct"/>
                  <w:tcBorders>
                    <w:tl2br w:val="nil"/>
                    <w:tr2bl w:val="nil"/>
                  </w:tcBorders>
                  <w:noWrap w:val="0"/>
                  <w:vAlign w:val="center"/>
                </w:tcPr>
                <w:p w14:paraId="34932281">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0495</w:t>
                  </w:r>
                </w:p>
              </w:tc>
              <w:tc>
                <w:tcPr>
                  <w:tcW w:w="579" w:type="pct"/>
                  <w:tcBorders>
                    <w:tl2br w:val="nil"/>
                    <w:tr2bl w:val="nil"/>
                  </w:tcBorders>
                  <w:noWrap w:val="0"/>
                  <w:vAlign w:val="center"/>
                </w:tcPr>
                <w:p w14:paraId="2DB20B87">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45</w:t>
                  </w:r>
                </w:p>
              </w:tc>
              <w:tc>
                <w:tcPr>
                  <w:tcW w:w="491" w:type="pct"/>
                  <w:tcBorders>
                    <w:tl2br w:val="nil"/>
                    <w:tr2bl w:val="nil"/>
                  </w:tcBorders>
                  <w:noWrap w:val="0"/>
                  <w:vAlign w:val="center"/>
                </w:tcPr>
                <w:p w14:paraId="0EC0425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108</w:t>
                  </w:r>
                </w:p>
              </w:tc>
            </w:tr>
            <w:tr w14:paraId="6850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74" w:type="pct"/>
                  <w:tcBorders>
                    <w:tl2br w:val="nil"/>
                    <w:tr2bl w:val="nil"/>
                  </w:tcBorders>
                  <w:noWrap w:val="0"/>
                  <w:vAlign w:val="center"/>
                </w:tcPr>
                <w:p w14:paraId="0A8A9E5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325" w:type="pct"/>
                  <w:gridSpan w:val="5"/>
                  <w:tcBorders>
                    <w:tl2br w:val="nil"/>
                    <w:tr2bl w:val="nil"/>
                  </w:tcBorders>
                  <w:noWrap w:val="0"/>
                  <w:vAlign w:val="center"/>
                </w:tcPr>
                <w:p w14:paraId="7D3891B9">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依托厂区现有的化粪池处理达标后排入市政污水管网，最终进入</w:t>
                  </w: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highlight w:val="none"/>
                      <w:vertAlign w:val="baseline"/>
                      <w:lang w:val="en-US" w:eastAsia="zh-CN"/>
                    </w:rPr>
                    <w:t>进行处理</w:t>
                  </w:r>
                </w:p>
              </w:tc>
            </w:tr>
            <w:tr w14:paraId="65148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pct"/>
                  <w:vMerge w:val="restart"/>
                  <w:tcBorders>
                    <w:tl2br w:val="nil"/>
                    <w:tr2bl w:val="nil"/>
                  </w:tcBorders>
                  <w:noWrap w:val="0"/>
                  <w:vAlign w:val="center"/>
                </w:tcPr>
                <w:p w14:paraId="2B8E296B">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eastAsia="宋体" w:cs="Times New Roman"/>
                      <w:color w:val="auto"/>
                      <w:sz w:val="21"/>
                      <w:szCs w:val="21"/>
                      <w:vertAlign w:val="baseline"/>
                      <w:lang w:val="en-US" w:eastAsia="zh-CN"/>
                    </w:rPr>
                    <w:t>360</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53010DFD">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0176807A">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3DABAA3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9" w:type="pct"/>
                  <w:tcBorders>
                    <w:tl2br w:val="nil"/>
                    <w:tr2bl w:val="nil"/>
                  </w:tcBorders>
                  <w:noWrap w:val="0"/>
                  <w:vAlign w:val="center"/>
                </w:tcPr>
                <w:p w14:paraId="12E52C8D">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1" w:type="pct"/>
                  <w:tcBorders>
                    <w:tl2br w:val="nil"/>
                    <w:tr2bl w:val="nil"/>
                  </w:tcBorders>
                  <w:noWrap w:val="0"/>
                  <w:vAlign w:val="center"/>
                </w:tcPr>
                <w:p w14:paraId="2A56707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BE9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4" w:type="pct"/>
                  <w:vMerge w:val="continue"/>
                  <w:tcBorders>
                    <w:tl2br w:val="nil"/>
                    <w:tr2bl w:val="nil"/>
                  </w:tcBorders>
                  <w:noWrap w:val="0"/>
                  <w:vAlign w:val="center"/>
                </w:tcPr>
                <w:p w14:paraId="2A5D1FD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4F36C6D0">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46F2CB0E">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2D584260">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9" w:type="pct"/>
                  <w:tcBorders>
                    <w:tl2br w:val="nil"/>
                    <w:tr2bl w:val="nil"/>
                  </w:tcBorders>
                  <w:noWrap w:val="0"/>
                  <w:vAlign w:val="center"/>
                </w:tcPr>
                <w:p w14:paraId="1D360E6F">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1" w:type="pct"/>
                  <w:tcBorders>
                    <w:tl2br w:val="nil"/>
                    <w:tr2bl w:val="nil"/>
                  </w:tcBorders>
                  <w:noWrap w:val="0"/>
                  <w:vAlign w:val="center"/>
                </w:tcPr>
                <w:p w14:paraId="155169CE">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16A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74" w:type="pct"/>
                  <w:vMerge w:val="continue"/>
                  <w:tcBorders>
                    <w:tl2br w:val="nil"/>
                    <w:tr2bl w:val="nil"/>
                  </w:tcBorders>
                  <w:noWrap w:val="0"/>
                  <w:vAlign w:val="center"/>
                </w:tcPr>
                <w:p w14:paraId="61AF04C2">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7E55DF71">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2D273A3F">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72</w:t>
                  </w:r>
                </w:p>
              </w:tc>
              <w:tc>
                <w:tcPr>
                  <w:tcW w:w="513" w:type="pct"/>
                  <w:tcBorders>
                    <w:tl2br w:val="nil"/>
                    <w:tr2bl w:val="nil"/>
                  </w:tcBorders>
                  <w:noWrap w:val="0"/>
                  <w:vAlign w:val="center"/>
                </w:tcPr>
                <w:p w14:paraId="1184B65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337</w:t>
                  </w:r>
                </w:p>
              </w:tc>
              <w:tc>
                <w:tcPr>
                  <w:tcW w:w="579" w:type="pct"/>
                  <w:tcBorders>
                    <w:tl2br w:val="nil"/>
                    <w:tr2bl w:val="nil"/>
                  </w:tcBorders>
                  <w:noWrap w:val="0"/>
                  <w:vAlign w:val="center"/>
                </w:tcPr>
                <w:p w14:paraId="3F2EF79A">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252</w:t>
                  </w:r>
                </w:p>
              </w:tc>
              <w:tc>
                <w:tcPr>
                  <w:tcW w:w="491" w:type="pct"/>
                  <w:tcBorders>
                    <w:tl2br w:val="nil"/>
                    <w:tr2bl w:val="nil"/>
                  </w:tcBorders>
                  <w:noWrap w:val="0"/>
                  <w:vAlign w:val="center"/>
                </w:tcPr>
                <w:p w14:paraId="11A249F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eastAsia="宋体" w:cs="Times New Roman"/>
                      <w:color w:val="auto"/>
                      <w:sz w:val="21"/>
                      <w:szCs w:val="21"/>
                      <w:vertAlign w:val="baseline"/>
                      <w:lang w:val="en-US" w:eastAsia="zh-CN"/>
                    </w:rPr>
                    <w:t>086</w:t>
                  </w:r>
                </w:p>
              </w:tc>
            </w:tr>
            <w:tr w14:paraId="6883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850" w:type="pct"/>
                  <w:gridSpan w:val="2"/>
                  <w:tcBorders>
                    <w:tl2br w:val="nil"/>
                    <w:tr2bl w:val="nil"/>
                  </w:tcBorders>
                  <w:noWrap w:val="0"/>
                  <w:vAlign w:val="center"/>
                </w:tcPr>
                <w:p w14:paraId="532FE66C">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default" w:ascii="Times New Roman" w:hAnsi="Times New Roman" w:eastAsia="宋体" w:cs="Times New Roman"/>
                      <w:color w:val="auto"/>
                      <w:sz w:val="21"/>
                      <w:szCs w:val="21"/>
                      <w:vertAlign w:val="baseline"/>
                      <w:lang w:val="en-US" w:eastAsia="zh-CN"/>
                    </w:rPr>
                    <w:t>纳污指</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51BE123">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400</w:t>
                  </w:r>
                </w:p>
              </w:tc>
              <w:tc>
                <w:tcPr>
                  <w:tcW w:w="513" w:type="pct"/>
                  <w:tcBorders>
                    <w:tl2br w:val="nil"/>
                    <w:tr2bl w:val="nil"/>
                  </w:tcBorders>
                  <w:noWrap w:val="0"/>
                  <w:vAlign w:val="center"/>
                </w:tcPr>
                <w:p w14:paraId="0EFE3FCE">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220</w:t>
                  </w:r>
                </w:p>
              </w:tc>
              <w:tc>
                <w:tcPr>
                  <w:tcW w:w="579" w:type="pct"/>
                  <w:tcBorders>
                    <w:tl2br w:val="nil"/>
                    <w:tr2bl w:val="nil"/>
                  </w:tcBorders>
                  <w:noWrap w:val="0"/>
                  <w:vAlign w:val="center"/>
                </w:tcPr>
                <w:p w14:paraId="47738F86">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≤2</w:t>
                  </w:r>
                  <w:r>
                    <w:rPr>
                      <w:rFonts w:hint="eastAsia" w:ascii="Times New Roman" w:hAnsi="Times New Roman" w:eastAsia="宋体" w:cs="Times New Roman"/>
                      <w:color w:val="auto"/>
                      <w:kern w:val="0"/>
                      <w:sz w:val="20"/>
                      <w:szCs w:val="20"/>
                      <w:lang w:val="en-US" w:eastAsia="zh-CN" w:bidi="ar"/>
                    </w:rPr>
                    <w:t>8</w:t>
                  </w:r>
                  <w:r>
                    <w:rPr>
                      <w:rFonts w:hint="default" w:ascii="Times New Roman" w:hAnsi="Times New Roman" w:eastAsia="宋体" w:cs="Times New Roman"/>
                      <w:color w:val="auto"/>
                      <w:kern w:val="0"/>
                      <w:sz w:val="20"/>
                      <w:szCs w:val="20"/>
                      <w:lang w:val="en-US" w:eastAsia="zh-CN" w:bidi="ar"/>
                    </w:rPr>
                    <w:t>0</w:t>
                  </w:r>
                </w:p>
              </w:tc>
              <w:tc>
                <w:tcPr>
                  <w:tcW w:w="491" w:type="pct"/>
                  <w:tcBorders>
                    <w:tl2br w:val="nil"/>
                    <w:tr2bl w:val="nil"/>
                  </w:tcBorders>
                  <w:noWrap w:val="0"/>
                  <w:vAlign w:val="center"/>
                </w:tcPr>
                <w:p w14:paraId="46E5CEE0">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37</w:t>
                  </w:r>
                </w:p>
              </w:tc>
            </w:tr>
            <w:tr w14:paraId="7F6E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850" w:type="pct"/>
                  <w:gridSpan w:val="2"/>
                  <w:tcBorders>
                    <w:tl2br w:val="nil"/>
                    <w:tr2bl w:val="nil"/>
                  </w:tcBorders>
                  <w:noWrap w:val="0"/>
                  <w:vAlign w:val="center"/>
                </w:tcPr>
                <w:p w14:paraId="338AD4F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46D27B3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58B567DA">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9" w:type="pct"/>
                  <w:tcBorders>
                    <w:tl2br w:val="nil"/>
                    <w:tr2bl w:val="nil"/>
                  </w:tcBorders>
                  <w:noWrap w:val="0"/>
                  <w:vAlign w:val="center"/>
                </w:tcPr>
                <w:p w14:paraId="69972B8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1" w:type="pct"/>
                  <w:tcBorders>
                    <w:tl2br w:val="nil"/>
                    <w:tr2bl w:val="nil"/>
                  </w:tcBorders>
                  <w:noWrap w:val="0"/>
                  <w:vAlign w:val="center"/>
                </w:tcPr>
                <w:p w14:paraId="6445E4B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019D2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850" w:type="pct"/>
                  <w:gridSpan w:val="2"/>
                  <w:tcBorders>
                    <w:tl2br w:val="nil"/>
                    <w:tr2bl w:val="nil"/>
                  </w:tcBorders>
                  <w:noWrap w:val="0"/>
                  <w:vAlign w:val="center"/>
                </w:tcPr>
                <w:p w14:paraId="1F6C3774">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65FC16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7B463F63">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9" w:type="pct"/>
                  <w:tcBorders>
                    <w:tl2br w:val="nil"/>
                    <w:tr2bl w:val="nil"/>
                  </w:tcBorders>
                  <w:noWrap w:val="0"/>
                  <w:vAlign w:val="center"/>
                </w:tcPr>
                <w:p w14:paraId="3B61A0E5">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1" w:type="pct"/>
                  <w:tcBorders>
                    <w:tl2br w:val="nil"/>
                    <w:tr2bl w:val="nil"/>
                  </w:tcBorders>
                  <w:noWrap w:val="0"/>
                  <w:vAlign w:val="center"/>
                </w:tcPr>
                <w:p w14:paraId="2819D059">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613594C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150" w:name="_Toc16893"/>
            <w:bookmarkStart w:id="151" w:name="_Toc14541"/>
            <w:bookmarkStart w:id="152" w:name="_Toc19668"/>
          </w:p>
          <w:p w14:paraId="0FEAD7F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53" w:name="_Toc6285"/>
            <w:bookmarkStart w:id="154" w:name="_Toc22874"/>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153"/>
            <w:bookmarkEnd w:id="154"/>
          </w:p>
          <w:p w14:paraId="1F4AEC20">
            <w:pPr>
              <w:widowControl/>
              <w:numPr>
                <w:ilvl w:val="0"/>
                <w:numId w:val="0"/>
              </w:numPr>
              <w:spacing w:line="360" w:lineRule="auto"/>
              <w:ind w:firstLine="480" w:firstLineChars="200"/>
              <w:jc w:val="left"/>
              <w:rPr>
                <w:rFonts w:hint="eastAsia" w:cs="Times New Roman"/>
                <w:b w:val="0"/>
                <w:bCs w:val="0"/>
                <w:strike w:val="0"/>
                <w:dstrike w:val="0"/>
                <w:color w:val="auto"/>
                <w:sz w:val="24"/>
                <w:szCs w:val="24"/>
                <w:highlight w:val="none"/>
                <w:lang w:val="en-US" w:eastAsia="zh-CN"/>
              </w:rPr>
            </w:pPr>
            <w:r>
              <w:rPr>
                <w:rFonts w:hint="eastAsia" w:cs="Times New Roman"/>
                <w:b w:val="0"/>
                <w:bCs w:val="0"/>
                <w:strike w:val="0"/>
                <w:dstrike w:val="0"/>
                <w:color w:val="auto"/>
                <w:sz w:val="24"/>
                <w:szCs w:val="24"/>
                <w:highlight w:val="none"/>
                <w:lang w:val="en-US" w:eastAsia="zh-CN"/>
              </w:rPr>
              <w:t>（1）循环水处理设施可行性分析</w:t>
            </w:r>
          </w:p>
          <w:p w14:paraId="34FE812F">
            <w:pPr>
              <w:widowControl/>
              <w:spacing w:line="360" w:lineRule="auto"/>
              <w:ind w:firstLine="480" w:firstLineChars="200"/>
              <w:jc w:val="left"/>
              <w:rPr>
                <w:rFonts w:hint="eastAsia" w:cs="Times New Roman"/>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压铸成型间接冷却水、研磨工序冷却水及半成品清洗废水。压铸工序间接冷却水不直接接触产品为间接冷却水，经冷却塔冷却后循环使用不外排。研磨工序冷却水及半成品清洗废水经循环水处理设施处理后回用于生产不外排，因此不产生生产废水排放。</w:t>
            </w:r>
            <w:r>
              <w:rPr>
                <w:rFonts w:hint="eastAsia" w:cs="Times New Roman"/>
                <w:color w:val="auto"/>
                <w:sz w:val="24"/>
                <w:szCs w:val="24"/>
                <w:highlight w:val="none"/>
                <w:lang w:val="en-US" w:eastAsia="zh-CN"/>
              </w:rPr>
              <w:t>循环水处理设施工艺采用“格栅+铝粉过滤器+pH调节池+混凝反应池+沉淀池+过滤泵+砂滤器+碳滤器+精密过滤器”处理后回用于生产。处理过程中沉淀的污泥通过污泥提升泵抽到污浆池中委托其他企业处理。因此，本项目生产废水通过循环水处理设施处理后回用于生产可行。循环水处理工艺流程详见图4.2-1。</w:t>
            </w:r>
          </w:p>
          <w:p w14:paraId="6C949C54">
            <w:pPr>
              <w:pStyle w:val="18"/>
              <w:rPr>
                <w:rFonts w:hint="default"/>
                <w:lang w:val="en-US" w:eastAsia="zh-CN"/>
              </w:rPr>
            </w:pPr>
            <w:r>
              <w:drawing>
                <wp:inline distT="0" distB="0" distL="114300" distR="114300">
                  <wp:extent cx="5458460" cy="4497705"/>
                  <wp:effectExtent l="0" t="0" r="889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5458460" cy="4497705"/>
                          </a:xfrm>
                          <a:prstGeom prst="rect">
                            <a:avLst/>
                          </a:prstGeom>
                          <a:noFill/>
                          <a:ln>
                            <a:noFill/>
                          </a:ln>
                        </pic:spPr>
                      </pic:pic>
                    </a:graphicData>
                  </a:graphic>
                </wp:inline>
              </w:drawing>
            </w:r>
          </w:p>
          <w:p w14:paraId="6A44FF5F">
            <w:pPr>
              <w:widowControl/>
              <w:spacing w:line="360" w:lineRule="auto"/>
              <w:jc w:val="center"/>
              <w:rPr>
                <w:rFonts w:hint="eastAsia"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4.2-1 </w:t>
            </w:r>
            <w:r>
              <w:rPr>
                <w:rFonts w:hint="eastAsia" w:cs="Times New Roman"/>
                <w:b/>
                <w:bCs/>
                <w:color w:val="auto"/>
                <w:sz w:val="24"/>
                <w:szCs w:val="24"/>
                <w:highlight w:val="none"/>
                <w:lang w:val="en-US" w:eastAsia="zh-CN"/>
              </w:rPr>
              <w:t>循环水</w:t>
            </w:r>
            <w:r>
              <w:rPr>
                <w:rFonts w:hint="default" w:ascii="Times New Roman" w:hAnsi="Times New Roman" w:eastAsia="宋体" w:cs="Times New Roman"/>
                <w:b/>
                <w:bCs/>
                <w:color w:val="auto"/>
                <w:sz w:val="24"/>
                <w:szCs w:val="24"/>
                <w:highlight w:val="none"/>
                <w:lang w:val="en-US" w:eastAsia="zh-CN"/>
              </w:rPr>
              <w:t>处理</w:t>
            </w:r>
            <w:r>
              <w:rPr>
                <w:rFonts w:hint="eastAsia" w:cs="Times New Roman"/>
                <w:b/>
                <w:bCs/>
                <w:color w:val="auto"/>
                <w:sz w:val="24"/>
                <w:szCs w:val="24"/>
                <w:highlight w:val="none"/>
                <w:lang w:val="en-US" w:eastAsia="zh-CN"/>
              </w:rPr>
              <w:t>设施</w:t>
            </w:r>
            <w:r>
              <w:rPr>
                <w:rFonts w:hint="default" w:ascii="Times New Roman" w:hAnsi="Times New Roman" w:eastAsia="宋体" w:cs="Times New Roman"/>
                <w:b/>
                <w:bCs/>
                <w:color w:val="auto"/>
                <w:sz w:val="24"/>
                <w:szCs w:val="24"/>
                <w:highlight w:val="none"/>
                <w:lang w:val="en-US" w:eastAsia="zh-CN"/>
              </w:rPr>
              <w:t>工艺流程图</w:t>
            </w:r>
          </w:p>
          <w:p w14:paraId="2FD3CE0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2</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31C88857">
            <w:pPr>
              <w:widowControl/>
              <w:spacing w:line="360" w:lineRule="auto"/>
              <w:ind w:firstLine="480" w:firstLineChars="200"/>
              <w:jc w:val="left"/>
              <w:rPr>
                <w:rFonts w:hint="default" w:ascii="Times New Roman" w:hAnsi="Times New Roman" w:eastAsia="宋体" w:cs="Times New Roman"/>
                <w:strike w:val="0"/>
                <w:dstrike w:val="0"/>
                <w:color w:val="auto"/>
                <w:sz w:val="24"/>
                <w:highlight w:val="none"/>
              </w:rPr>
            </w:pP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default" w:ascii="Times New Roman" w:hAnsi="Times New Roman" w:eastAsia="宋体" w:cs="Times New Roman"/>
                <w:strike w:val="0"/>
                <w:dstrike w:val="0"/>
                <w:color w:val="auto"/>
                <w:sz w:val="24"/>
                <w:szCs w:val="24"/>
                <w:lang w:val="en-US" w:eastAsia="zh-CN"/>
              </w:rPr>
              <w:t>福清市融元污水处理厂集</w:t>
            </w:r>
            <w:r>
              <w:rPr>
                <w:rFonts w:hint="default" w:ascii="Times New Roman" w:hAnsi="Times New Roman" w:eastAsia="宋体" w:cs="Times New Roman"/>
                <w:b w:val="0"/>
                <w:bCs w:val="0"/>
                <w:strike w:val="0"/>
                <w:dstrike w:val="0"/>
                <w:color w:val="auto"/>
                <w:sz w:val="24"/>
                <w:szCs w:val="24"/>
                <w:highlight w:val="none"/>
                <w:lang w:val="en-US" w:eastAsia="zh-CN"/>
              </w:rPr>
              <w:t>中进行处理，污水处理厂尾水排入龙江，所处龙江</w:t>
            </w:r>
            <w:r>
              <w:rPr>
                <w:rFonts w:hint="eastAsia"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南门桥水闸至龙江入海口</w:t>
            </w:r>
            <w:r>
              <w:rPr>
                <w:rFonts w:hint="eastAsia"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断面。生活污水依托厂区（均和云谷·福清科技港园区）现有的化粪池（50m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）处理后进入市政管网。据建设单位提供资料，</w:t>
            </w:r>
            <w:r>
              <w:rPr>
                <w:rFonts w:hint="default" w:ascii="Times New Roman" w:hAnsi="Times New Roman" w:eastAsia="宋体" w:cs="Times New Roman"/>
                <w:strike w:val="0"/>
                <w:dstrike w:val="0"/>
                <w:color w:val="auto"/>
                <w:sz w:val="24"/>
                <w:lang w:val="en-GB"/>
              </w:rPr>
              <w:t>项目所在的</w:t>
            </w:r>
            <w:r>
              <w:rPr>
                <w:rFonts w:hint="default" w:ascii="Times New Roman" w:hAnsi="Times New Roman" w:eastAsia="宋体" w:cs="Times New Roman"/>
                <w:strike w:val="0"/>
                <w:dstrike w:val="0"/>
                <w:color w:val="auto"/>
                <w:sz w:val="24"/>
              </w:rPr>
              <w:t>均和云谷</w:t>
            </w:r>
            <w:r>
              <w:rPr>
                <w:rFonts w:hint="eastAsia" w:ascii="宋体" w:hAnsi="宋体" w:eastAsia="宋体" w:cs="宋体"/>
                <w:strike w:val="0"/>
                <w:dstrike w:val="0"/>
                <w:color w:val="auto"/>
                <w:sz w:val="24"/>
              </w:rPr>
              <w:t>·</w:t>
            </w:r>
            <w:r>
              <w:rPr>
                <w:rFonts w:hint="default" w:ascii="Times New Roman" w:hAnsi="Times New Roman" w:eastAsia="宋体" w:cs="Times New Roman"/>
                <w:strike w:val="0"/>
                <w:dstrike w:val="0"/>
                <w:color w:val="auto"/>
                <w:sz w:val="24"/>
              </w:rPr>
              <w:t>福清科技港园区</w:t>
            </w:r>
            <w:r>
              <w:rPr>
                <w:rFonts w:hint="default" w:ascii="Times New Roman" w:hAnsi="Times New Roman" w:eastAsia="宋体" w:cs="Times New Roman"/>
                <w:strike w:val="0"/>
                <w:dstrike w:val="0"/>
                <w:color w:val="auto"/>
                <w:sz w:val="24"/>
                <w:lang w:val="en-US" w:eastAsia="zh-CN"/>
              </w:rPr>
              <w:t>西</w:t>
            </w:r>
            <w:r>
              <w:rPr>
                <w:rFonts w:hint="default" w:ascii="Times New Roman" w:hAnsi="Times New Roman" w:eastAsia="宋体" w:cs="Times New Roman"/>
                <w:strike w:val="0"/>
                <w:dstrike w:val="0"/>
                <w:color w:val="auto"/>
                <w:sz w:val="24"/>
              </w:rPr>
              <w:t>北侧</w:t>
            </w:r>
            <w:r>
              <w:rPr>
                <w:rFonts w:hint="default" w:ascii="Times New Roman" w:hAnsi="Times New Roman" w:eastAsia="宋体" w:cs="Times New Roman"/>
                <w:strike w:val="0"/>
                <w:dstrike w:val="0"/>
                <w:color w:val="auto"/>
                <w:sz w:val="24"/>
                <w:lang w:val="en-GB"/>
              </w:rPr>
              <w:t>设有一个有效容积约为50m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化粪池供</w:t>
            </w:r>
            <w:r>
              <w:rPr>
                <w:rFonts w:hint="default" w:ascii="Times New Roman" w:hAnsi="Times New Roman" w:eastAsia="宋体" w:cs="Times New Roman"/>
                <w:strike w:val="0"/>
                <w:dstrike w:val="0"/>
                <w:color w:val="auto"/>
                <w:sz w:val="24"/>
              </w:rPr>
              <w:t>整个厂区</w:t>
            </w:r>
            <w:r>
              <w:rPr>
                <w:rFonts w:hint="default" w:ascii="Times New Roman" w:hAnsi="Times New Roman" w:eastAsia="宋体" w:cs="Times New Roman"/>
                <w:strike w:val="0"/>
                <w:dstrike w:val="0"/>
                <w:color w:val="auto"/>
                <w:sz w:val="24"/>
                <w:lang w:val="en-GB"/>
              </w:rPr>
              <w:t>生活污水</w:t>
            </w:r>
            <w:r>
              <w:rPr>
                <w:rFonts w:hint="default" w:ascii="Times New Roman" w:hAnsi="Times New Roman" w:eastAsia="宋体" w:cs="Times New Roman"/>
                <w:strike w:val="0"/>
                <w:dstrike w:val="0"/>
                <w:color w:val="auto"/>
                <w:sz w:val="24"/>
                <w:lang w:val="en-US" w:eastAsia="zh-CN"/>
              </w:rPr>
              <w:t>处理</w:t>
            </w:r>
            <w:r>
              <w:rPr>
                <w:rFonts w:hint="default" w:ascii="Times New Roman" w:hAnsi="Times New Roman" w:eastAsia="宋体" w:cs="Times New Roman"/>
                <w:strike w:val="0"/>
                <w:dstrike w:val="0"/>
                <w:color w:val="auto"/>
                <w:sz w:val="24"/>
                <w:lang w:val="en-GB"/>
              </w:rPr>
              <w:t>使用</w:t>
            </w:r>
            <w:r>
              <w:rPr>
                <w:rFonts w:hint="default" w:ascii="Times New Roman" w:hAnsi="Times New Roman" w:eastAsia="宋体" w:cs="Times New Roman"/>
                <w:strike w:val="0"/>
                <w:dstrike w:val="0"/>
                <w:color w:val="auto"/>
                <w:sz w:val="24"/>
                <w:lang w:val="en-GB" w:eastAsia="zh-CN"/>
              </w:rPr>
              <w:t>，</w:t>
            </w:r>
            <w:r>
              <w:rPr>
                <w:rFonts w:hint="default" w:ascii="Times New Roman" w:hAnsi="Times New Roman" w:eastAsia="宋体" w:cs="Times New Roman"/>
                <w:strike w:val="0"/>
                <w:dstrike w:val="0"/>
                <w:color w:val="auto"/>
                <w:sz w:val="24"/>
                <w:lang w:val="en-US" w:eastAsia="zh-CN"/>
              </w:rPr>
              <w:t>化粪池管理、维护均由均和物业管理服务（福州）有限公司全权负责</w:t>
            </w:r>
            <w:r>
              <w:rPr>
                <w:rFonts w:hint="default" w:ascii="Times New Roman" w:hAnsi="Times New Roman" w:eastAsia="宋体" w:cs="Times New Roman"/>
                <w:strike w:val="0"/>
                <w:dstrike w:val="0"/>
                <w:color w:val="auto"/>
                <w:sz w:val="24"/>
                <w:lang w:val="en-GB"/>
              </w:rPr>
              <w:t>。根据均和产业发展（福清）有限公司提</w:t>
            </w:r>
            <w:r>
              <w:rPr>
                <w:rFonts w:hint="eastAsia" w:cs="Times New Roman"/>
                <w:strike w:val="0"/>
                <w:dstrike w:val="0"/>
                <w:color w:val="auto"/>
                <w:sz w:val="24"/>
                <w:lang w:val="en-GB" w:eastAsia="zh-CN"/>
              </w:rPr>
              <w:t>供的</w:t>
            </w:r>
            <w:r>
              <w:rPr>
                <w:rFonts w:hint="default" w:ascii="Times New Roman" w:hAnsi="Times New Roman" w:eastAsia="宋体" w:cs="Times New Roman"/>
                <w:strike w:val="0"/>
                <w:dstrike w:val="0"/>
                <w:color w:val="auto"/>
                <w:sz w:val="24"/>
                <w:lang w:val="en-GB"/>
              </w:rPr>
              <w:t>证明材料</w:t>
            </w:r>
            <w:r>
              <w:rPr>
                <w:rFonts w:hint="default" w:ascii="Times New Roman" w:hAnsi="Times New Roman" w:eastAsia="宋体" w:cs="Times New Roman"/>
                <w:bCs/>
                <w:strike w:val="0"/>
                <w:dstrike w:val="0"/>
                <w:color w:val="auto"/>
                <w:sz w:val="24"/>
                <w:szCs w:val="24"/>
                <w:lang w:val="en-US" w:eastAsia="zh-CN"/>
              </w:rPr>
              <w:t>（目前</w:t>
            </w:r>
            <w:r>
              <w:rPr>
                <w:rFonts w:hint="eastAsia" w:cs="Times New Roman"/>
                <w:bCs/>
                <w:strike w:val="0"/>
                <w:dstrike w:val="0"/>
                <w:color w:val="auto"/>
                <w:sz w:val="24"/>
                <w:szCs w:val="24"/>
                <w:lang w:val="en-US" w:eastAsia="zh-CN"/>
              </w:rPr>
              <w:t>实际处理水量约为1.575m</w:t>
            </w:r>
            <w:r>
              <w:rPr>
                <w:rFonts w:hint="eastAsia" w:cs="Times New Roman"/>
                <w:bCs/>
                <w:strike w:val="0"/>
                <w:dstrike w:val="0"/>
                <w:color w:val="auto"/>
                <w:sz w:val="24"/>
                <w:szCs w:val="24"/>
                <w:vertAlign w:val="superscript"/>
                <w:lang w:val="en-US" w:eastAsia="zh-CN"/>
              </w:rPr>
              <w:t>3</w:t>
            </w:r>
            <w:r>
              <w:rPr>
                <w:rFonts w:hint="eastAsia" w:cs="Times New Roman"/>
                <w:bCs/>
                <w:strike w:val="0"/>
                <w:dstrike w:val="0"/>
                <w:color w:val="auto"/>
                <w:sz w:val="24"/>
                <w:szCs w:val="24"/>
                <w:lang w:val="en-US" w:eastAsia="zh-CN"/>
              </w:rPr>
              <w: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default" w:ascii="Times New Roman" w:hAnsi="Times New Roman" w:eastAsia="宋体" w:cs="Times New Roman"/>
                <w:strike w:val="0"/>
                <w:dstrike w:val="0"/>
                <w:color w:val="auto"/>
                <w:sz w:val="24"/>
                <w:lang w:val="en-US" w:eastAsia="zh-CN"/>
              </w:rPr>
              <w:t>4</w:t>
            </w:r>
            <w:r>
              <w:rPr>
                <w:rFonts w:hint="eastAsia" w:cs="Times New Roman"/>
                <w:strike w:val="0"/>
                <w:dstrike w:val="0"/>
                <w:color w:val="auto"/>
                <w:sz w:val="24"/>
                <w:lang w:val="en-US" w:eastAsia="zh-CN"/>
              </w:rPr>
              <w:t>8</w:t>
            </w:r>
            <w:r>
              <w:rPr>
                <w:rFonts w:hint="default" w:ascii="Times New Roman" w:hAnsi="Times New Roman" w:eastAsia="宋体" w:cs="Times New Roman"/>
                <w:strike w:val="0"/>
                <w:dstrike w:val="0"/>
                <w:color w:val="auto"/>
                <w:sz w:val="24"/>
                <w:lang w:val="en-US" w:eastAsia="zh-CN"/>
              </w:rPr>
              <w:t>.</w:t>
            </w:r>
            <w:r>
              <w:rPr>
                <w:rFonts w:hint="eastAsia" w:cs="Times New Roman"/>
                <w:strike w:val="0"/>
                <w:dstrike w:val="0"/>
                <w:color w:val="auto"/>
                <w:sz w:val="24"/>
                <w:lang w:val="en-US" w:eastAsia="zh-CN"/>
              </w:rPr>
              <w:t>428</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default"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rPr>
              <w:t>t/d，约占剩余化粪池处理量</w:t>
            </w:r>
            <w:r>
              <w:rPr>
                <w:rFonts w:hint="eastAsia" w:cs="Times New Roman"/>
                <w:strike w:val="0"/>
                <w:dstrike w:val="0"/>
                <w:color w:val="auto"/>
                <w:sz w:val="24"/>
                <w:lang w:val="en-US" w:eastAsia="zh-CN"/>
              </w:rPr>
              <w:t>2.477</w:t>
            </w:r>
            <w:r>
              <w:rPr>
                <w:rFonts w:hint="default" w:ascii="Times New Roman" w:hAnsi="Times New Roman" w:eastAsia="宋体" w:cs="Times New Roman"/>
                <w:strike w:val="0"/>
                <w:dstrike w:val="0"/>
                <w:color w:val="auto"/>
                <w:sz w:val="24"/>
              </w:rPr>
              <w:t>%，因此本项目生活污水依托均和云谷·福清科技港园区已建的化粪池进行处理可行。</w:t>
            </w:r>
            <w:r>
              <w:rPr>
                <w:rFonts w:hint="eastAsia" w:cs="Times New Roman"/>
                <w:strike w:val="0"/>
                <w:dstrike w:val="0"/>
                <w:color w:val="auto"/>
                <w:sz w:val="24"/>
                <w:highlight w:val="none"/>
                <w:lang w:eastAsia="zh-CN"/>
              </w:rPr>
              <w:t>（</w:t>
            </w:r>
            <w:r>
              <w:rPr>
                <w:rFonts w:hint="eastAsia" w:cs="Times New Roman"/>
                <w:strike w:val="0"/>
                <w:dstrike w:val="0"/>
                <w:color w:val="auto"/>
                <w:sz w:val="24"/>
                <w:highlight w:val="none"/>
                <w:lang w:val="en-US" w:eastAsia="zh-CN"/>
              </w:rPr>
              <w:t>化粪池依托协议详见</w:t>
            </w:r>
            <w:r>
              <w:rPr>
                <w:rFonts w:hint="eastAsia" w:cs="Times New Roman"/>
                <w:b/>
                <w:bCs/>
                <w:strike w:val="0"/>
                <w:dstrike w:val="0"/>
                <w:color w:val="auto"/>
                <w:sz w:val="24"/>
                <w:highlight w:val="none"/>
                <w:lang w:val="en-US" w:eastAsia="zh-CN"/>
              </w:rPr>
              <w:t>附件十</w:t>
            </w:r>
            <w:r>
              <w:rPr>
                <w:rFonts w:hint="eastAsia" w:cs="Times New Roman"/>
                <w:strike w:val="0"/>
                <w:dstrike w:val="0"/>
                <w:color w:val="auto"/>
                <w:sz w:val="24"/>
                <w:highlight w:val="none"/>
                <w:lang w:eastAsia="zh-CN"/>
              </w:rPr>
              <w:t>）</w:t>
            </w:r>
            <w:r>
              <w:rPr>
                <w:rFonts w:hint="default" w:ascii="Times New Roman" w:hAnsi="Times New Roman" w:eastAsia="宋体" w:cs="Times New Roman"/>
                <w:strike w:val="0"/>
                <w:dstrike w:val="0"/>
                <w:color w:val="auto"/>
                <w:sz w:val="24"/>
                <w:lang w:val="en-US" w:eastAsia="zh-CN"/>
              </w:rPr>
              <w:t>根据现场勘查，目前厂区市政污水管网已经接入厂区西北侧岁金配套路市政污水管网</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详见</w:t>
            </w:r>
            <w:r>
              <w:rPr>
                <w:rFonts w:hint="default" w:ascii="Times New Roman" w:hAnsi="Times New Roman" w:eastAsia="宋体" w:cs="Times New Roman"/>
                <w:b/>
                <w:bCs/>
                <w:strike w:val="0"/>
                <w:dstrike w:val="0"/>
                <w:color w:val="auto"/>
                <w:sz w:val="24"/>
                <w:highlight w:val="none"/>
                <w:lang w:val="en-US" w:eastAsia="zh-CN"/>
              </w:rPr>
              <w:t>附件</w:t>
            </w:r>
            <w:r>
              <w:rPr>
                <w:rFonts w:hint="eastAsia" w:cs="Times New Roman"/>
                <w:b/>
                <w:bCs/>
                <w:strike w:val="0"/>
                <w:dstrike w:val="0"/>
                <w:color w:val="auto"/>
                <w:sz w:val="24"/>
                <w:highlight w:val="none"/>
                <w:lang w:val="en-US" w:eastAsia="zh-CN"/>
              </w:rPr>
              <w:t>十一</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w:t>
            </w:r>
          </w:p>
          <w:p w14:paraId="01C0BF83">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3</w:t>
            </w:r>
            <w:r>
              <w:rPr>
                <w:rFonts w:hint="eastAsia" w:ascii="Times New Roman" w:hAnsi="Times New Roman" w:eastAsia="宋体" w:cs="Times New Roman"/>
                <w:b w:val="0"/>
                <w:bCs w:val="0"/>
                <w:strike w:val="0"/>
                <w:dstrike w:val="0"/>
                <w:color w:val="auto"/>
                <w:sz w:val="24"/>
                <w:szCs w:val="24"/>
                <w:highlight w:val="none"/>
                <w:lang w:val="en-US" w:eastAsia="zh-CN"/>
              </w:rPr>
              <w:t>）依托集中污水处理厂的可行性分析</w:t>
            </w:r>
          </w:p>
          <w:p w14:paraId="2D85C05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要求，废水间接排放的建设项目应从处理能力、处理工艺、设计进出水水质等方面，分析依托集中污水处理厂的可行性。</w:t>
            </w:r>
          </w:p>
          <w:p w14:paraId="530877FA">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①福清市融元污水处理厂基本情况</w:t>
            </w:r>
          </w:p>
          <w:p w14:paraId="374AF3F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A.设计进出水水质</w:t>
            </w:r>
          </w:p>
          <w:p w14:paraId="4B0813EC">
            <w:pPr>
              <w:widowControl/>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根据《福清市融元污水处理厂提标及改造工程环境影响报告书</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报批稿</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4E0B49BE">
            <w:pPr>
              <w:pStyle w:val="51"/>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 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 xml:space="preserve"> pH除外</w:t>
            </w:r>
            <w:r>
              <w:rPr>
                <w:rFonts w:hint="eastAsia" w:cs="Times New Roman"/>
                <w:color w:val="auto"/>
                <w:sz w:val="24"/>
                <w:szCs w:val="24"/>
                <w:highlight w:val="none"/>
                <w:lang w:val="en-US" w:eastAsia="zh-CN"/>
              </w:rPr>
              <w:t>）</w:t>
            </w:r>
          </w:p>
          <w:tbl>
            <w:tblPr>
              <w:tblStyle w:val="5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7"/>
              <w:gridCol w:w="1375"/>
              <w:gridCol w:w="1119"/>
              <w:gridCol w:w="1012"/>
              <w:gridCol w:w="1077"/>
              <w:gridCol w:w="998"/>
              <w:gridCol w:w="998"/>
              <w:gridCol w:w="891"/>
            </w:tblGrid>
            <w:tr w14:paraId="4ABF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655" w:type="pct"/>
                  <w:noWrap w:val="0"/>
                  <w:vAlign w:val="center"/>
                </w:tcPr>
                <w:p w14:paraId="537D6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799" w:type="pct"/>
                  <w:noWrap w:val="0"/>
                  <w:vAlign w:val="center"/>
                </w:tcPr>
                <w:p w14:paraId="6080A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650" w:type="pct"/>
                  <w:noWrap w:val="0"/>
                  <w:vAlign w:val="center"/>
                </w:tcPr>
                <w:p w14:paraId="5AC000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588" w:type="pct"/>
                  <w:noWrap w:val="0"/>
                  <w:vAlign w:val="center"/>
                </w:tcPr>
                <w:p w14:paraId="3316F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BOD5</w:t>
                  </w:r>
                </w:p>
              </w:tc>
              <w:tc>
                <w:tcPr>
                  <w:tcW w:w="626" w:type="pct"/>
                  <w:noWrap w:val="0"/>
                  <w:vAlign w:val="center"/>
                </w:tcPr>
                <w:p w14:paraId="1CE7A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80" w:type="pct"/>
                  <w:noWrap w:val="0"/>
                  <w:vAlign w:val="center"/>
                </w:tcPr>
                <w:p w14:paraId="06C2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NH3-N</w:t>
                  </w:r>
                </w:p>
              </w:tc>
              <w:tc>
                <w:tcPr>
                  <w:tcW w:w="580" w:type="pct"/>
                  <w:noWrap w:val="0"/>
                  <w:vAlign w:val="center"/>
                </w:tcPr>
                <w:p w14:paraId="3FB458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518" w:type="pct"/>
                  <w:noWrap w:val="0"/>
                  <w:vAlign w:val="center"/>
                </w:tcPr>
                <w:p w14:paraId="7856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4563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655" w:type="pct"/>
                  <w:noWrap w:val="0"/>
                  <w:vAlign w:val="center"/>
                </w:tcPr>
                <w:p w14:paraId="557A9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799" w:type="pct"/>
                  <w:noWrap w:val="0"/>
                  <w:vAlign w:val="center"/>
                </w:tcPr>
                <w:p w14:paraId="105341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681B8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≤400</w:t>
                  </w:r>
                </w:p>
              </w:tc>
              <w:tc>
                <w:tcPr>
                  <w:tcW w:w="588" w:type="pct"/>
                  <w:noWrap w:val="0"/>
                  <w:vAlign w:val="center"/>
                </w:tcPr>
                <w:p w14:paraId="47DDB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≤220</w:t>
                  </w:r>
                </w:p>
              </w:tc>
              <w:tc>
                <w:tcPr>
                  <w:tcW w:w="626" w:type="pct"/>
                  <w:noWrap w:val="0"/>
                  <w:vAlign w:val="center"/>
                </w:tcPr>
                <w:p w14:paraId="09938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≤280</w:t>
                  </w:r>
                </w:p>
              </w:tc>
              <w:tc>
                <w:tcPr>
                  <w:tcW w:w="580" w:type="pct"/>
                  <w:noWrap w:val="0"/>
                  <w:vAlign w:val="center"/>
                </w:tcPr>
                <w:p w14:paraId="12C97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≤37</w:t>
                  </w:r>
                </w:p>
              </w:tc>
              <w:tc>
                <w:tcPr>
                  <w:tcW w:w="580" w:type="pct"/>
                  <w:noWrap w:val="0"/>
                  <w:vAlign w:val="center"/>
                </w:tcPr>
                <w:p w14:paraId="0EDFF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≤54</w:t>
                  </w:r>
                </w:p>
              </w:tc>
              <w:tc>
                <w:tcPr>
                  <w:tcW w:w="518" w:type="pct"/>
                  <w:noWrap w:val="0"/>
                  <w:vAlign w:val="center"/>
                </w:tcPr>
                <w:p w14:paraId="7E565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w:t>
                  </w:r>
                </w:p>
              </w:tc>
            </w:tr>
            <w:tr w14:paraId="27479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55" w:type="pct"/>
                  <w:noWrap w:val="0"/>
                  <w:vAlign w:val="center"/>
                </w:tcPr>
                <w:p w14:paraId="37B2B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799" w:type="pct"/>
                  <w:noWrap w:val="0"/>
                  <w:vAlign w:val="center"/>
                </w:tcPr>
                <w:p w14:paraId="366DA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106B0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588" w:type="pct"/>
                  <w:noWrap w:val="0"/>
                  <w:vAlign w:val="center"/>
                </w:tcPr>
                <w:p w14:paraId="730F3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626" w:type="pct"/>
                  <w:noWrap w:val="0"/>
                  <w:vAlign w:val="center"/>
                </w:tcPr>
                <w:p w14:paraId="0A11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80" w:type="pct"/>
                  <w:noWrap w:val="0"/>
                  <w:vAlign w:val="center"/>
                </w:tcPr>
                <w:p w14:paraId="4EF7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0" w:type="pct"/>
                  <w:noWrap w:val="0"/>
                  <w:vAlign w:val="center"/>
                </w:tcPr>
                <w:p w14:paraId="21ABA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518" w:type="pct"/>
                  <w:noWrap w:val="0"/>
                  <w:vAlign w:val="center"/>
                </w:tcPr>
                <w:p w14:paraId="0642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6E76E4FE">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B.</w:t>
            </w:r>
            <w:r>
              <w:rPr>
                <w:rFonts w:hint="default" w:ascii="Times New Roman" w:hAnsi="Times New Roman" w:eastAsia="宋体" w:cs="Times New Roman"/>
                <w:b w:val="0"/>
                <w:bCs w:val="0"/>
                <w:strike w:val="0"/>
                <w:dstrike w:val="0"/>
                <w:color w:val="auto"/>
                <w:sz w:val="24"/>
                <w:szCs w:val="24"/>
                <w:highlight w:val="none"/>
                <w:lang w:val="en-US" w:eastAsia="zh-CN"/>
              </w:rPr>
              <w:t>处理工艺</w:t>
            </w:r>
          </w:p>
          <w:p w14:paraId="6CAE1082">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采用</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A2/O生化反应工艺</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处理工艺，属于城镇污水处理厂通用工艺，污水处理工艺流程详见图</w:t>
            </w:r>
            <w:r>
              <w:rPr>
                <w:rFonts w:hint="eastAsia" w:ascii="Times New Roman" w:hAnsi="Times New Roman" w:eastAsia="宋体" w:cs="Times New Roman"/>
                <w:b w:val="0"/>
                <w:bCs w:val="0"/>
                <w:strike w:val="0"/>
                <w:dstrike w:val="0"/>
                <w:color w:val="auto"/>
                <w:sz w:val="24"/>
                <w:szCs w:val="24"/>
                <w:highlight w:val="none"/>
                <w:lang w:val="en-US" w:eastAsia="zh-CN"/>
              </w:rPr>
              <w:t>4.2-</w:t>
            </w:r>
            <w:r>
              <w:rPr>
                <w:rFonts w:hint="eastAsia" w:cs="Times New Roman"/>
                <w:b w:val="0"/>
                <w:bCs w:val="0"/>
                <w:strike w:val="0"/>
                <w:dstrike w:val="0"/>
                <w:color w:val="auto"/>
                <w:sz w:val="24"/>
                <w:szCs w:val="24"/>
                <w:highlight w:val="none"/>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62C5F2D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object>
                <v:shape id="_x0000_i1025" o:spt="75" type="#_x0000_t75" style="height:358.3pt;width:440.15pt;" o:ole="t" filled="f" o:preferrelative="t" stroked="f" coordsize="21600,21600">
                  <v:path/>
                  <v:fill on="f" focussize="0,0"/>
                  <v:stroke on="f"/>
                  <v:imagedata r:id="rId28" o:title=""/>
                  <o:lock v:ext="edit" aspectratio="t"/>
                  <w10:wrap type="none"/>
                  <w10:anchorlock/>
                </v:shape>
                <o:OLEObject Type="Embed" ProgID="Visio.Drawing.11" ShapeID="_x0000_i1025" DrawAspect="Content" ObjectID="_1468075725" r:id="rId27">
                  <o:LockedField>false</o:LockedField>
                </o:OLEObject>
              </w:object>
            </w:r>
          </w:p>
          <w:p w14:paraId="5FC7194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4.2-</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污水处理厂处理工艺流程图</w:t>
            </w:r>
          </w:p>
          <w:p w14:paraId="45C99D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②</w:t>
            </w:r>
            <w:r>
              <w:rPr>
                <w:rFonts w:hint="default" w:ascii="Times New Roman" w:hAnsi="Times New Roman" w:eastAsia="宋体" w:cs="Times New Roman"/>
                <w:b w:val="0"/>
                <w:bCs w:val="0"/>
                <w:strike w:val="0"/>
                <w:dstrike w:val="0"/>
                <w:color w:val="auto"/>
                <w:sz w:val="24"/>
                <w:szCs w:val="24"/>
                <w:highlight w:val="none"/>
                <w:lang w:val="en-US" w:eastAsia="zh-CN"/>
              </w:rPr>
              <w:t>依托可行性分析</w:t>
            </w:r>
          </w:p>
          <w:p w14:paraId="540C7C95">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lang w:val="en-US" w:eastAsia="zh-CN"/>
              </w:rPr>
              <w:t>接管可行性</w:t>
            </w:r>
          </w:p>
          <w:p w14:paraId="19856300">
            <w:pPr>
              <w:widowControl/>
              <w:spacing w:line="360" w:lineRule="auto"/>
              <w:ind w:firstLine="480" w:firstLineChars="200"/>
              <w:jc w:val="left"/>
              <w:rPr>
                <w:rFonts w:hint="default"/>
                <w:lang w:val="en-US" w:eastAsia="zh-CN"/>
              </w:rPr>
            </w:pPr>
            <w:r>
              <w:rPr>
                <w:rFonts w:hint="eastAsia" w:cs="Times New Roman"/>
                <w:strike w:val="0"/>
                <w:dstrike w:val="0"/>
                <w:color w:val="auto"/>
                <w:sz w:val="24"/>
                <w:lang w:val="en-US" w:eastAsia="zh-CN"/>
              </w:rPr>
              <w:t>根据调查，</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主要负责</w:t>
            </w:r>
            <w:r>
              <w:rPr>
                <w:rFonts w:hint="eastAsia" w:ascii="Times New Roman" w:hAnsi="Times New Roman" w:eastAsia="宋体" w:cs="Times New Roman"/>
                <w:strike w:val="0"/>
                <w:dstrike w:val="0"/>
                <w:color w:val="auto"/>
                <w:sz w:val="24"/>
                <w:lang w:val="en-US" w:eastAsia="zh-CN"/>
              </w:rPr>
              <w:t>城关区和洪宽区</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增加京东方和东旭光电项目</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的生活污水和工业污水。</w:t>
            </w:r>
            <w:r>
              <w:rPr>
                <w:rFonts w:hint="default" w:ascii="Times New Roman" w:hAnsi="Times New Roman" w:eastAsia="宋体" w:cs="Times New Roman"/>
                <w:strike w:val="0"/>
                <w:dstrike w:val="0"/>
                <w:color w:val="auto"/>
                <w:sz w:val="24"/>
                <w:lang w:val="en-US" w:eastAsia="zh-CN"/>
              </w:rPr>
              <w:t>本项目位于</w:t>
            </w:r>
            <w:r>
              <w:rPr>
                <w:rFonts w:hint="eastAsia" w:ascii="Times New Roman" w:hAnsi="Times New Roman" w:eastAsia="宋体" w:cs="Times New Roman"/>
                <w:strike w:val="0"/>
                <w:dstrike w:val="0"/>
                <w:color w:val="auto"/>
                <w:sz w:val="24"/>
                <w:lang w:val="en-US" w:eastAsia="zh-CN"/>
              </w:rPr>
              <w:t>福清市融侨经济技术开发区</w:t>
            </w:r>
            <w:r>
              <w:rPr>
                <w:rFonts w:hint="default" w:ascii="Times New Roman" w:hAnsi="Times New Roman" w:eastAsia="宋体" w:cs="Times New Roman"/>
                <w:strike w:val="0"/>
                <w:dstrike w:val="0"/>
                <w:color w:val="auto"/>
                <w:sz w:val="24"/>
                <w:lang w:val="en-US" w:eastAsia="zh-CN"/>
              </w:rPr>
              <w:t>，属于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服务范围内，根据现场勘查，目前</w:t>
            </w:r>
            <w:r>
              <w:rPr>
                <w:rFonts w:hint="eastAsia" w:ascii="Times New Roman" w:hAnsi="Times New Roman" w:eastAsia="宋体" w:cs="Times New Roman"/>
                <w:strike w:val="0"/>
                <w:dstrike w:val="0"/>
                <w:color w:val="auto"/>
                <w:sz w:val="24"/>
                <w:lang w:val="en-US" w:eastAsia="zh-CN"/>
              </w:rPr>
              <w:t>厂区周边的</w:t>
            </w:r>
            <w:r>
              <w:rPr>
                <w:rFonts w:hint="default" w:ascii="Times New Roman" w:hAnsi="Times New Roman" w:eastAsia="宋体" w:cs="Times New Roman"/>
                <w:strike w:val="0"/>
                <w:dstrike w:val="0"/>
                <w:color w:val="auto"/>
                <w:sz w:val="24"/>
                <w:lang w:val="en-US" w:eastAsia="zh-CN"/>
              </w:rPr>
              <w:t>市政污水管网已经铺设完成并已经投入正常运行，本项目厂区污水总排口已经接入</w:t>
            </w:r>
            <w:r>
              <w:rPr>
                <w:rFonts w:hint="eastAsia" w:ascii="Times New Roman" w:hAnsi="Times New Roman" w:eastAsia="宋体" w:cs="Times New Roman"/>
                <w:strike w:val="0"/>
                <w:dstrike w:val="0"/>
                <w:color w:val="auto"/>
                <w:sz w:val="24"/>
                <w:lang w:val="en-US" w:eastAsia="zh-CN"/>
              </w:rPr>
              <w:t>岁金</w:t>
            </w:r>
            <w:r>
              <w:rPr>
                <w:rFonts w:hint="eastAsia" w:cs="Times New Roman"/>
                <w:strike w:val="0"/>
                <w:dstrike w:val="0"/>
                <w:color w:val="auto"/>
                <w:sz w:val="24"/>
                <w:lang w:val="en-US" w:eastAsia="zh-CN"/>
              </w:rPr>
              <w:t>配套</w:t>
            </w:r>
            <w:r>
              <w:rPr>
                <w:rFonts w:hint="default" w:ascii="Times New Roman" w:hAnsi="Times New Roman" w:eastAsia="宋体" w:cs="Times New Roman"/>
                <w:strike w:val="0"/>
                <w:dstrike w:val="0"/>
                <w:color w:val="auto"/>
                <w:sz w:val="24"/>
                <w:lang w:val="en-US" w:eastAsia="zh-CN"/>
              </w:rPr>
              <w:t>市政污水管网</w:t>
            </w:r>
            <w:r>
              <w:rPr>
                <w:rFonts w:hint="eastAsia" w:ascii="Times New Roman" w:hAnsi="Times New Roman" w:eastAsia="宋体" w:cs="Times New Roman"/>
                <w:strike w:val="0"/>
                <w:dstrike w:val="0"/>
                <w:color w:val="auto"/>
                <w:sz w:val="24"/>
                <w:lang w:val="en-US" w:eastAsia="zh-CN"/>
              </w:rPr>
              <w:t>，项目污水排口位于厂区的西北侧区域</w:t>
            </w:r>
            <w:r>
              <w:rPr>
                <w:rFonts w:hint="default" w:ascii="Times New Roman" w:hAnsi="Times New Roman" w:eastAsia="宋体" w:cs="Times New Roman"/>
                <w:strike w:val="0"/>
                <w:dstrike w:val="0"/>
                <w:color w:val="auto"/>
                <w:sz w:val="24"/>
                <w:lang w:val="en-US" w:eastAsia="zh-CN"/>
              </w:rPr>
              <w:t>。</w:t>
            </w:r>
            <w:r>
              <w:rPr>
                <w:color w:val="auto"/>
              </w:rPr>
              <w:drawing>
                <wp:inline distT="0" distB="0" distL="114300" distR="114300">
                  <wp:extent cx="5427345" cy="3587115"/>
                  <wp:effectExtent l="0" t="0" r="1905" b="13335"/>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29"/>
                          <a:stretch>
                            <a:fillRect/>
                          </a:stretch>
                        </pic:blipFill>
                        <pic:spPr>
                          <a:xfrm>
                            <a:off x="0" y="0"/>
                            <a:ext cx="5427345" cy="3587115"/>
                          </a:xfrm>
                          <a:prstGeom prst="rect">
                            <a:avLst/>
                          </a:prstGeom>
                          <a:noFill/>
                          <a:ln>
                            <a:noFill/>
                          </a:ln>
                        </pic:spPr>
                      </pic:pic>
                    </a:graphicData>
                  </a:graphic>
                </wp:inline>
              </w:drawing>
            </w:r>
          </w:p>
          <w:p w14:paraId="296396FE">
            <w:pPr>
              <w:pStyle w:val="41"/>
              <w:keepNext w:val="0"/>
              <w:keepLines w:val="0"/>
              <w:pageBreakBefore w:val="0"/>
              <w:widowControl w:val="0"/>
              <w:kinsoku/>
              <w:wordWrap/>
              <w:overflowPunct/>
              <w:topLinePunct w:val="0"/>
              <w:autoSpaceDE w:val="0"/>
              <w:autoSpaceDN w:val="0"/>
              <w:bidi w:val="0"/>
              <w:adjustRightInd w:val="0"/>
              <w:snapToGrid w:val="0"/>
              <w:spacing w:before="0" w:beforeLines="0" w:after="163" w:afterLines="50"/>
              <w:ind w:left="0" w:leftChars="0" w:firstLine="0" w:firstLineChars="0"/>
              <w:jc w:val="center"/>
              <w:textAlignment w:val="baseline"/>
              <w:rPr>
                <w:rFonts w:hint="default" w:ascii="Times New Roman" w:hAnsi="Times New Roman" w:eastAsia="宋体" w:cs="Times New Roman"/>
                <w:b/>
                <w:bCs/>
                <w:strike w:val="0"/>
                <w:dstrike w:val="0"/>
                <w:color w:val="auto"/>
                <w:sz w:val="24"/>
                <w:szCs w:val="24"/>
                <w:lang w:val="en-US" w:eastAsia="zh-CN"/>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污水工程规划图</w:t>
            </w:r>
          </w:p>
          <w:p w14:paraId="2215E0B4">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B.</w:t>
            </w:r>
            <w:r>
              <w:rPr>
                <w:rFonts w:hint="default" w:ascii="Times New Roman" w:hAnsi="Times New Roman" w:eastAsia="宋体" w:cs="Times New Roman"/>
                <w:strike w:val="0"/>
                <w:dstrike w:val="0"/>
                <w:color w:val="auto"/>
                <w:sz w:val="24"/>
                <w:lang w:val="en-US" w:eastAsia="zh-CN"/>
              </w:rPr>
              <w:t>水质负荷</w:t>
            </w:r>
          </w:p>
          <w:p w14:paraId="7BFB5F66">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lang w:val="en-US" w:eastAsia="zh-CN"/>
              </w:rPr>
              <w:t>生活污水直接经化粪池预处理</w:t>
            </w:r>
            <w:r>
              <w:rPr>
                <w:rFonts w:hint="eastAsia" w:ascii="Times New Roman" w:hAnsi="Times New Roman" w:eastAsia="宋体" w:cs="Times New Roman"/>
                <w:strike w:val="0"/>
                <w:dstrike w:val="0"/>
                <w:color w:val="auto"/>
                <w:sz w:val="24"/>
                <w:lang w:val="en-US" w:eastAsia="zh-CN"/>
              </w:rPr>
              <w:t>直接依托厂区污水总排口</w:t>
            </w:r>
            <w:r>
              <w:rPr>
                <w:rFonts w:hint="default" w:ascii="Times New Roman" w:hAnsi="Times New Roman" w:eastAsia="宋体" w:cs="Times New Roman"/>
                <w:strike w:val="0"/>
                <w:dstrike w:val="0"/>
                <w:color w:val="auto"/>
                <w:sz w:val="24"/>
                <w:lang w:val="en-US" w:eastAsia="zh-CN"/>
              </w:rPr>
              <w:t>排入市政污水管网</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根据</w:t>
            </w:r>
            <w:r>
              <w:rPr>
                <w:rFonts w:hint="eastAsia" w:ascii="Times New Roman" w:hAnsi="Times New Roman" w:eastAsia="宋体" w:cs="Times New Roman"/>
                <w:strike w:val="0"/>
                <w:dstrike w:val="0"/>
                <w:color w:val="auto"/>
                <w:sz w:val="24"/>
                <w:lang w:val="en-US" w:eastAsia="zh-CN"/>
              </w:rPr>
              <w:t>前文</w:t>
            </w:r>
            <w:r>
              <w:rPr>
                <w:rFonts w:hint="default" w:ascii="Times New Roman" w:hAnsi="Times New Roman" w:eastAsia="宋体" w:cs="Times New Roman"/>
                <w:strike w:val="0"/>
                <w:dstrike w:val="0"/>
                <w:color w:val="auto"/>
                <w:sz w:val="24"/>
                <w:lang w:val="en-US" w:eastAsia="zh-CN"/>
              </w:rPr>
              <w:t>分析预测可知</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本项目生活污水</w:t>
            </w:r>
            <w:r>
              <w:rPr>
                <w:rFonts w:hint="eastAsia" w:ascii="Times New Roman" w:hAnsi="Times New Roman" w:eastAsia="宋体" w:cs="Times New Roman"/>
                <w:strike w:val="0"/>
                <w:dstrike w:val="0"/>
                <w:color w:val="auto"/>
                <w:sz w:val="24"/>
                <w:lang w:val="en-US" w:eastAsia="zh-CN"/>
              </w:rPr>
              <w:t>经化粪池预处理后</w:t>
            </w:r>
            <w:r>
              <w:rPr>
                <w:rFonts w:hint="default" w:ascii="Times New Roman" w:hAnsi="Times New Roman" w:eastAsia="宋体" w:cs="Times New Roman"/>
                <w:strike w:val="0"/>
                <w:dstrike w:val="0"/>
                <w:color w:val="auto"/>
                <w:sz w:val="24"/>
                <w:lang w:val="en-US" w:eastAsia="zh-CN"/>
              </w:rPr>
              <w:t>主要污染物排放浓度均能满足《污水综合排放标准》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GB8978-1996</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表4三级标准及《污水排入城镇下水道水质标准》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GB/T 31962-2015</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表1中B级标准限值</w:t>
            </w:r>
            <w:r>
              <w:rPr>
                <w:rFonts w:hint="eastAsia" w:ascii="Times New Roman" w:hAnsi="Times New Roman" w:eastAsia="宋体" w:cs="Times New Roman"/>
                <w:strike w:val="0"/>
                <w:dstrike w:val="0"/>
                <w:color w:val="auto"/>
                <w:sz w:val="24"/>
                <w:lang w:val="en-US" w:eastAsia="zh-CN"/>
              </w:rPr>
              <w:t>，也可以符合污水处理厂进水水质标准。</w:t>
            </w:r>
            <w:r>
              <w:rPr>
                <w:rFonts w:hint="default" w:ascii="Times New Roman" w:hAnsi="Times New Roman" w:eastAsia="宋体" w:cs="Times New Roman"/>
                <w:strike w:val="0"/>
                <w:dstrike w:val="0"/>
                <w:color w:val="auto"/>
                <w:sz w:val="24"/>
                <w:lang w:val="en-US" w:eastAsia="zh-CN"/>
              </w:rPr>
              <w:t>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经处理达标后，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w:t>
            </w:r>
            <w:r>
              <w:rPr>
                <w:rFonts w:hint="eastAsia" w:ascii="Times New Roman" w:hAnsi="Times New Roman" w:eastAsia="宋体" w:cs="Times New Roman"/>
                <w:strike w:val="0"/>
                <w:dstrike w:val="0"/>
                <w:color w:val="auto"/>
                <w:sz w:val="24"/>
                <w:lang w:val="en-US" w:eastAsia="zh-CN"/>
              </w:rPr>
              <w:t>污水</w:t>
            </w:r>
            <w:r>
              <w:rPr>
                <w:rFonts w:hint="default" w:ascii="Times New Roman" w:hAnsi="Times New Roman" w:eastAsia="宋体" w:cs="Times New Roman"/>
                <w:strike w:val="0"/>
                <w:dstrike w:val="0"/>
                <w:color w:val="auto"/>
                <w:sz w:val="24"/>
                <w:lang w:val="en-US" w:eastAsia="zh-CN"/>
              </w:rPr>
              <w:t>水质，不会对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水质负荷造成冲击。</w:t>
            </w:r>
          </w:p>
          <w:p w14:paraId="2EACF1A2">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C.水量负荷</w:t>
            </w:r>
          </w:p>
          <w:p w14:paraId="63FC75E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根据调查，目前福清</w:t>
            </w:r>
            <w:r>
              <w:rPr>
                <w:rFonts w:hint="default" w:ascii="Times New Roman" w:hAnsi="Times New Roman" w:eastAsia="宋体" w:cs="Times New Roman"/>
                <w:strike w:val="0"/>
                <w:dstrike w:val="0"/>
                <w:color w:val="auto"/>
                <w:sz w:val="24"/>
                <w:lang w:val="en-US" w:eastAsia="zh-CN"/>
              </w:rPr>
              <w:t>市融元污水处理厂厂内提标及改造工程已经完成并正常使用，平均处理规模约为11.85万m³/d，剩余处理能力1</w:t>
            </w:r>
            <w:r>
              <w:rPr>
                <w:rFonts w:hint="eastAsia" w:cs="Times New Roman"/>
                <w:strike w:val="0"/>
                <w:dstrike w:val="0"/>
                <w:color w:val="auto"/>
                <w:sz w:val="24"/>
                <w:lang w:val="en-US" w:eastAsia="zh-CN"/>
              </w:rPr>
              <w:t>0</w:t>
            </w:r>
            <w:r>
              <w:rPr>
                <w:rFonts w:hint="default" w:ascii="Times New Roman" w:hAnsi="Times New Roman" w:eastAsia="宋体" w:cs="Times New Roman"/>
                <w:strike w:val="0"/>
                <w:dstrike w:val="0"/>
                <w:color w:val="auto"/>
                <w:sz w:val="24"/>
                <w:lang w:val="en-US" w:eastAsia="zh-CN"/>
              </w:rPr>
              <w:t>00m³/d。本项目生活污水排放量</w:t>
            </w:r>
            <w:r>
              <w:rPr>
                <w:rFonts w:hint="eastAsia" w:ascii="Times New Roman" w:hAnsi="Times New Roman" w:eastAsia="宋体" w:cs="Times New Roman"/>
                <w:strike w:val="0"/>
                <w:dstrike w:val="0"/>
                <w:color w:val="auto"/>
                <w:sz w:val="24"/>
                <w:lang w:val="en-US" w:eastAsia="zh-CN"/>
              </w:rPr>
              <w:t>1.2</w:t>
            </w:r>
            <w:r>
              <w:rPr>
                <w:rFonts w:hint="default" w:ascii="Times New Roman" w:hAnsi="Times New Roman" w:eastAsia="宋体" w:cs="Times New Roman"/>
                <w:strike w:val="0"/>
                <w:dstrike w:val="0"/>
                <w:color w:val="auto"/>
                <w:sz w:val="24"/>
                <w:lang w:val="en-US" w:eastAsia="zh-CN"/>
              </w:rPr>
              <w:t>t/d，仅占福清市融元污水处理厂剩余处理规模的0.0</w:t>
            </w:r>
            <w:r>
              <w:rPr>
                <w:rFonts w:hint="eastAsia" w:ascii="Times New Roman" w:hAnsi="Times New Roman" w:eastAsia="宋体" w:cs="Times New Roman"/>
                <w:strike w:val="0"/>
                <w:dstrike w:val="0"/>
                <w:color w:val="auto"/>
                <w:sz w:val="24"/>
                <w:lang w:val="en-US" w:eastAsia="zh-CN"/>
              </w:rPr>
              <w:t>8</w:t>
            </w:r>
            <w:r>
              <w:rPr>
                <w:rFonts w:hint="default" w:ascii="Times New Roman" w:hAnsi="Times New Roman" w:eastAsia="宋体"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因此，从处理能力及处理工艺分析，</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可接纳项目废水排放量，不会对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水量</w:t>
            </w:r>
            <w:r>
              <w:rPr>
                <w:rFonts w:hint="eastAsia" w:ascii="Times New Roman" w:hAnsi="Times New Roman" w:eastAsia="宋体" w:cs="Times New Roman"/>
                <w:strike w:val="0"/>
                <w:dstrike w:val="0"/>
                <w:color w:val="auto"/>
                <w:sz w:val="24"/>
                <w:lang w:val="en-US" w:eastAsia="zh-CN"/>
              </w:rPr>
              <w:t>、水质</w:t>
            </w:r>
            <w:r>
              <w:rPr>
                <w:rFonts w:hint="default" w:ascii="Times New Roman" w:hAnsi="Times New Roman" w:eastAsia="宋体" w:cs="Times New Roman"/>
                <w:strike w:val="0"/>
                <w:dstrike w:val="0"/>
                <w:color w:val="auto"/>
                <w:sz w:val="24"/>
                <w:lang w:val="en-US" w:eastAsia="zh-CN"/>
              </w:rPr>
              <w:t>负荷造成冲击。</w:t>
            </w:r>
          </w:p>
          <w:p w14:paraId="33170766">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55" w:name="_Toc5960"/>
            <w:bookmarkStart w:id="156" w:name="_Toc27291"/>
            <w:r>
              <w:rPr>
                <w:rFonts w:hint="eastAsia" w:ascii="Times New Roman" w:hAnsi="Times New Roman" w:eastAsia="宋体" w:cs="Times New Roman"/>
                <w:color w:val="auto"/>
                <w:sz w:val="28"/>
                <w:szCs w:val="28"/>
                <w:u w:val="none"/>
                <w:lang w:val="en-US" w:eastAsia="zh-CN"/>
              </w:rPr>
              <w:t>4.3噪声环境影响分析和污染防治措施</w:t>
            </w:r>
            <w:bookmarkEnd w:id="155"/>
            <w:bookmarkEnd w:id="156"/>
          </w:p>
          <w:p w14:paraId="78F6E39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57" w:name="_Toc20783"/>
            <w:bookmarkStart w:id="158" w:name="_Toc14260"/>
            <w:r>
              <w:rPr>
                <w:rFonts w:hint="default"/>
                <w:b/>
                <w:color w:val="262626"/>
                <w:kern w:val="0"/>
                <w:sz w:val="24"/>
                <w:lang w:val="en-US" w:eastAsia="zh-CN"/>
              </w:rPr>
              <w:t>4.3.1噪声源强分析</w:t>
            </w:r>
            <w:bookmarkEnd w:id="157"/>
            <w:bookmarkEnd w:id="158"/>
          </w:p>
          <w:p w14:paraId="5EE9123B">
            <w:pPr>
              <w:pStyle w:val="57"/>
              <w:spacing w:line="360" w:lineRule="auto"/>
              <w:ind w:firstLine="480"/>
              <w:rPr>
                <w:rFonts w:ascii="Times New Roman" w:hAnsi="Times New Roman"/>
                <w:bCs w:val="0"/>
                <w:color w:val="000000"/>
                <w:szCs w:val="24"/>
              </w:rPr>
            </w:pPr>
            <w:r>
              <w:rPr>
                <w:rFonts w:ascii="Times New Roman" w:hAnsi="Times New Roman"/>
                <w:bCs w:val="0"/>
                <w:color w:val="000000"/>
                <w:szCs w:val="24"/>
              </w:rPr>
              <w:t>项目的噪声源主要为项目运营时机械设备运转产生的噪声，其噪声级及治理措施见表4.3-1。</w:t>
            </w:r>
          </w:p>
          <w:p w14:paraId="2D587277">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 噪声源强调查清单（室内声源）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
              <w:gridCol w:w="507"/>
              <w:gridCol w:w="438"/>
              <w:gridCol w:w="525"/>
              <w:gridCol w:w="675"/>
              <w:gridCol w:w="512"/>
              <w:gridCol w:w="475"/>
              <w:gridCol w:w="513"/>
              <w:gridCol w:w="525"/>
              <w:gridCol w:w="437"/>
              <w:gridCol w:w="450"/>
              <w:gridCol w:w="650"/>
              <w:gridCol w:w="500"/>
              <w:gridCol w:w="738"/>
              <w:gridCol w:w="787"/>
              <w:gridCol w:w="547"/>
            </w:tblGrid>
            <w:tr w14:paraId="4148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178" w:type="pct"/>
                  <w:vMerge w:val="restart"/>
                  <w:noWrap w:val="0"/>
                  <w:vAlign w:val="center"/>
                </w:tcPr>
                <w:p w14:paraId="62FA156E">
                  <w:pPr>
                    <w:jc w:val="center"/>
                    <w:rPr>
                      <w:rFonts w:hint="eastAsia"/>
                      <w:szCs w:val="21"/>
                    </w:rPr>
                  </w:pPr>
                  <w:r>
                    <w:rPr>
                      <w:rFonts w:hint="eastAsia"/>
                      <w:szCs w:val="21"/>
                    </w:rPr>
                    <w:t>序号</w:t>
                  </w:r>
                </w:p>
              </w:tc>
              <w:tc>
                <w:tcPr>
                  <w:tcW w:w="295" w:type="pct"/>
                  <w:vMerge w:val="restart"/>
                  <w:noWrap w:val="0"/>
                  <w:vAlign w:val="center"/>
                </w:tcPr>
                <w:p w14:paraId="1E78D581">
                  <w:pPr>
                    <w:jc w:val="center"/>
                    <w:rPr>
                      <w:rFonts w:hint="eastAsia"/>
                      <w:szCs w:val="21"/>
                    </w:rPr>
                  </w:pPr>
                  <w:r>
                    <w:rPr>
                      <w:rFonts w:hint="eastAsia"/>
                      <w:szCs w:val="21"/>
                    </w:rPr>
                    <w:t>建筑物名称</w:t>
                  </w:r>
                </w:p>
              </w:tc>
              <w:tc>
                <w:tcPr>
                  <w:tcW w:w="255" w:type="pct"/>
                  <w:vMerge w:val="restart"/>
                  <w:noWrap w:val="0"/>
                  <w:vAlign w:val="center"/>
                </w:tcPr>
                <w:p w14:paraId="7874F41E">
                  <w:pPr>
                    <w:jc w:val="center"/>
                    <w:rPr>
                      <w:rFonts w:hint="eastAsia"/>
                      <w:szCs w:val="21"/>
                    </w:rPr>
                  </w:pPr>
                  <w:r>
                    <w:rPr>
                      <w:rFonts w:hint="eastAsia"/>
                      <w:szCs w:val="21"/>
                    </w:rPr>
                    <w:t>声源名称</w:t>
                  </w:r>
                </w:p>
              </w:tc>
              <w:tc>
                <w:tcPr>
                  <w:tcW w:w="305" w:type="pct"/>
                  <w:vMerge w:val="restart"/>
                  <w:noWrap w:val="0"/>
                  <w:vAlign w:val="center"/>
                </w:tcPr>
                <w:p w14:paraId="2ED653C8">
                  <w:pPr>
                    <w:jc w:val="center"/>
                    <w:rPr>
                      <w:rFonts w:hint="eastAsia"/>
                      <w:szCs w:val="21"/>
                    </w:rPr>
                  </w:pPr>
                  <w:r>
                    <w:rPr>
                      <w:rFonts w:hint="eastAsia"/>
                      <w:szCs w:val="21"/>
                    </w:rPr>
                    <w:t>台/套数</w:t>
                  </w:r>
                </w:p>
              </w:tc>
              <w:tc>
                <w:tcPr>
                  <w:tcW w:w="393" w:type="pct"/>
                  <w:vMerge w:val="restart"/>
                  <w:noWrap w:val="0"/>
                  <w:vAlign w:val="center"/>
                </w:tcPr>
                <w:p w14:paraId="55821A3C">
                  <w:pPr>
                    <w:jc w:val="center"/>
                    <w:rPr>
                      <w:rFonts w:hint="eastAsia"/>
                      <w:szCs w:val="21"/>
                    </w:rPr>
                  </w:pPr>
                  <w:r>
                    <w:rPr>
                      <w:rFonts w:hint="eastAsia"/>
                      <w:szCs w:val="21"/>
                    </w:rPr>
                    <w:t>声功率级</w:t>
                  </w:r>
                </w:p>
                <w:p w14:paraId="5BF14801">
                  <w:pPr>
                    <w:jc w:val="center"/>
                    <w:rPr>
                      <w:rFonts w:hint="eastAsia"/>
                      <w:szCs w:val="21"/>
                    </w:rPr>
                  </w:pPr>
                  <w:r>
                    <w:rPr>
                      <w:rFonts w:hint="eastAsia"/>
                      <w:szCs w:val="21"/>
                    </w:rPr>
                    <w:t>/dB(A)</w:t>
                  </w:r>
                </w:p>
              </w:tc>
              <w:tc>
                <w:tcPr>
                  <w:tcW w:w="298" w:type="pct"/>
                  <w:vMerge w:val="restart"/>
                  <w:noWrap w:val="0"/>
                  <w:vAlign w:val="center"/>
                </w:tcPr>
                <w:p w14:paraId="7903167C">
                  <w:pPr>
                    <w:jc w:val="center"/>
                    <w:rPr>
                      <w:rFonts w:hint="eastAsia"/>
                      <w:szCs w:val="21"/>
                    </w:rPr>
                  </w:pPr>
                  <w:r>
                    <w:rPr>
                      <w:rFonts w:hint="eastAsia"/>
                      <w:szCs w:val="21"/>
                    </w:rPr>
                    <w:t>声源控制措施</w:t>
                  </w:r>
                </w:p>
              </w:tc>
              <w:tc>
                <w:tcPr>
                  <w:tcW w:w="881" w:type="pct"/>
                  <w:gridSpan w:val="3"/>
                  <w:noWrap w:val="0"/>
                  <w:vAlign w:val="center"/>
                </w:tcPr>
                <w:p w14:paraId="51CBB0C0">
                  <w:pPr>
                    <w:jc w:val="center"/>
                    <w:rPr>
                      <w:rFonts w:hint="eastAsia"/>
                      <w:szCs w:val="21"/>
                    </w:rPr>
                  </w:pPr>
                  <w:r>
                    <w:rPr>
                      <w:rFonts w:hint="eastAsia"/>
                      <w:szCs w:val="21"/>
                    </w:rPr>
                    <w:t>空间相对位置/m</w:t>
                  </w:r>
                </w:p>
              </w:tc>
              <w:tc>
                <w:tcPr>
                  <w:tcW w:w="516" w:type="pct"/>
                  <w:gridSpan w:val="2"/>
                  <w:vMerge w:val="restart"/>
                  <w:noWrap w:val="0"/>
                  <w:vAlign w:val="center"/>
                </w:tcPr>
                <w:p w14:paraId="369DC476">
                  <w:pPr>
                    <w:jc w:val="center"/>
                    <w:rPr>
                      <w:rFonts w:hint="eastAsia"/>
                      <w:szCs w:val="21"/>
                    </w:rPr>
                  </w:pPr>
                  <w:r>
                    <w:rPr>
                      <w:rFonts w:hint="eastAsia"/>
                      <w:szCs w:val="21"/>
                    </w:rPr>
                    <w:t>距室内边界距离/m</w:t>
                  </w:r>
                </w:p>
              </w:tc>
              <w:tc>
                <w:tcPr>
                  <w:tcW w:w="378" w:type="pct"/>
                  <w:vMerge w:val="restart"/>
                  <w:noWrap w:val="0"/>
                  <w:vAlign w:val="center"/>
                </w:tcPr>
                <w:p w14:paraId="3BD05F07">
                  <w:pPr>
                    <w:jc w:val="center"/>
                    <w:rPr>
                      <w:rFonts w:hint="eastAsia"/>
                      <w:szCs w:val="21"/>
                    </w:rPr>
                  </w:pPr>
                  <w:r>
                    <w:rPr>
                      <w:rFonts w:hint="eastAsia"/>
                      <w:szCs w:val="21"/>
                    </w:rPr>
                    <w:t>室内边界声级</w:t>
                  </w:r>
                </w:p>
                <w:p w14:paraId="01D05D15">
                  <w:pPr>
                    <w:jc w:val="center"/>
                    <w:rPr>
                      <w:rFonts w:hint="eastAsia"/>
                      <w:szCs w:val="21"/>
                    </w:rPr>
                  </w:pPr>
                  <w:r>
                    <w:rPr>
                      <w:rFonts w:hint="eastAsia"/>
                      <w:szCs w:val="21"/>
                    </w:rPr>
                    <w:t>/dB(A)</w:t>
                  </w:r>
                </w:p>
              </w:tc>
              <w:tc>
                <w:tcPr>
                  <w:tcW w:w="291" w:type="pct"/>
                  <w:vMerge w:val="restart"/>
                  <w:noWrap w:val="0"/>
                  <w:vAlign w:val="center"/>
                </w:tcPr>
                <w:p w14:paraId="3431DE61">
                  <w:pPr>
                    <w:jc w:val="center"/>
                    <w:rPr>
                      <w:rFonts w:hint="eastAsia"/>
                      <w:szCs w:val="21"/>
                    </w:rPr>
                  </w:pPr>
                  <w:r>
                    <w:rPr>
                      <w:rFonts w:hint="eastAsia"/>
                      <w:szCs w:val="21"/>
                    </w:rPr>
                    <w:t>运行时段</w:t>
                  </w:r>
                </w:p>
              </w:tc>
              <w:tc>
                <w:tcPr>
                  <w:tcW w:w="429" w:type="pct"/>
                  <w:vMerge w:val="restart"/>
                  <w:noWrap w:val="0"/>
                  <w:vAlign w:val="center"/>
                </w:tcPr>
                <w:p w14:paraId="12F67225">
                  <w:pPr>
                    <w:jc w:val="center"/>
                    <w:rPr>
                      <w:rFonts w:hint="eastAsia"/>
                      <w:szCs w:val="21"/>
                    </w:rPr>
                  </w:pPr>
                  <w:r>
                    <w:rPr>
                      <w:rFonts w:hint="eastAsia"/>
                      <w:szCs w:val="21"/>
                    </w:rPr>
                    <w:t>建筑物插入损失/dB(A)</w:t>
                  </w:r>
                </w:p>
              </w:tc>
              <w:tc>
                <w:tcPr>
                  <w:tcW w:w="776" w:type="pct"/>
                  <w:gridSpan w:val="2"/>
                  <w:noWrap w:val="0"/>
                  <w:vAlign w:val="center"/>
                </w:tcPr>
                <w:p w14:paraId="1123375D">
                  <w:pPr>
                    <w:jc w:val="center"/>
                    <w:rPr>
                      <w:rFonts w:hint="eastAsia"/>
                      <w:szCs w:val="21"/>
                    </w:rPr>
                  </w:pPr>
                  <w:r>
                    <w:rPr>
                      <w:rFonts w:hint="eastAsia"/>
                      <w:szCs w:val="21"/>
                    </w:rPr>
                    <w:t>建筑物外噪声</w:t>
                  </w:r>
                </w:p>
              </w:tc>
            </w:tr>
            <w:tr w14:paraId="0613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 w:hRule="atLeast"/>
                <w:jc w:val="center"/>
              </w:trPr>
              <w:tc>
                <w:tcPr>
                  <w:tcW w:w="178" w:type="pct"/>
                  <w:vMerge w:val="continue"/>
                  <w:noWrap w:val="0"/>
                  <w:vAlign w:val="center"/>
                </w:tcPr>
                <w:p w14:paraId="2A56588D">
                  <w:pPr>
                    <w:jc w:val="center"/>
                    <w:rPr>
                      <w:rFonts w:hint="eastAsia"/>
                      <w:szCs w:val="21"/>
                    </w:rPr>
                  </w:pPr>
                </w:p>
              </w:tc>
              <w:tc>
                <w:tcPr>
                  <w:tcW w:w="295" w:type="pct"/>
                  <w:vMerge w:val="continue"/>
                  <w:noWrap w:val="0"/>
                  <w:vAlign w:val="center"/>
                </w:tcPr>
                <w:p w14:paraId="71B354A8">
                  <w:pPr>
                    <w:jc w:val="center"/>
                    <w:rPr>
                      <w:rFonts w:hint="eastAsia"/>
                      <w:szCs w:val="21"/>
                    </w:rPr>
                  </w:pPr>
                </w:p>
              </w:tc>
              <w:tc>
                <w:tcPr>
                  <w:tcW w:w="255" w:type="pct"/>
                  <w:vMerge w:val="continue"/>
                  <w:noWrap w:val="0"/>
                  <w:vAlign w:val="center"/>
                </w:tcPr>
                <w:p w14:paraId="26391101">
                  <w:pPr>
                    <w:jc w:val="center"/>
                    <w:rPr>
                      <w:rFonts w:hint="eastAsia"/>
                      <w:szCs w:val="21"/>
                    </w:rPr>
                  </w:pPr>
                </w:p>
              </w:tc>
              <w:tc>
                <w:tcPr>
                  <w:tcW w:w="305" w:type="pct"/>
                  <w:vMerge w:val="continue"/>
                  <w:noWrap w:val="0"/>
                  <w:vAlign w:val="center"/>
                </w:tcPr>
                <w:p w14:paraId="4EC4C098">
                  <w:pPr>
                    <w:jc w:val="center"/>
                    <w:rPr>
                      <w:rFonts w:hint="eastAsia"/>
                      <w:szCs w:val="21"/>
                    </w:rPr>
                  </w:pPr>
                </w:p>
              </w:tc>
              <w:tc>
                <w:tcPr>
                  <w:tcW w:w="393" w:type="pct"/>
                  <w:vMerge w:val="continue"/>
                  <w:noWrap w:val="0"/>
                  <w:vAlign w:val="center"/>
                </w:tcPr>
                <w:p w14:paraId="72455F16">
                  <w:pPr>
                    <w:jc w:val="center"/>
                    <w:rPr>
                      <w:rFonts w:hint="eastAsia"/>
                      <w:szCs w:val="21"/>
                    </w:rPr>
                  </w:pPr>
                </w:p>
              </w:tc>
              <w:tc>
                <w:tcPr>
                  <w:tcW w:w="298" w:type="pct"/>
                  <w:vMerge w:val="continue"/>
                  <w:noWrap w:val="0"/>
                  <w:vAlign w:val="center"/>
                </w:tcPr>
                <w:p w14:paraId="07BA0A6E">
                  <w:pPr>
                    <w:jc w:val="center"/>
                    <w:rPr>
                      <w:rFonts w:hint="eastAsia"/>
                      <w:szCs w:val="21"/>
                    </w:rPr>
                  </w:pPr>
                </w:p>
              </w:tc>
              <w:tc>
                <w:tcPr>
                  <w:tcW w:w="276" w:type="pct"/>
                  <w:noWrap w:val="0"/>
                  <w:vAlign w:val="center"/>
                </w:tcPr>
                <w:p w14:paraId="7A391080">
                  <w:pPr>
                    <w:jc w:val="center"/>
                    <w:rPr>
                      <w:rFonts w:hint="eastAsia"/>
                      <w:szCs w:val="21"/>
                    </w:rPr>
                  </w:pPr>
                  <w:r>
                    <w:rPr>
                      <w:rFonts w:hint="eastAsia"/>
                      <w:szCs w:val="21"/>
                    </w:rPr>
                    <w:t>X</w:t>
                  </w:r>
                </w:p>
              </w:tc>
              <w:tc>
                <w:tcPr>
                  <w:tcW w:w="298" w:type="pct"/>
                  <w:noWrap w:val="0"/>
                  <w:vAlign w:val="center"/>
                </w:tcPr>
                <w:p w14:paraId="6A09235D">
                  <w:pPr>
                    <w:jc w:val="center"/>
                    <w:rPr>
                      <w:rFonts w:hint="eastAsia"/>
                      <w:szCs w:val="21"/>
                    </w:rPr>
                  </w:pPr>
                  <w:r>
                    <w:rPr>
                      <w:rFonts w:hint="eastAsia"/>
                      <w:szCs w:val="21"/>
                    </w:rPr>
                    <w:t>Y</w:t>
                  </w:r>
                </w:p>
              </w:tc>
              <w:tc>
                <w:tcPr>
                  <w:tcW w:w="305" w:type="pct"/>
                  <w:noWrap w:val="0"/>
                  <w:vAlign w:val="center"/>
                </w:tcPr>
                <w:p w14:paraId="31AD39D7">
                  <w:pPr>
                    <w:jc w:val="center"/>
                    <w:rPr>
                      <w:rFonts w:hint="eastAsia"/>
                      <w:szCs w:val="21"/>
                    </w:rPr>
                  </w:pPr>
                  <w:r>
                    <w:rPr>
                      <w:rFonts w:hint="eastAsia"/>
                      <w:szCs w:val="21"/>
                    </w:rPr>
                    <w:t>Z</w:t>
                  </w:r>
                </w:p>
              </w:tc>
              <w:tc>
                <w:tcPr>
                  <w:tcW w:w="516" w:type="pct"/>
                  <w:gridSpan w:val="2"/>
                  <w:vMerge w:val="continue"/>
                  <w:noWrap w:val="0"/>
                  <w:vAlign w:val="center"/>
                </w:tcPr>
                <w:p w14:paraId="62F09364">
                  <w:pPr>
                    <w:jc w:val="center"/>
                    <w:rPr>
                      <w:rFonts w:hint="eastAsia"/>
                      <w:szCs w:val="21"/>
                    </w:rPr>
                  </w:pPr>
                </w:p>
              </w:tc>
              <w:tc>
                <w:tcPr>
                  <w:tcW w:w="378" w:type="pct"/>
                  <w:vMerge w:val="continue"/>
                  <w:noWrap w:val="0"/>
                  <w:vAlign w:val="center"/>
                </w:tcPr>
                <w:p w14:paraId="013391F1">
                  <w:pPr>
                    <w:jc w:val="center"/>
                    <w:rPr>
                      <w:rFonts w:hint="eastAsia"/>
                      <w:szCs w:val="21"/>
                    </w:rPr>
                  </w:pPr>
                </w:p>
              </w:tc>
              <w:tc>
                <w:tcPr>
                  <w:tcW w:w="291" w:type="pct"/>
                  <w:vMerge w:val="continue"/>
                  <w:noWrap w:val="0"/>
                  <w:vAlign w:val="center"/>
                </w:tcPr>
                <w:p w14:paraId="3A1B1726">
                  <w:pPr>
                    <w:jc w:val="center"/>
                    <w:rPr>
                      <w:rFonts w:hint="eastAsia"/>
                      <w:szCs w:val="21"/>
                    </w:rPr>
                  </w:pPr>
                </w:p>
              </w:tc>
              <w:tc>
                <w:tcPr>
                  <w:tcW w:w="429" w:type="pct"/>
                  <w:vMerge w:val="continue"/>
                  <w:noWrap w:val="0"/>
                  <w:vAlign w:val="center"/>
                </w:tcPr>
                <w:p w14:paraId="74132505">
                  <w:pPr>
                    <w:jc w:val="center"/>
                    <w:rPr>
                      <w:rFonts w:hint="eastAsia"/>
                      <w:szCs w:val="21"/>
                    </w:rPr>
                  </w:pPr>
                </w:p>
              </w:tc>
              <w:tc>
                <w:tcPr>
                  <w:tcW w:w="458" w:type="pct"/>
                  <w:noWrap w:val="0"/>
                  <w:vAlign w:val="center"/>
                </w:tcPr>
                <w:p w14:paraId="5669A91D">
                  <w:pPr>
                    <w:jc w:val="center"/>
                    <w:rPr>
                      <w:rFonts w:hint="eastAsia"/>
                      <w:szCs w:val="21"/>
                    </w:rPr>
                  </w:pPr>
                  <w:r>
                    <w:rPr>
                      <w:rFonts w:hint="eastAsia"/>
                      <w:szCs w:val="21"/>
                    </w:rPr>
                    <w:t>声压级</w:t>
                  </w:r>
                </w:p>
                <w:p w14:paraId="41B58377">
                  <w:pPr>
                    <w:jc w:val="center"/>
                    <w:rPr>
                      <w:rFonts w:hint="eastAsia"/>
                      <w:szCs w:val="21"/>
                    </w:rPr>
                  </w:pPr>
                  <w:r>
                    <w:rPr>
                      <w:rFonts w:hint="eastAsia"/>
                      <w:szCs w:val="21"/>
                    </w:rPr>
                    <w:t>/dB(A)</w:t>
                  </w:r>
                </w:p>
              </w:tc>
              <w:tc>
                <w:tcPr>
                  <w:tcW w:w="318" w:type="pct"/>
                  <w:noWrap w:val="0"/>
                  <w:vAlign w:val="center"/>
                </w:tcPr>
                <w:p w14:paraId="121D7657">
                  <w:pPr>
                    <w:jc w:val="center"/>
                    <w:rPr>
                      <w:rFonts w:hint="eastAsia"/>
                      <w:szCs w:val="21"/>
                    </w:rPr>
                  </w:pPr>
                  <w:r>
                    <w:rPr>
                      <w:rFonts w:hint="eastAsia"/>
                      <w:szCs w:val="21"/>
                    </w:rPr>
                    <w:t>建筑物外距离</w:t>
                  </w:r>
                </w:p>
              </w:tc>
            </w:tr>
            <w:tr w14:paraId="05B4B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restart"/>
                  <w:noWrap w:val="0"/>
                  <w:vAlign w:val="center"/>
                </w:tcPr>
                <w:p w14:paraId="20900564">
                  <w:pPr>
                    <w:jc w:val="center"/>
                    <w:rPr>
                      <w:rFonts w:hint="eastAsia"/>
                      <w:szCs w:val="21"/>
                    </w:rPr>
                  </w:pPr>
                  <w:r>
                    <w:rPr>
                      <w:rFonts w:hint="eastAsia"/>
                      <w:szCs w:val="21"/>
                    </w:rPr>
                    <w:t>1</w:t>
                  </w:r>
                </w:p>
              </w:tc>
              <w:tc>
                <w:tcPr>
                  <w:tcW w:w="295" w:type="pct"/>
                  <w:vMerge w:val="restart"/>
                  <w:noWrap w:val="0"/>
                  <w:vAlign w:val="center"/>
                </w:tcPr>
                <w:p w14:paraId="0BF64E75">
                  <w:pPr>
                    <w:jc w:val="center"/>
                    <w:rPr>
                      <w:rFonts w:hint="default" w:eastAsia="宋体"/>
                      <w:szCs w:val="21"/>
                      <w:lang w:val="en-US" w:eastAsia="zh-CN"/>
                    </w:rPr>
                  </w:pPr>
                  <w:r>
                    <w:rPr>
                      <w:rFonts w:hint="eastAsia"/>
                      <w:szCs w:val="21"/>
                      <w:lang w:val="en-US" w:eastAsia="zh-CN"/>
                    </w:rPr>
                    <w:t>一层厂房内</w:t>
                  </w:r>
                </w:p>
              </w:tc>
              <w:tc>
                <w:tcPr>
                  <w:tcW w:w="255" w:type="pct"/>
                  <w:vMerge w:val="restart"/>
                  <w:noWrap w:val="0"/>
                  <w:vAlign w:val="center"/>
                </w:tcPr>
                <w:p w14:paraId="2A13FBC5">
                  <w:pPr>
                    <w:jc w:val="center"/>
                    <w:rPr>
                      <w:rFonts w:hint="default" w:ascii="Times New Roman" w:hAnsi="Times New Roman" w:eastAsia="宋体" w:cs="Times New Roman"/>
                      <w:szCs w:val="21"/>
                      <w:lang w:val="en-US" w:eastAsia="zh-CN"/>
                    </w:rPr>
                  </w:pPr>
                  <w:r>
                    <w:rPr>
                      <w:rFonts w:hint="eastAsia" w:cs="Times New Roman"/>
                      <w:szCs w:val="21"/>
                      <w:lang w:val="en-US" w:eastAsia="zh-CN"/>
                    </w:rPr>
                    <w:t>电阻炉</w:t>
                  </w:r>
                </w:p>
              </w:tc>
              <w:tc>
                <w:tcPr>
                  <w:tcW w:w="305" w:type="pct"/>
                  <w:vMerge w:val="restart"/>
                  <w:noWrap w:val="0"/>
                  <w:vAlign w:val="center"/>
                </w:tcPr>
                <w:p w14:paraId="0CE18594">
                  <w:pPr>
                    <w:jc w:val="center"/>
                    <w:rPr>
                      <w:rFonts w:hint="default" w:ascii="Times New Roman" w:hAnsi="Times New Roman" w:eastAsia="宋体" w:cs="Times New Roman"/>
                      <w:szCs w:val="21"/>
                      <w:lang w:val="en-US" w:eastAsia="zh-CN"/>
                    </w:rPr>
                  </w:pPr>
                  <w:r>
                    <w:rPr>
                      <w:rFonts w:hint="eastAsia" w:cs="Times New Roman"/>
                      <w:szCs w:val="21"/>
                      <w:lang w:val="en-US" w:eastAsia="zh-CN"/>
                    </w:rPr>
                    <w:t>7</w:t>
                  </w:r>
                </w:p>
              </w:tc>
              <w:tc>
                <w:tcPr>
                  <w:tcW w:w="393" w:type="pct"/>
                  <w:vMerge w:val="restart"/>
                  <w:noWrap w:val="0"/>
                  <w:vAlign w:val="center"/>
                </w:tcPr>
                <w:p w14:paraId="770758CF">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r>
                    <w:rPr>
                      <w:rFonts w:hint="eastAsia" w:cs="Times New Roman"/>
                      <w:szCs w:val="21"/>
                      <w:lang w:val="en-US" w:eastAsia="zh-CN"/>
                    </w:rPr>
                    <w:t>0</w:t>
                  </w:r>
                  <w:r>
                    <w:rPr>
                      <w:rFonts w:hint="eastAsia" w:ascii="Times New Roman" w:hAnsi="Times New Roman" w:eastAsia="宋体" w:cs="Times New Roman"/>
                      <w:szCs w:val="21"/>
                      <w:lang w:val="en-US" w:eastAsia="zh-CN"/>
                    </w:rPr>
                    <w:t>-75</w:t>
                  </w:r>
                </w:p>
              </w:tc>
              <w:tc>
                <w:tcPr>
                  <w:tcW w:w="298" w:type="pct"/>
                  <w:vMerge w:val="restart"/>
                  <w:noWrap w:val="0"/>
                  <w:vAlign w:val="center"/>
                </w:tcPr>
                <w:p w14:paraId="47621061">
                  <w:pPr>
                    <w:jc w:val="center"/>
                    <w:rPr>
                      <w:szCs w:val="21"/>
                    </w:rPr>
                  </w:pPr>
                  <w:r>
                    <w:rPr>
                      <w:rFonts w:hint="eastAsia"/>
                      <w:szCs w:val="21"/>
                    </w:rPr>
                    <w:t>减震垫，墙体隔声</w:t>
                  </w:r>
                </w:p>
              </w:tc>
              <w:tc>
                <w:tcPr>
                  <w:tcW w:w="276" w:type="pct"/>
                  <w:vMerge w:val="restart"/>
                  <w:noWrap w:val="0"/>
                  <w:vAlign w:val="center"/>
                </w:tcPr>
                <w:p w14:paraId="3C19E2DB">
                  <w:pPr>
                    <w:jc w:val="center"/>
                    <w:rPr>
                      <w:rFonts w:hint="default" w:eastAsia="宋体"/>
                      <w:szCs w:val="21"/>
                      <w:lang w:val="en-US" w:eastAsia="zh-CN"/>
                    </w:rPr>
                  </w:pPr>
                  <w:r>
                    <w:rPr>
                      <w:rFonts w:hint="eastAsia"/>
                      <w:szCs w:val="21"/>
                      <w:lang w:val="en-US" w:eastAsia="zh-CN"/>
                    </w:rPr>
                    <w:t>1-45</w:t>
                  </w:r>
                </w:p>
              </w:tc>
              <w:tc>
                <w:tcPr>
                  <w:tcW w:w="298" w:type="pct"/>
                  <w:vMerge w:val="restart"/>
                  <w:noWrap w:val="0"/>
                  <w:vAlign w:val="center"/>
                </w:tcPr>
                <w:p w14:paraId="4936935D">
                  <w:pPr>
                    <w:jc w:val="center"/>
                    <w:rPr>
                      <w:rFonts w:hint="default" w:eastAsia="宋体"/>
                      <w:szCs w:val="21"/>
                      <w:lang w:val="en-US" w:eastAsia="zh-CN"/>
                    </w:rPr>
                  </w:pPr>
                  <w:r>
                    <w:rPr>
                      <w:rFonts w:hint="eastAsia"/>
                      <w:szCs w:val="21"/>
                      <w:lang w:val="en-US" w:eastAsia="zh-CN"/>
                    </w:rPr>
                    <w:t>2-8</w:t>
                  </w:r>
                </w:p>
              </w:tc>
              <w:tc>
                <w:tcPr>
                  <w:tcW w:w="305" w:type="pct"/>
                  <w:vMerge w:val="restart"/>
                  <w:noWrap w:val="0"/>
                  <w:vAlign w:val="center"/>
                </w:tcPr>
                <w:p w14:paraId="553ED1B7">
                  <w:pPr>
                    <w:jc w:val="center"/>
                    <w:rPr>
                      <w:rFonts w:hint="default" w:eastAsia="宋体"/>
                      <w:szCs w:val="21"/>
                      <w:lang w:val="en-US" w:eastAsia="zh-CN"/>
                    </w:rPr>
                  </w:pPr>
                  <w:r>
                    <w:rPr>
                      <w:rFonts w:hint="eastAsia" w:eastAsia="宋体"/>
                      <w:szCs w:val="21"/>
                      <w:lang w:val="en-US" w:eastAsia="zh-CN"/>
                    </w:rPr>
                    <w:t>1.2</w:t>
                  </w:r>
                </w:p>
              </w:tc>
              <w:tc>
                <w:tcPr>
                  <w:tcW w:w="254" w:type="pct"/>
                  <w:tcBorders>
                    <w:right w:val="single" w:color="000000" w:sz="4" w:space="0"/>
                  </w:tcBorders>
                  <w:noWrap w:val="0"/>
                  <w:vAlign w:val="center"/>
                </w:tcPr>
                <w:p w14:paraId="50762D2A">
                  <w:pPr>
                    <w:jc w:val="center"/>
                    <w:rPr>
                      <w:rFonts w:hint="eastAsia" w:eastAsia="宋体"/>
                      <w:szCs w:val="21"/>
                      <w:lang w:val="en-US" w:eastAsia="zh-CN"/>
                    </w:rPr>
                  </w:pPr>
                  <w:r>
                    <w:rPr>
                      <w:rFonts w:hint="eastAsia"/>
                      <w:szCs w:val="21"/>
                      <w:lang w:val="en-US" w:eastAsia="zh-CN"/>
                    </w:rPr>
                    <w:t>西北</w:t>
                  </w:r>
                </w:p>
              </w:tc>
              <w:tc>
                <w:tcPr>
                  <w:tcW w:w="262" w:type="pct"/>
                  <w:tcBorders>
                    <w:left w:val="single" w:color="000000" w:sz="4" w:space="0"/>
                  </w:tcBorders>
                  <w:noWrap w:val="0"/>
                  <w:vAlign w:val="center"/>
                </w:tcPr>
                <w:p w14:paraId="0D13013A">
                  <w:pPr>
                    <w:jc w:val="center"/>
                    <w:rPr>
                      <w:rFonts w:hint="default" w:eastAsia="宋体"/>
                      <w:szCs w:val="21"/>
                      <w:lang w:val="en-US" w:eastAsia="zh-CN"/>
                    </w:rPr>
                  </w:pPr>
                  <w:r>
                    <w:rPr>
                      <w:rFonts w:hint="eastAsia"/>
                      <w:szCs w:val="21"/>
                      <w:lang w:val="en-US" w:eastAsia="zh-CN"/>
                    </w:rPr>
                    <w:t>1</w:t>
                  </w:r>
                </w:p>
              </w:tc>
              <w:tc>
                <w:tcPr>
                  <w:tcW w:w="378" w:type="pct"/>
                  <w:noWrap w:val="0"/>
                  <w:vAlign w:val="center"/>
                </w:tcPr>
                <w:p w14:paraId="2C478B7E">
                  <w:pPr>
                    <w:jc w:val="center"/>
                    <w:rPr>
                      <w:rFonts w:hint="default" w:eastAsia="宋体"/>
                      <w:szCs w:val="21"/>
                      <w:lang w:val="en-US" w:eastAsia="zh-CN"/>
                    </w:rPr>
                  </w:pPr>
                  <w:r>
                    <w:rPr>
                      <w:rFonts w:hint="eastAsia"/>
                      <w:szCs w:val="21"/>
                      <w:lang w:val="en-US" w:eastAsia="zh-CN"/>
                    </w:rPr>
                    <w:t>70.5</w:t>
                  </w:r>
                </w:p>
              </w:tc>
              <w:tc>
                <w:tcPr>
                  <w:tcW w:w="291" w:type="pct"/>
                  <w:vMerge w:val="restart"/>
                  <w:noWrap w:val="0"/>
                  <w:vAlign w:val="center"/>
                </w:tcPr>
                <w:p w14:paraId="092B136B">
                  <w:pPr>
                    <w:jc w:val="center"/>
                    <w:rPr>
                      <w:rFonts w:hint="eastAsia"/>
                      <w:szCs w:val="21"/>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noWrap w:val="0"/>
                  <w:vAlign w:val="center"/>
                </w:tcPr>
                <w:p w14:paraId="0EA9C8DD">
                  <w:pPr>
                    <w:jc w:val="center"/>
                    <w:rPr>
                      <w:rFonts w:hint="eastAsia"/>
                      <w:szCs w:val="21"/>
                    </w:rPr>
                  </w:pPr>
                  <w:r>
                    <w:rPr>
                      <w:rFonts w:hint="eastAsia"/>
                      <w:szCs w:val="21"/>
                    </w:rPr>
                    <w:t>-15</w:t>
                  </w:r>
                </w:p>
              </w:tc>
              <w:tc>
                <w:tcPr>
                  <w:tcW w:w="458" w:type="pct"/>
                  <w:noWrap w:val="0"/>
                  <w:vAlign w:val="center"/>
                </w:tcPr>
                <w:p w14:paraId="27DE4437">
                  <w:pPr>
                    <w:jc w:val="center"/>
                    <w:rPr>
                      <w:rFonts w:hint="default" w:eastAsia="宋体"/>
                      <w:szCs w:val="21"/>
                      <w:lang w:val="en-US" w:eastAsia="zh-CN"/>
                    </w:rPr>
                  </w:pPr>
                  <w:r>
                    <w:rPr>
                      <w:rFonts w:hint="eastAsia"/>
                      <w:szCs w:val="21"/>
                      <w:lang w:val="en-US" w:eastAsia="zh-CN"/>
                    </w:rPr>
                    <w:t>55.5</w:t>
                  </w:r>
                </w:p>
              </w:tc>
              <w:tc>
                <w:tcPr>
                  <w:tcW w:w="318" w:type="pct"/>
                  <w:vMerge w:val="restart"/>
                  <w:noWrap w:val="0"/>
                  <w:vAlign w:val="center"/>
                </w:tcPr>
                <w:p w14:paraId="00B18668">
                  <w:pPr>
                    <w:jc w:val="center"/>
                    <w:rPr>
                      <w:rFonts w:hint="eastAsia"/>
                      <w:szCs w:val="21"/>
                    </w:rPr>
                  </w:pPr>
                  <w:r>
                    <w:rPr>
                      <w:rFonts w:hint="eastAsia"/>
                      <w:szCs w:val="21"/>
                    </w:rPr>
                    <w:t>1</w:t>
                  </w:r>
                </w:p>
              </w:tc>
            </w:tr>
            <w:tr w14:paraId="19BF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0F224AB7">
                  <w:pPr>
                    <w:jc w:val="center"/>
                    <w:rPr>
                      <w:rFonts w:hint="eastAsia"/>
                      <w:szCs w:val="21"/>
                    </w:rPr>
                  </w:pPr>
                </w:p>
              </w:tc>
              <w:tc>
                <w:tcPr>
                  <w:tcW w:w="295" w:type="pct"/>
                  <w:vMerge w:val="continue"/>
                  <w:noWrap w:val="0"/>
                  <w:vAlign w:val="center"/>
                </w:tcPr>
                <w:p w14:paraId="034489CB">
                  <w:pPr>
                    <w:jc w:val="center"/>
                    <w:rPr>
                      <w:rFonts w:hint="eastAsia"/>
                      <w:szCs w:val="21"/>
                    </w:rPr>
                  </w:pPr>
                </w:p>
              </w:tc>
              <w:tc>
                <w:tcPr>
                  <w:tcW w:w="255" w:type="pct"/>
                  <w:vMerge w:val="continue"/>
                  <w:noWrap w:val="0"/>
                  <w:vAlign w:val="center"/>
                </w:tcPr>
                <w:p w14:paraId="531F28F1">
                  <w:pPr>
                    <w:jc w:val="center"/>
                    <w:rPr>
                      <w:rFonts w:hint="eastAsia" w:ascii="Times New Roman" w:hAnsi="Times New Roman" w:eastAsia="宋体" w:cs="Times New Roman"/>
                      <w:szCs w:val="21"/>
                      <w:lang w:val="en-US" w:eastAsia="zh-CN"/>
                    </w:rPr>
                  </w:pPr>
                </w:p>
              </w:tc>
              <w:tc>
                <w:tcPr>
                  <w:tcW w:w="305" w:type="pct"/>
                  <w:vMerge w:val="continue"/>
                  <w:noWrap w:val="0"/>
                  <w:vAlign w:val="center"/>
                </w:tcPr>
                <w:p w14:paraId="55D33786">
                  <w:pPr>
                    <w:jc w:val="center"/>
                    <w:rPr>
                      <w:rFonts w:hint="eastAsia" w:ascii="Times New Roman" w:hAnsi="Times New Roman" w:eastAsia="宋体" w:cs="Times New Roman"/>
                      <w:szCs w:val="21"/>
                      <w:lang w:val="en-US" w:eastAsia="zh-CN"/>
                    </w:rPr>
                  </w:pPr>
                </w:p>
              </w:tc>
              <w:tc>
                <w:tcPr>
                  <w:tcW w:w="393" w:type="pct"/>
                  <w:vMerge w:val="continue"/>
                  <w:noWrap w:val="0"/>
                  <w:vAlign w:val="center"/>
                </w:tcPr>
                <w:p w14:paraId="5451AFF0">
                  <w:pPr>
                    <w:jc w:val="center"/>
                    <w:rPr>
                      <w:rFonts w:hint="eastAsia" w:ascii="Times New Roman" w:hAnsi="Times New Roman" w:eastAsia="宋体" w:cs="Times New Roman"/>
                      <w:szCs w:val="21"/>
                      <w:lang w:val="en-US" w:eastAsia="zh-CN"/>
                    </w:rPr>
                  </w:pPr>
                </w:p>
              </w:tc>
              <w:tc>
                <w:tcPr>
                  <w:tcW w:w="298" w:type="pct"/>
                  <w:vMerge w:val="continue"/>
                  <w:noWrap w:val="0"/>
                  <w:vAlign w:val="center"/>
                </w:tcPr>
                <w:p w14:paraId="1383C931">
                  <w:pPr>
                    <w:jc w:val="center"/>
                    <w:rPr>
                      <w:rFonts w:hint="eastAsia"/>
                      <w:szCs w:val="21"/>
                    </w:rPr>
                  </w:pPr>
                </w:p>
              </w:tc>
              <w:tc>
                <w:tcPr>
                  <w:tcW w:w="276" w:type="pct"/>
                  <w:vMerge w:val="continue"/>
                  <w:noWrap w:val="0"/>
                  <w:vAlign w:val="center"/>
                </w:tcPr>
                <w:p w14:paraId="20B09230">
                  <w:pPr>
                    <w:jc w:val="center"/>
                    <w:rPr>
                      <w:szCs w:val="21"/>
                    </w:rPr>
                  </w:pPr>
                </w:p>
              </w:tc>
              <w:tc>
                <w:tcPr>
                  <w:tcW w:w="298" w:type="pct"/>
                  <w:vMerge w:val="continue"/>
                  <w:noWrap w:val="0"/>
                  <w:vAlign w:val="center"/>
                </w:tcPr>
                <w:p w14:paraId="0929CF9A">
                  <w:pPr>
                    <w:jc w:val="center"/>
                    <w:rPr>
                      <w:szCs w:val="21"/>
                    </w:rPr>
                  </w:pPr>
                </w:p>
              </w:tc>
              <w:tc>
                <w:tcPr>
                  <w:tcW w:w="305" w:type="pct"/>
                  <w:vMerge w:val="continue"/>
                  <w:noWrap w:val="0"/>
                  <w:vAlign w:val="center"/>
                </w:tcPr>
                <w:p w14:paraId="63F6C3F7">
                  <w:pPr>
                    <w:jc w:val="center"/>
                    <w:rPr>
                      <w:rFonts w:hint="eastAsia"/>
                      <w:szCs w:val="21"/>
                    </w:rPr>
                  </w:pPr>
                </w:p>
              </w:tc>
              <w:tc>
                <w:tcPr>
                  <w:tcW w:w="254" w:type="pct"/>
                  <w:tcBorders>
                    <w:right w:val="single" w:color="000000" w:sz="4" w:space="0"/>
                  </w:tcBorders>
                  <w:noWrap w:val="0"/>
                  <w:vAlign w:val="center"/>
                </w:tcPr>
                <w:p w14:paraId="6B845918">
                  <w:pPr>
                    <w:jc w:val="center"/>
                    <w:rPr>
                      <w:rFonts w:hint="eastAsia" w:eastAsia="宋体"/>
                      <w:szCs w:val="21"/>
                      <w:lang w:val="en-US" w:eastAsia="zh-CN"/>
                    </w:rPr>
                  </w:pPr>
                  <w:r>
                    <w:rPr>
                      <w:rFonts w:hint="eastAsia"/>
                      <w:szCs w:val="21"/>
                      <w:lang w:val="en-US" w:eastAsia="zh-CN"/>
                    </w:rPr>
                    <w:t>西南</w:t>
                  </w:r>
                </w:p>
              </w:tc>
              <w:tc>
                <w:tcPr>
                  <w:tcW w:w="262" w:type="pct"/>
                  <w:tcBorders>
                    <w:left w:val="single" w:color="000000" w:sz="4" w:space="0"/>
                  </w:tcBorders>
                  <w:noWrap w:val="0"/>
                  <w:vAlign w:val="center"/>
                </w:tcPr>
                <w:p w14:paraId="527E7CA0">
                  <w:pPr>
                    <w:jc w:val="center"/>
                    <w:rPr>
                      <w:rFonts w:hint="default" w:eastAsia="宋体"/>
                      <w:szCs w:val="21"/>
                      <w:lang w:val="en-US" w:eastAsia="zh-CN"/>
                    </w:rPr>
                  </w:pPr>
                  <w:r>
                    <w:rPr>
                      <w:rFonts w:hint="eastAsia"/>
                      <w:szCs w:val="21"/>
                      <w:lang w:val="en-US" w:eastAsia="zh-CN"/>
                    </w:rPr>
                    <w:t>12</w:t>
                  </w:r>
                </w:p>
              </w:tc>
              <w:tc>
                <w:tcPr>
                  <w:tcW w:w="378" w:type="pct"/>
                  <w:noWrap w:val="0"/>
                  <w:vAlign w:val="center"/>
                </w:tcPr>
                <w:p w14:paraId="0A3FBEEA">
                  <w:pPr>
                    <w:jc w:val="center"/>
                    <w:rPr>
                      <w:rFonts w:hint="default" w:eastAsia="宋体"/>
                      <w:szCs w:val="21"/>
                      <w:lang w:val="en-US" w:eastAsia="zh-CN"/>
                    </w:rPr>
                  </w:pPr>
                  <w:r>
                    <w:rPr>
                      <w:rFonts w:hint="eastAsia"/>
                      <w:szCs w:val="21"/>
                      <w:lang w:val="en-US" w:eastAsia="zh-CN"/>
                    </w:rPr>
                    <w:t>60.1</w:t>
                  </w:r>
                </w:p>
              </w:tc>
              <w:tc>
                <w:tcPr>
                  <w:tcW w:w="291" w:type="pct"/>
                  <w:vMerge w:val="continue"/>
                  <w:noWrap w:val="0"/>
                  <w:vAlign w:val="center"/>
                </w:tcPr>
                <w:p w14:paraId="129114D9">
                  <w:pPr>
                    <w:jc w:val="center"/>
                    <w:rPr>
                      <w:rFonts w:hint="eastAsia"/>
                      <w:snapToGrid w:val="0"/>
                      <w:szCs w:val="21"/>
                      <w:lang w:val="en-US" w:eastAsia="zh-CN"/>
                    </w:rPr>
                  </w:pPr>
                </w:p>
              </w:tc>
              <w:tc>
                <w:tcPr>
                  <w:tcW w:w="429" w:type="pct"/>
                  <w:vMerge w:val="continue"/>
                  <w:noWrap w:val="0"/>
                  <w:vAlign w:val="center"/>
                </w:tcPr>
                <w:p w14:paraId="380C412F">
                  <w:pPr>
                    <w:jc w:val="center"/>
                    <w:rPr>
                      <w:rFonts w:hint="eastAsia"/>
                      <w:szCs w:val="21"/>
                    </w:rPr>
                  </w:pPr>
                </w:p>
              </w:tc>
              <w:tc>
                <w:tcPr>
                  <w:tcW w:w="458" w:type="pct"/>
                  <w:noWrap w:val="0"/>
                  <w:vAlign w:val="center"/>
                </w:tcPr>
                <w:p w14:paraId="4CF794A9">
                  <w:pPr>
                    <w:jc w:val="center"/>
                    <w:rPr>
                      <w:rFonts w:hint="default" w:eastAsia="宋体"/>
                      <w:szCs w:val="21"/>
                      <w:lang w:val="en-US" w:eastAsia="zh-CN"/>
                    </w:rPr>
                  </w:pPr>
                  <w:r>
                    <w:rPr>
                      <w:rFonts w:hint="eastAsia"/>
                      <w:szCs w:val="21"/>
                      <w:lang w:val="en-US" w:eastAsia="zh-CN"/>
                    </w:rPr>
                    <w:t>45.1</w:t>
                  </w:r>
                </w:p>
              </w:tc>
              <w:tc>
                <w:tcPr>
                  <w:tcW w:w="318" w:type="pct"/>
                  <w:vMerge w:val="continue"/>
                  <w:noWrap w:val="0"/>
                  <w:vAlign w:val="center"/>
                </w:tcPr>
                <w:p w14:paraId="4C959A22">
                  <w:pPr>
                    <w:jc w:val="center"/>
                    <w:rPr>
                      <w:rFonts w:hint="eastAsia"/>
                      <w:szCs w:val="21"/>
                    </w:rPr>
                  </w:pPr>
                </w:p>
              </w:tc>
            </w:tr>
            <w:tr w14:paraId="21D4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78" w:type="pct"/>
                  <w:vMerge w:val="continue"/>
                  <w:noWrap w:val="0"/>
                  <w:vAlign w:val="center"/>
                </w:tcPr>
                <w:p w14:paraId="36D34A22">
                  <w:pPr>
                    <w:jc w:val="center"/>
                    <w:rPr>
                      <w:rFonts w:hint="eastAsia"/>
                      <w:szCs w:val="21"/>
                    </w:rPr>
                  </w:pPr>
                </w:p>
              </w:tc>
              <w:tc>
                <w:tcPr>
                  <w:tcW w:w="295" w:type="pct"/>
                  <w:vMerge w:val="continue"/>
                  <w:noWrap w:val="0"/>
                  <w:vAlign w:val="center"/>
                </w:tcPr>
                <w:p w14:paraId="1EEF55F7">
                  <w:pPr>
                    <w:jc w:val="center"/>
                    <w:rPr>
                      <w:rFonts w:hint="eastAsia"/>
                      <w:szCs w:val="21"/>
                    </w:rPr>
                  </w:pPr>
                </w:p>
              </w:tc>
              <w:tc>
                <w:tcPr>
                  <w:tcW w:w="255" w:type="pct"/>
                  <w:vMerge w:val="continue"/>
                  <w:noWrap w:val="0"/>
                  <w:vAlign w:val="center"/>
                </w:tcPr>
                <w:p w14:paraId="7B64C734">
                  <w:pPr>
                    <w:jc w:val="center"/>
                    <w:rPr>
                      <w:rFonts w:hint="eastAsia" w:ascii="Times New Roman" w:hAnsi="Times New Roman" w:eastAsia="宋体" w:cs="Times New Roman"/>
                      <w:szCs w:val="21"/>
                      <w:lang w:val="en-US" w:eastAsia="zh-CN"/>
                    </w:rPr>
                  </w:pPr>
                </w:p>
              </w:tc>
              <w:tc>
                <w:tcPr>
                  <w:tcW w:w="305" w:type="pct"/>
                  <w:vMerge w:val="continue"/>
                  <w:noWrap w:val="0"/>
                  <w:vAlign w:val="center"/>
                </w:tcPr>
                <w:p w14:paraId="41A04AAC">
                  <w:pPr>
                    <w:jc w:val="center"/>
                    <w:rPr>
                      <w:rFonts w:hint="eastAsia" w:ascii="Times New Roman" w:hAnsi="Times New Roman" w:eastAsia="宋体" w:cs="Times New Roman"/>
                      <w:szCs w:val="21"/>
                      <w:lang w:val="en-US" w:eastAsia="zh-CN"/>
                    </w:rPr>
                  </w:pPr>
                </w:p>
              </w:tc>
              <w:tc>
                <w:tcPr>
                  <w:tcW w:w="393" w:type="pct"/>
                  <w:vMerge w:val="continue"/>
                  <w:noWrap w:val="0"/>
                  <w:vAlign w:val="center"/>
                </w:tcPr>
                <w:p w14:paraId="485AF579">
                  <w:pPr>
                    <w:jc w:val="center"/>
                    <w:rPr>
                      <w:rFonts w:hint="eastAsia" w:ascii="Times New Roman" w:hAnsi="Times New Roman" w:eastAsia="宋体" w:cs="Times New Roman"/>
                      <w:szCs w:val="21"/>
                      <w:lang w:val="en-US" w:eastAsia="zh-CN"/>
                    </w:rPr>
                  </w:pPr>
                </w:p>
              </w:tc>
              <w:tc>
                <w:tcPr>
                  <w:tcW w:w="298" w:type="pct"/>
                  <w:vMerge w:val="continue"/>
                  <w:noWrap w:val="0"/>
                  <w:vAlign w:val="center"/>
                </w:tcPr>
                <w:p w14:paraId="7FDBC0D4">
                  <w:pPr>
                    <w:jc w:val="center"/>
                    <w:rPr>
                      <w:rFonts w:hint="eastAsia"/>
                      <w:szCs w:val="21"/>
                    </w:rPr>
                  </w:pPr>
                </w:p>
              </w:tc>
              <w:tc>
                <w:tcPr>
                  <w:tcW w:w="276" w:type="pct"/>
                  <w:vMerge w:val="continue"/>
                  <w:noWrap w:val="0"/>
                  <w:vAlign w:val="center"/>
                </w:tcPr>
                <w:p w14:paraId="1821CE39">
                  <w:pPr>
                    <w:jc w:val="center"/>
                    <w:rPr>
                      <w:rFonts w:hint="eastAsia"/>
                      <w:szCs w:val="21"/>
                    </w:rPr>
                  </w:pPr>
                </w:p>
              </w:tc>
              <w:tc>
                <w:tcPr>
                  <w:tcW w:w="298" w:type="pct"/>
                  <w:vMerge w:val="continue"/>
                  <w:noWrap w:val="0"/>
                  <w:vAlign w:val="center"/>
                </w:tcPr>
                <w:p w14:paraId="1CF1EC50">
                  <w:pPr>
                    <w:jc w:val="center"/>
                    <w:rPr>
                      <w:rFonts w:hint="eastAsia"/>
                      <w:szCs w:val="21"/>
                    </w:rPr>
                  </w:pPr>
                </w:p>
              </w:tc>
              <w:tc>
                <w:tcPr>
                  <w:tcW w:w="305" w:type="pct"/>
                  <w:vMerge w:val="continue"/>
                  <w:noWrap w:val="0"/>
                  <w:vAlign w:val="center"/>
                </w:tcPr>
                <w:p w14:paraId="3C44B57A">
                  <w:pPr>
                    <w:jc w:val="center"/>
                    <w:rPr>
                      <w:rFonts w:hint="eastAsia"/>
                      <w:szCs w:val="21"/>
                    </w:rPr>
                  </w:pPr>
                </w:p>
              </w:tc>
              <w:tc>
                <w:tcPr>
                  <w:tcW w:w="254" w:type="pct"/>
                  <w:tcBorders>
                    <w:right w:val="single" w:color="000000" w:sz="4" w:space="0"/>
                  </w:tcBorders>
                  <w:noWrap w:val="0"/>
                  <w:vAlign w:val="center"/>
                </w:tcPr>
                <w:p w14:paraId="21DC38D7">
                  <w:pPr>
                    <w:jc w:val="center"/>
                    <w:rPr>
                      <w:rFonts w:hint="eastAsia" w:eastAsia="宋体"/>
                      <w:szCs w:val="21"/>
                      <w:lang w:val="en-US" w:eastAsia="zh-CN"/>
                    </w:rPr>
                  </w:pPr>
                  <w:r>
                    <w:rPr>
                      <w:rFonts w:hint="eastAsia"/>
                      <w:szCs w:val="21"/>
                      <w:lang w:val="en-US" w:eastAsia="zh-CN"/>
                    </w:rPr>
                    <w:t>东北</w:t>
                  </w:r>
                </w:p>
              </w:tc>
              <w:tc>
                <w:tcPr>
                  <w:tcW w:w="262" w:type="pct"/>
                  <w:tcBorders>
                    <w:left w:val="single" w:color="000000" w:sz="4" w:space="0"/>
                  </w:tcBorders>
                  <w:noWrap w:val="0"/>
                  <w:vAlign w:val="center"/>
                </w:tcPr>
                <w:p w14:paraId="41BB612A">
                  <w:pPr>
                    <w:jc w:val="center"/>
                    <w:rPr>
                      <w:rFonts w:hint="default" w:eastAsia="宋体"/>
                      <w:szCs w:val="21"/>
                      <w:lang w:val="en-US" w:eastAsia="zh-CN"/>
                    </w:rPr>
                  </w:pPr>
                  <w:r>
                    <w:rPr>
                      <w:rFonts w:hint="eastAsia"/>
                      <w:szCs w:val="21"/>
                      <w:lang w:val="en-US" w:eastAsia="zh-CN"/>
                    </w:rPr>
                    <w:t>2</w:t>
                  </w:r>
                </w:p>
              </w:tc>
              <w:tc>
                <w:tcPr>
                  <w:tcW w:w="378" w:type="pct"/>
                  <w:noWrap w:val="0"/>
                  <w:vAlign w:val="center"/>
                </w:tcPr>
                <w:p w14:paraId="7F84AF43">
                  <w:pPr>
                    <w:jc w:val="center"/>
                    <w:rPr>
                      <w:rFonts w:hint="default" w:eastAsia="宋体"/>
                      <w:szCs w:val="21"/>
                      <w:lang w:val="en-US" w:eastAsia="zh-CN"/>
                    </w:rPr>
                  </w:pPr>
                  <w:r>
                    <w:rPr>
                      <w:rFonts w:hint="eastAsia"/>
                      <w:szCs w:val="21"/>
                      <w:lang w:val="en-US" w:eastAsia="zh-CN"/>
                    </w:rPr>
                    <w:t>65.6</w:t>
                  </w:r>
                </w:p>
              </w:tc>
              <w:tc>
                <w:tcPr>
                  <w:tcW w:w="291" w:type="pct"/>
                  <w:vMerge w:val="continue"/>
                  <w:noWrap w:val="0"/>
                  <w:vAlign w:val="center"/>
                </w:tcPr>
                <w:p w14:paraId="4E9F3453">
                  <w:pPr>
                    <w:jc w:val="center"/>
                    <w:rPr>
                      <w:rFonts w:hint="eastAsia"/>
                      <w:szCs w:val="21"/>
                    </w:rPr>
                  </w:pPr>
                </w:p>
              </w:tc>
              <w:tc>
                <w:tcPr>
                  <w:tcW w:w="429" w:type="pct"/>
                  <w:vMerge w:val="continue"/>
                  <w:noWrap w:val="0"/>
                  <w:vAlign w:val="center"/>
                </w:tcPr>
                <w:p w14:paraId="7AC98529">
                  <w:pPr>
                    <w:jc w:val="center"/>
                    <w:rPr>
                      <w:rFonts w:hint="eastAsia"/>
                      <w:szCs w:val="21"/>
                    </w:rPr>
                  </w:pPr>
                </w:p>
              </w:tc>
              <w:tc>
                <w:tcPr>
                  <w:tcW w:w="458" w:type="pct"/>
                  <w:noWrap w:val="0"/>
                  <w:vAlign w:val="center"/>
                </w:tcPr>
                <w:p w14:paraId="593832D0">
                  <w:pPr>
                    <w:jc w:val="center"/>
                    <w:rPr>
                      <w:rFonts w:hint="default" w:eastAsia="宋体"/>
                      <w:szCs w:val="21"/>
                      <w:lang w:val="en-US" w:eastAsia="zh-CN"/>
                    </w:rPr>
                  </w:pPr>
                  <w:r>
                    <w:rPr>
                      <w:rFonts w:hint="eastAsia"/>
                      <w:szCs w:val="21"/>
                      <w:lang w:val="en-US" w:eastAsia="zh-CN"/>
                    </w:rPr>
                    <w:t>50.6</w:t>
                  </w:r>
                </w:p>
              </w:tc>
              <w:tc>
                <w:tcPr>
                  <w:tcW w:w="318" w:type="pct"/>
                  <w:vMerge w:val="continue"/>
                  <w:noWrap w:val="0"/>
                  <w:vAlign w:val="center"/>
                </w:tcPr>
                <w:p w14:paraId="34702E43">
                  <w:pPr>
                    <w:jc w:val="center"/>
                    <w:rPr>
                      <w:rFonts w:hint="eastAsia"/>
                      <w:szCs w:val="21"/>
                    </w:rPr>
                  </w:pPr>
                </w:p>
              </w:tc>
            </w:tr>
            <w:tr w14:paraId="1BF6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78" w:type="pct"/>
                  <w:vMerge w:val="continue"/>
                  <w:noWrap w:val="0"/>
                  <w:vAlign w:val="center"/>
                </w:tcPr>
                <w:p w14:paraId="23EA6699">
                  <w:pPr>
                    <w:jc w:val="center"/>
                    <w:rPr>
                      <w:rFonts w:hint="eastAsia"/>
                      <w:szCs w:val="21"/>
                    </w:rPr>
                  </w:pPr>
                </w:p>
              </w:tc>
              <w:tc>
                <w:tcPr>
                  <w:tcW w:w="295" w:type="pct"/>
                  <w:vMerge w:val="continue"/>
                  <w:noWrap w:val="0"/>
                  <w:vAlign w:val="center"/>
                </w:tcPr>
                <w:p w14:paraId="26B1D270">
                  <w:pPr>
                    <w:jc w:val="center"/>
                    <w:rPr>
                      <w:rFonts w:hint="eastAsia"/>
                      <w:szCs w:val="21"/>
                    </w:rPr>
                  </w:pPr>
                </w:p>
              </w:tc>
              <w:tc>
                <w:tcPr>
                  <w:tcW w:w="255" w:type="pct"/>
                  <w:vMerge w:val="continue"/>
                  <w:noWrap w:val="0"/>
                  <w:vAlign w:val="center"/>
                </w:tcPr>
                <w:p w14:paraId="26157CA7">
                  <w:pPr>
                    <w:jc w:val="center"/>
                    <w:rPr>
                      <w:rFonts w:hint="eastAsia" w:ascii="Times New Roman" w:hAnsi="Times New Roman" w:eastAsia="宋体" w:cs="Times New Roman"/>
                      <w:szCs w:val="21"/>
                      <w:lang w:val="en-US" w:eastAsia="zh-CN"/>
                    </w:rPr>
                  </w:pPr>
                </w:p>
              </w:tc>
              <w:tc>
                <w:tcPr>
                  <w:tcW w:w="305" w:type="pct"/>
                  <w:vMerge w:val="continue"/>
                  <w:noWrap w:val="0"/>
                  <w:vAlign w:val="center"/>
                </w:tcPr>
                <w:p w14:paraId="69745296">
                  <w:pPr>
                    <w:jc w:val="center"/>
                    <w:rPr>
                      <w:rFonts w:hint="eastAsia" w:ascii="Times New Roman" w:hAnsi="Times New Roman" w:eastAsia="宋体" w:cs="Times New Roman"/>
                      <w:szCs w:val="21"/>
                      <w:lang w:val="en-US" w:eastAsia="zh-CN"/>
                    </w:rPr>
                  </w:pPr>
                </w:p>
              </w:tc>
              <w:tc>
                <w:tcPr>
                  <w:tcW w:w="393" w:type="pct"/>
                  <w:vMerge w:val="continue"/>
                  <w:noWrap w:val="0"/>
                  <w:vAlign w:val="center"/>
                </w:tcPr>
                <w:p w14:paraId="6E4D2AF2">
                  <w:pPr>
                    <w:jc w:val="center"/>
                    <w:rPr>
                      <w:rFonts w:hint="eastAsia" w:ascii="Times New Roman" w:hAnsi="Times New Roman" w:eastAsia="宋体" w:cs="Times New Roman"/>
                      <w:szCs w:val="21"/>
                      <w:lang w:val="en-US" w:eastAsia="zh-CN"/>
                    </w:rPr>
                  </w:pPr>
                </w:p>
              </w:tc>
              <w:tc>
                <w:tcPr>
                  <w:tcW w:w="298" w:type="pct"/>
                  <w:vMerge w:val="continue"/>
                  <w:noWrap w:val="0"/>
                  <w:vAlign w:val="center"/>
                </w:tcPr>
                <w:p w14:paraId="63D3BDCE">
                  <w:pPr>
                    <w:jc w:val="center"/>
                    <w:rPr>
                      <w:rFonts w:hint="eastAsia"/>
                      <w:szCs w:val="21"/>
                    </w:rPr>
                  </w:pPr>
                </w:p>
              </w:tc>
              <w:tc>
                <w:tcPr>
                  <w:tcW w:w="276" w:type="pct"/>
                  <w:vMerge w:val="continue"/>
                  <w:noWrap w:val="0"/>
                  <w:vAlign w:val="center"/>
                </w:tcPr>
                <w:p w14:paraId="42F90A44">
                  <w:pPr>
                    <w:jc w:val="center"/>
                    <w:rPr>
                      <w:rFonts w:hint="eastAsia"/>
                      <w:szCs w:val="21"/>
                    </w:rPr>
                  </w:pPr>
                </w:p>
              </w:tc>
              <w:tc>
                <w:tcPr>
                  <w:tcW w:w="298" w:type="pct"/>
                  <w:vMerge w:val="continue"/>
                  <w:noWrap w:val="0"/>
                  <w:vAlign w:val="center"/>
                </w:tcPr>
                <w:p w14:paraId="0261B98F">
                  <w:pPr>
                    <w:jc w:val="center"/>
                    <w:rPr>
                      <w:rFonts w:hint="eastAsia"/>
                      <w:szCs w:val="21"/>
                    </w:rPr>
                  </w:pPr>
                </w:p>
              </w:tc>
              <w:tc>
                <w:tcPr>
                  <w:tcW w:w="305" w:type="pct"/>
                  <w:vMerge w:val="continue"/>
                  <w:noWrap w:val="0"/>
                  <w:vAlign w:val="center"/>
                </w:tcPr>
                <w:p w14:paraId="454D2B8C">
                  <w:pPr>
                    <w:jc w:val="center"/>
                    <w:rPr>
                      <w:rFonts w:hint="eastAsia"/>
                      <w:szCs w:val="21"/>
                    </w:rPr>
                  </w:pPr>
                </w:p>
              </w:tc>
              <w:tc>
                <w:tcPr>
                  <w:tcW w:w="254" w:type="pct"/>
                  <w:tcBorders>
                    <w:right w:val="single" w:color="000000" w:sz="4" w:space="0"/>
                  </w:tcBorders>
                  <w:noWrap w:val="0"/>
                  <w:vAlign w:val="center"/>
                </w:tcPr>
                <w:p w14:paraId="21C4F1D3">
                  <w:pPr>
                    <w:jc w:val="center"/>
                    <w:rPr>
                      <w:rFonts w:hint="eastAsia" w:eastAsia="宋体"/>
                      <w:szCs w:val="21"/>
                      <w:lang w:val="en-US" w:eastAsia="zh-CN"/>
                    </w:rPr>
                  </w:pPr>
                  <w:r>
                    <w:rPr>
                      <w:rFonts w:hint="eastAsia"/>
                      <w:szCs w:val="21"/>
                      <w:lang w:val="en-US" w:eastAsia="zh-CN"/>
                    </w:rPr>
                    <w:t>东南</w:t>
                  </w:r>
                </w:p>
              </w:tc>
              <w:tc>
                <w:tcPr>
                  <w:tcW w:w="262" w:type="pct"/>
                  <w:tcBorders>
                    <w:left w:val="single" w:color="000000" w:sz="4" w:space="0"/>
                  </w:tcBorders>
                  <w:noWrap w:val="0"/>
                  <w:vAlign w:val="center"/>
                </w:tcPr>
                <w:p w14:paraId="2D925FDF">
                  <w:pPr>
                    <w:jc w:val="center"/>
                    <w:rPr>
                      <w:rFonts w:hint="default" w:eastAsia="宋体"/>
                      <w:szCs w:val="21"/>
                      <w:lang w:val="en-US" w:eastAsia="zh-CN"/>
                    </w:rPr>
                  </w:pPr>
                  <w:r>
                    <w:rPr>
                      <w:rFonts w:hint="eastAsia"/>
                      <w:szCs w:val="21"/>
                      <w:lang w:val="en-US" w:eastAsia="zh-CN"/>
                    </w:rPr>
                    <w:t>2</w:t>
                  </w:r>
                </w:p>
              </w:tc>
              <w:tc>
                <w:tcPr>
                  <w:tcW w:w="378" w:type="pct"/>
                  <w:noWrap w:val="0"/>
                  <w:vAlign w:val="center"/>
                </w:tcPr>
                <w:p w14:paraId="314F5F85">
                  <w:pPr>
                    <w:jc w:val="center"/>
                    <w:rPr>
                      <w:rFonts w:hint="default" w:eastAsia="宋体"/>
                      <w:szCs w:val="21"/>
                      <w:lang w:val="en-US" w:eastAsia="zh-CN"/>
                    </w:rPr>
                  </w:pPr>
                  <w:r>
                    <w:rPr>
                      <w:rFonts w:hint="eastAsia"/>
                      <w:szCs w:val="21"/>
                      <w:lang w:val="en-US" w:eastAsia="zh-CN"/>
                    </w:rPr>
                    <w:t>65.4</w:t>
                  </w:r>
                </w:p>
              </w:tc>
              <w:tc>
                <w:tcPr>
                  <w:tcW w:w="291" w:type="pct"/>
                  <w:vMerge w:val="continue"/>
                  <w:noWrap w:val="0"/>
                  <w:vAlign w:val="center"/>
                </w:tcPr>
                <w:p w14:paraId="6EBA34F4">
                  <w:pPr>
                    <w:jc w:val="center"/>
                    <w:rPr>
                      <w:rFonts w:hint="eastAsia"/>
                      <w:szCs w:val="21"/>
                    </w:rPr>
                  </w:pPr>
                </w:p>
              </w:tc>
              <w:tc>
                <w:tcPr>
                  <w:tcW w:w="429" w:type="pct"/>
                  <w:vMerge w:val="continue"/>
                  <w:noWrap w:val="0"/>
                  <w:vAlign w:val="center"/>
                </w:tcPr>
                <w:p w14:paraId="2E5465F8">
                  <w:pPr>
                    <w:jc w:val="center"/>
                    <w:rPr>
                      <w:rFonts w:hint="eastAsia"/>
                      <w:szCs w:val="21"/>
                    </w:rPr>
                  </w:pPr>
                </w:p>
              </w:tc>
              <w:tc>
                <w:tcPr>
                  <w:tcW w:w="458" w:type="pct"/>
                  <w:noWrap w:val="0"/>
                  <w:vAlign w:val="center"/>
                </w:tcPr>
                <w:p w14:paraId="7BD87CF3">
                  <w:pPr>
                    <w:jc w:val="center"/>
                    <w:rPr>
                      <w:rFonts w:hint="default" w:eastAsia="宋体"/>
                      <w:szCs w:val="21"/>
                      <w:lang w:val="en-US" w:eastAsia="zh-CN"/>
                    </w:rPr>
                  </w:pPr>
                  <w:r>
                    <w:rPr>
                      <w:rFonts w:hint="eastAsia"/>
                      <w:szCs w:val="21"/>
                      <w:lang w:val="en-US" w:eastAsia="zh-CN"/>
                    </w:rPr>
                    <w:t>50.4</w:t>
                  </w:r>
                </w:p>
              </w:tc>
              <w:tc>
                <w:tcPr>
                  <w:tcW w:w="318" w:type="pct"/>
                  <w:vMerge w:val="continue"/>
                  <w:noWrap w:val="0"/>
                  <w:vAlign w:val="center"/>
                </w:tcPr>
                <w:p w14:paraId="401F0159">
                  <w:pPr>
                    <w:jc w:val="center"/>
                    <w:rPr>
                      <w:rFonts w:hint="eastAsia"/>
                      <w:szCs w:val="21"/>
                    </w:rPr>
                  </w:pPr>
                </w:p>
              </w:tc>
            </w:tr>
            <w:tr w14:paraId="1A69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restart"/>
                  <w:vAlign w:val="center"/>
                </w:tcPr>
                <w:p w14:paraId="7C9B0B93">
                  <w:pPr>
                    <w:jc w:val="center"/>
                    <w:rPr>
                      <w:rFonts w:hint="eastAsia" w:eastAsia="宋体"/>
                      <w:szCs w:val="21"/>
                      <w:lang w:val="en-US" w:eastAsia="zh-CN"/>
                    </w:rPr>
                  </w:pPr>
                  <w:r>
                    <w:rPr>
                      <w:rFonts w:hint="eastAsia"/>
                      <w:szCs w:val="21"/>
                      <w:lang w:val="en-US" w:eastAsia="zh-CN"/>
                    </w:rPr>
                    <w:t>2</w:t>
                  </w:r>
                </w:p>
              </w:tc>
              <w:tc>
                <w:tcPr>
                  <w:tcW w:w="295" w:type="pct"/>
                  <w:vMerge w:val="continue"/>
                  <w:vAlign w:val="center"/>
                </w:tcPr>
                <w:p w14:paraId="6CBC750B">
                  <w:pPr>
                    <w:jc w:val="center"/>
                    <w:rPr>
                      <w:rFonts w:hint="eastAsia"/>
                      <w:szCs w:val="21"/>
                    </w:rPr>
                  </w:pPr>
                </w:p>
              </w:tc>
              <w:tc>
                <w:tcPr>
                  <w:tcW w:w="255" w:type="pct"/>
                  <w:vMerge w:val="restart"/>
                  <w:shd w:val="clear" w:color="auto" w:fill="auto"/>
                  <w:vAlign w:val="center"/>
                </w:tcPr>
                <w:p w14:paraId="2042F45A">
                  <w:pPr>
                    <w:jc w:val="center"/>
                    <w:rPr>
                      <w:rFonts w:hint="default" w:ascii="Times New Roman" w:hAnsi="Times New Roman" w:eastAsia="宋体" w:cs="Times New Roman"/>
                      <w:szCs w:val="21"/>
                      <w:lang w:val="en-US" w:eastAsia="zh-CN"/>
                    </w:rPr>
                  </w:pPr>
                  <w:r>
                    <w:rPr>
                      <w:rFonts w:hint="eastAsia" w:cs="Times New Roman"/>
                      <w:szCs w:val="21"/>
                      <w:lang w:val="en-US" w:eastAsia="zh-CN"/>
                    </w:rPr>
                    <w:t>压铸机</w:t>
                  </w:r>
                </w:p>
              </w:tc>
              <w:tc>
                <w:tcPr>
                  <w:tcW w:w="305" w:type="pct"/>
                  <w:vMerge w:val="restart"/>
                  <w:shd w:val="clear" w:color="auto" w:fill="auto"/>
                  <w:vAlign w:val="center"/>
                </w:tcPr>
                <w:p w14:paraId="17DD228C">
                  <w:pPr>
                    <w:jc w:val="center"/>
                    <w:rPr>
                      <w:rFonts w:hint="default" w:ascii="Times New Roman" w:hAnsi="Times New Roman" w:eastAsia="宋体" w:cs="Times New Roman"/>
                      <w:szCs w:val="21"/>
                      <w:lang w:val="en-US" w:eastAsia="zh-CN"/>
                    </w:rPr>
                  </w:pPr>
                  <w:r>
                    <w:rPr>
                      <w:rFonts w:hint="eastAsia" w:cs="Times New Roman"/>
                      <w:szCs w:val="21"/>
                      <w:lang w:val="en-US" w:eastAsia="zh-CN"/>
                    </w:rPr>
                    <w:t>7</w:t>
                  </w:r>
                </w:p>
              </w:tc>
              <w:tc>
                <w:tcPr>
                  <w:tcW w:w="393" w:type="pct"/>
                  <w:vMerge w:val="restart"/>
                  <w:vAlign w:val="center"/>
                </w:tcPr>
                <w:p w14:paraId="31958D1F">
                  <w:pPr>
                    <w:jc w:val="center"/>
                    <w:rPr>
                      <w:rFonts w:hint="default" w:ascii="Times New Roman" w:hAnsi="Times New Roman" w:eastAsia="宋体" w:cs="Times New Roman"/>
                      <w:szCs w:val="21"/>
                      <w:lang w:val="en-US" w:eastAsia="zh-CN"/>
                    </w:rPr>
                  </w:pPr>
                  <w:r>
                    <w:rPr>
                      <w:rFonts w:hint="eastAsia" w:cs="Times New Roman"/>
                      <w:szCs w:val="21"/>
                      <w:lang w:val="en-US" w:eastAsia="zh-CN"/>
                    </w:rPr>
                    <w:t>75-80</w:t>
                  </w:r>
                </w:p>
              </w:tc>
              <w:tc>
                <w:tcPr>
                  <w:tcW w:w="298" w:type="pct"/>
                  <w:vMerge w:val="continue"/>
                  <w:vAlign w:val="center"/>
                </w:tcPr>
                <w:p w14:paraId="33A21C49">
                  <w:pPr>
                    <w:jc w:val="center"/>
                    <w:rPr>
                      <w:rFonts w:hint="eastAsia"/>
                      <w:szCs w:val="21"/>
                    </w:rPr>
                  </w:pPr>
                </w:p>
              </w:tc>
              <w:tc>
                <w:tcPr>
                  <w:tcW w:w="276" w:type="pct"/>
                  <w:vMerge w:val="restart"/>
                  <w:shd w:val="clear" w:color="auto" w:fill="auto"/>
                  <w:vAlign w:val="center"/>
                </w:tcPr>
                <w:p w14:paraId="60BAB81E">
                  <w:pPr>
                    <w:jc w:val="center"/>
                    <w:rPr>
                      <w:rFonts w:hint="default"/>
                      <w:szCs w:val="21"/>
                      <w:lang w:val="en-US"/>
                    </w:rPr>
                  </w:pPr>
                  <w:r>
                    <w:rPr>
                      <w:rFonts w:hint="eastAsia" w:cs="Times New Roman"/>
                      <w:kern w:val="2"/>
                      <w:sz w:val="21"/>
                      <w:szCs w:val="21"/>
                      <w:lang w:val="en-US" w:eastAsia="zh-CN" w:bidi="ar-SA"/>
                    </w:rPr>
                    <w:t>1-45</w:t>
                  </w:r>
                </w:p>
              </w:tc>
              <w:tc>
                <w:tcPr>
                  <w:tcW w:w="298" w:type="pct"/>
                  <w:vMerge w:val="restart"/>
                  <w:shd w:val="clear" w:color="auto" w:fill="auto"/>
                  <w:vAlign w:val="center"/>
                </w:tcPr>
                <w:p w14:paraId="72898F46">
                  <w:pPr>
                    <w:jc w:val="center"/>
                    <w:rPr>
                      <w:rFonts w:hint="default" w:eastAsia="宋体"/>
                      <w:szCs w:val="21"/>
                      <w:lang w:val="en-US" w:eastAsia="zh-CN"/>
                    </w:rPr>
                  </w:pPr>
                  <w:r>
                    <w:rPr>
                      <w:rFonts w:hint="eastAsia"/>
                      <w:szCs w:val="21"/>
                      <w:lang w:val="en-US" w:eastAsia="zh-CN"/>
                    </w:rPr>
                    <w:t>9-15</w:t>
                  </w:r>
                </w:p>
              </w:tc>
              <w:tc>
                <w:tcPr>
                  <w:tcW w:w="305" w:type="pct"/>
                  <w:vMerge w:val="restart"/>
                  <w:shd w:val="clear" w:color="auto" w:fill="auto"/>
                  <w:vAlign w:val="center"/>
                </w:tcPr>
                <w:p w14:paraId="295EC59C">
                  <w:pPr>
                    <w:jc w:val="center"/>
                    <w:rPr>
                      <w:rFonts w:hint="eastAsia"/>
                      <w:szCs w:val="21"/>
                    </w:rPr>
                  </w:pPr>
                  <w:r>
                    <w:rPr>
                      <w:rFonts w:hint="eastAsia"/>
                      <w:szCs w:val="21"/>
                      <w:lang w:val="en-US" w:eastAsia="zh-CN"/>
                    </w:rPr>
                    <w:t>1.2</w:t>
                  </w:r>
                </w:p>
              </w:tc>
              <w:tc>
                <w:tcPr>
                  <w:tcW w:w="254" w:type="pct"/>
                  <w:shd w:val="clear" w:color="auto" w:fill="auto"/>
                  <w:vAlign w:val="center"/>
                </w:tcPr>
                <w:p w14:paraId="3AC916A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11B35EBA">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378" w:type="pct"/>
                  <w:vAlign w:val="center"/>
                </w:tcPr>
                <w:p w14:paraId="2096534C">
                  <w:pPr>
                    <w:jc w:val="center"/>
                    <w:rPr>
                      <w:rFonts w:hint="default"/>
                      <w:szCs w:val="21"/>
                      <w:lang w:val="en-US" w:eastAsia="zh-CN"/>
                    </w:rPr>
                  </w:pPr>
                  <w:r>
                    <w:rPr>
                      <w:rFonts w:hint="eastAsia"/>
                      <w:szCs w:val="21"/>
                      <w:lang w:val="en-US" w:eastAsia="zh-CN"/>
                    </w:rPr>
                    <w:t>72.2</w:t>
                  </w:r>
                </w:p>
              </w:tc>
              <w:tc>
                <w:tcPr>
                  <w:tcW w:w="291" w:type="pct"/>
                  <w:vMerge w:val="continue"/>
                  <w:vAlign w:val="center"/>
                </w:tcPr>
                <w:p w14:paraId="099C2390">
                  <w:pPr>
                    <w:jc w:val="center"/>
                    <w:rPr>
                      <w:rFonts w:hint="eastAsia"/>
                      <w:szCs w:val="21"/>
                    </w:rPr>
                  </w:pPr>
                </w:p>
              </w:tc>
              <w:tc>
                <w:tcPr>
                  <w:tcW w:w="429" w:type="pct"/>
                  <w:vMerge w:val="continue"/>
                  <w:vAlign w:val="center"/>
                </w:tcPr>
                <w:p w14:paraId="51DE8630">
                  <w:pPr>
                    <w:jc w:val="center"/>
                    <w:rPr>
                      <w:rFonts w:hint="eastAsia"/>
                      <w:szCs w:val="21"/>
                    </w:rPr>
                  </w:pPr>
                </w:p>
              </w:tc>
              <w:tc>
                <w:tcPr>
                  <w:tcW w:w="458" w:type="pct"/>
                  <w:vAlign w:val="center"/>
                </w:tcPr>
                <w:p w14:paraId="12D0CA0E">
                  <w:pPr>
                    <w:jc w:val="center"/>
                    <w:rPr>
                      <w:rFonts w:hint="default"/>
                      <w:szCs w:val="21"/>
                      <w:lang w:val="en-US" w:eastAsia="zh-CN"/>
                    </w:rPr>
                  </w:pPr>
                  <w:r>
                    <w:rPr>
                      <w:rFonts w:hint="eastAsia"/>
                      <w:szCs w:val="21"/>
                      <w:lang w:val="en-US" w:eastAsia="zh-CN"/>
                    </w:rPr>
                    <w:t>57.2</w:t>
                  </w:r>
                </w:p>
              </w:tc>
              <w:tc>
                <w:tcPr>
                  <w:tcW w:w="318" w:type="pct"/>
                  <w:vMerge w:val="continue"/>
                  <w:vAlign w:val="center"/>
                </w:tcPr>
                <w:p w14:paraId="2D6FE7CD">
                  <w:pPr>
                    <w:jc w:val="center"/>
                    <w:rPr>
                      <w:rFonts w:hint="eastAsia"/>
                      <w:szCs w:val="21"/>
                    </w:rPr>
                  </w:pPr>
                </w:p>
              </w:tc>
            </w:tr>
            <w:tr w14:paraId="7161A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5DB685E3">
                  <w:pPr>
                    <w:jc w:val="center"/>
                  </w:pPr>
                </w:p>
              </w:tc>
              <w:tc>
                <w:tcPr>
                  <w:tcW w:w="295" w:type="pct"/>
                  <w:vMerge w:val="continue"/>
                  <w:vAlign w:val="center"/>
                </w:tcPr>
                <w:p w14:paraId="02349115">
                  <w:pPr>
                    <w:jc w:val="center"/>
                  </w:pPr>
                </w:p>
              </w:tc>
              <w:tc>
                <w:tcPr>
                  <w:tcW w:w="255" w:type="pct"/>
                  <w:vMerge w:val="continue"/>
                  <w:shd w:val="clear" w:color="auto" w:fill="auto"/>
                  <w:vAlign w:val="center"/>
                </w:tcPr>
                <w:p w14:paraId="55752C50">
                  <w:pPr>
                    <w:jc w:val="center"/>
                  </w:pPr>
                </w:p>
              </w:tc>
              <w:tc>
                <w:tcPr>
                  <w:tcW w:w="305" w:type="pct"/>
                  <w:vMerge w:val="continue"/>
                  <w:shd w:val="clear" w:color="auto" w:fill="auto"/>
                  <w:vAlign w:val="center"/>
                </w:tcPr>
                <w:p w14:paraId="40AEB890">
                  <w:pPr>
                    <w:jc w:val="center"/>
                  </w:pPr>
                </w:p>
              </w:tc>
              <w:tc>
                <w:tcPr>
                  <w:tcW w:w="393" w:type="pct"/>
                  <w:vMerge w:val="continue"/>
                  <w:vAlign w:val="center"/>
                </w:tcPr>
                <w:p w14:paraId="36A8C40F">
                  <w:pPr>
                    <w:jc w:val="center"/>
                  </w:pPr>
                </w:p>
              </w:tc>
              <w:tc>
                <w:tcPr>
                  <w:tcW w:w="298" w:type="pct"/>
                  <w:vMerge w:val="continue"/>
                  <w:vAlign w:val="center"/>
                </w:tcPr>
                <w:p w14:paraId="39640948">
                  <w:pPr>
                    <w:jc w:val="center"/>
                  </w:pPr>
                </w:p>
              </w:tc>
              <w:tc>
                <w:tcPr>
                  <w:tcW w:w="276" w:type="pct"/>
                  <w:vMerge w:val="continue"/>
                  <w:vAlign w:val="center"/>
                </w:tcPr>
                <w:p w14:paraId="4D1FBA4B">
                  <w:pPr>
                    <w:jc w:val="center"/>
                  </w:pPr>
                </w:p>
              </w:tc>
              <w:tc>
                <w:tcPr>
                  <w:tcW w:w="298" w:type="pct"/>
                  <w:vMerge w:val="continue"/>
                  <w:vAlign w:val="center"/>
                </w:tcPr>
                <w:p w14:paraId="3B62F255">
                  <w:pPr>
                    <w:jc w:val="center"/>
                  </w:pPr>
                </w:p>
              </w:tc>
              <w:tc>
                <w:tcPr>
                  <w:tcW w:w="305" w:type="pct"/>
                  <w:vMerge w:val="continue"/>
                  <w:vAlign w:val="center"/>
                </w:tcPr>
                <w:p w14:paraId="0FB69189">
                  <w:pPr>
                    <w:jc w:val="center"/>
                  </w:pPr>
                </w:p>
              </w:tc>
              <w:tc>
                <w:tcPr>
                  <w:tcW w:w="254" w:type="pct"/>
                  <w:shd w:val="clear" w:color="auto" w:fill="auto"/>
                  <w:vAlign w:val="center"/>
                </w:tcPr>
                <w:p w14:paraId="41A838F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7FA2B8C2">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w:t>
                  </w:r>
                </w:p>
              </w:tc>
              <w:tc>
                <w:tcPr>
                  <w:tcW w:w="378" w:type="pct"/>
                  <w:vAlign w:val="center"/>
                </w:tcPr>
                <w:p w14:paraId="20D2BD50">
                  <w:pPr>
                    <w:jc w:val="center"/>
                    <w:rPr>
                      <w:rFonts w:hint="default"/>
                      <w:szCs w:val="21"/>
                      <w:lang w:val="en-US" w:eastAsia="zh-CN"/>
                    </w:rPr>
                  </w:pPr>
                  <w:r>
                    <w:rPr>
                      <w:rFonts w:hint="eastAsia"/>
                      <w:szCs w:val="21"/>
                      <w:lang w:val="en-US" w:eastAsia="zh-CN"/>
                    </w:rPr>
                    <w:t>68.3</w:t>
                  </w:r>
                </w:p>
              </w:tc>
              <w:tc>
                <w:tcPr>
                  <w:tcW w:w="291" w:type="pct"/>
                  <w:vMerge w:val="continue"/>
                  <w:vAlign w:val="center"/>
                </w:tcPr>
                <w:p w14:paraId="6A56812A">
                  <w:pPr>
                    <w:jc w:val="center"/>
                    <w:rPr>
                      <w:rFonts w:hint="eastAsia"/>
                      <w:szCs w:val="21"/>
                      <w:lang w:val="en-US" w:eastAsia="zh-CN"/>
                    </w:rPr>
                  </w:pPr>
                </w:p>
              </w:tc>
              <w:tc>
                <w:tcPr>
                  <w:tcW w:w="429" w:type="pct"/>
                  <w:vMerge w:val="continue"/>
                  <w:vAlign w:val="center"/>
                </w:tcPr>
                <w:p w14:paraId="0F68F3A7">
                  <w:pPr>
                    <w:jc w:val="center"/>
                    <w:rPr>
                      <w:rFonts w:hint="eastAsia"/>
                      <w:szCs w:val="21"/>
                      <w:lang w:val="en-US" w:eastAsia="zh-CN"/>
                    </w:rPr>
                  </w:pPr>
                </w:p>
              </w:tc>
              <w:tc>
                <w:tcPr>
                  <w:tcW w:w="458" w:type="pct"/>
                  <w:vAlign w:val="center"/>
                </w:tcPr>
                <w:p w14:paraId="44E7418C">
                  <w:pPr>
                    <w:jc w:val="center"/>
                    <w:rPr>
                      <w:rFonts w:hint="default"/>
                      <w:szCs w:val="21"/>
                      <w:lang w:val="en-US" w:eastAsia="zh-CN"/>
                    </w:rPr>
                  </w:pPr>
                  <w:r>
                    <w:rPr>
                      <w:rFonts w:hint="eastAsia"/>
                      <w:szCs w:val="21"/>
                      <w:lang w:val="en-US" w:eastAsia="zh-CN"/>
                    </w:rPr>
                    <w:t>53.3</w:t>
                  </w:r>
                </w:p>
              </w:tc>
              <w:tc>
                <w:tcPr>
                  <w:tcW w:w="318" w:type="pct"/>
                  <w:vMerge w:val="continue"/>
                  <w:vAlign w:val="center"/>
                </w:tcPr>
                <w:p w14:paraId="502F5D0E">
                  <w:pPr>
                    <w:jc w:val="center"/>
                    <w:rPr>
                      <w:rFonts w:hint="eastAsia"/>
                      <w:szCs w:val="21"/>
                      <w:lang w:val="en-US" w:eastAsia="zh-CN"/>
                    </w:rPr>
                  </w:pPr>
                </w:p>
              </w:tc>
            </w:tr>
            <w:tr w14:paraId="2801C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DC13233">
                  <w:pPr>
                    <w:jc w:val="center"/>
                    <w:rPr>
                      <w:rFonts w:hint="eastAsia"/>
                      <w:szCs w:val="21"/>
                      <w:lang w:val="en-US" w:eastAsia="zh-CN"/>
                    </w:rPr>
                  </w:pPr>
                </w:p>
              </w:tc>
              <w:tc>
                <w:tcPr>
                  <w:tcW w:w="295" w:type="pct"/>
                  <w:vMerge w:val="continue"/>
                  <w:vAlign w:val="center"/>
                </w:tcPr>
                <w:p w14:paraId="70EDC5C2">
                  <w:pPr>
                    <w:jc w:val="center"/>
                    <w:rPr>
                      <w:rFonts w:hint="eastAsia"/>
                      <w:szCs w:val="21"/>
                      <w:lang w:val="en-US" w:eastAsia="zh-CN"/>
                    </w:rPr>
                  </w:pPr>
                </w:p>
              </w:tc>
              <w:tc>
                <w:tcPr>
                  <w:tcW w:w="255" w:type="pct"/>
                  <w:vMerge w:val="continue"/>
                  <w:shd w:val="clear" w:color="auto" w:fill="auto"/>
                  <w:vAlign w:val="center"/>
                </w:tcPr>
                <w:p w14:paraId="04AF4E53">
                  <w:pPr>
                    <w:jc w:val="center"/>
                    <w:rPr>
                      <w:rFonts w:hint="eastAsia"/>
                      <w:szCs w:val="21"/>
                      <w:lang w:val="en-US" w:eastAsia="zh-CN"/>
                    </w:rPr>
                  </w:pPr>
                </w:p>
              </w:tc>
              <w:tc>
                <w:tcPr>
                  <w:tcW w:w="305" w:type="pct"/>
                  <w:vMerge w:val="continue"/>
                  <w:shd w:val="clear" w:color="auto" w:fill="auto"/>
                  <w:vAlign w:val="center"/>
                </w:tcPr>
                <w:p w14:paraId="76CB0B33">
                  <w:pPr>
                    <w:jc w:val="center"/>
                    <w:rPr>
                      <w:rFonts w:hint="eastAsia"/>
                      <w:szCs w:val="21"/>
                      <w:lang w:val="en-US" w:eastAsia="zh-CN"/>
                    </w:rPr>
                  </w:pPr>
                </w:p>
              </w:tc>
              <w:tc>
                <w:tcPr>
                  <w:tcW w:w="393" w:type="pct"/>
                  <w:vMerge w:val="continue"/>
                  <w:vAlign w:val="center"/>
                </w:tcPr>
                <w:p w14:paraId="28372FC5">
                  <w:pPr>
                    <w:jc w:val="center"/>
                    <w:rPr>
                      <w:rFonts w:hint="eastAsia"/>
                      <w:szCs w:val="21"/>
                      <w:lang w:val="en-US" w:eastAsia="zh-CN"/>
                    </w:rPr>
                  </w:pPr>
                </w:p>
              </w:tc>
              <w:tc>
                <w:tcPr>
                  <w:tcW w:w="298" w:type="pct"/>
                  <w:vMerge w:val="continue"/>
                  <w:vAlign w:val="center"/>
                </w:tcPr>
                <w:p w14:paraId="7A6EDD92">
                  <w:pPr>
                    <w:jc w:val="center"/>
                    <w:rPr>
                      <w:rFonts w:hint="eastAsia"/>
                      <w:szCs w:val="21"/>
                      <w:lang w:val="en-US" w:eastAsia="zh-CN"/>
                    </w:rPr>
                  </w:pPr>
                </w:p>
              </w:tc>
              <w:tc>
                <w:tcPr>
                  <w:tcW w:w="276" w:type="pct"/>
                  <w:vMerge w:val="continue"/>
                  <w:vAlign w:val="center"/>
                </w:tcPr>
                <w:p w14:paraId="54768F0D">
                  <w:pPr>
                    <w:jc w:val="center"/>
                    <w:rPr>
                      <w:rFonts w:hint="eastAsia"/>
                      <w:szCs w:val="21"/>
                      <w:lang w:val="en-US" w:eastAsia="zh-CN"/>
                    </w:rPr>
                  </w:pPr>
                </w:p>
              </w:tc>
              <w:tc>
                <w:tcPr>
                  <w:tcW w:w="298" w:type="pct"/>
                  <w:vMerge w:val="continue"/>
                  <w:vAlign w:val="center"/>
                </w:tcPr>
                <w:p w14:paraId="36DE7048">
                  <w:pPr>
                    <w:jc w:val="center"/>
                    <w:rPr>
                      <w:rFonts w:hint="eastAsia"/>
                      <w:szCs w:val="21"/>
                      <w:lang w:val="en-US" w:eastAsia="zh-CN"/>
                    </w:rPr>
                  </w:pPr>
                </w:p>
              </w:tc>
              <w:tc>
                <w:tcPr>
                  <w:tcW w:w="305" w:type="pct"/>
                  <w:vMerge w:val="continue"/>
                  <w:vAlign w:val="center"/>
                </w:tcPr>
                <w:p w14:paraId="40076A50">
                  <w:pPr>
                    <w:jc w:val="center"/>
                    <w:rPr>
                      <w:rFonts w:hint="eastAsia"/>
                      <w:szCs w:val="21"/>
                      <w:lang w:val="en-US" w:eastAsia="zh-CN"/>
                    </w:rPr>
                  </w:pPr>
                </w:p>
              </w:tc>
              <w:tc>
                <w:tcPr>
                  <w:tcW w:w="254" w:type="pct"/>
                  <w:shd w:val="clear" w:color="auto" w:fill="auto"/>
                  <w:vAlign w:val="center"/>
                </w:tcPr>
                <w:p w14:paraId="145B4108">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000054B1">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378" w:type="pct"/>
                  <w:vAlign w:val="center"/>
                </w:tcPr>
                <w:p w14:paraId="186D919F">
                  <w:pPr>
                    <w:jc w:val="center"/>
                    <w:rPr>
                      <w:rFonts w:hint="default"/>
                      <w:szCs w:val="21"/>
                      <w:lang w:val="en-US" w:eastAsia="zh-CN"/>
                    </w:rPr>
                  </w:pPr>
                  <w:r>
                    <w:rPr>
                      <w:rFonts w:hint="eastAsia"/>
                      <w:szCs w:val="21"/>
                      <w:lang w:val="en-US" w:eastAsia="zh-CN"/>
                    </w:rPr>
                    <w:t>71.1</w:t>
                  </w:r>
                </w:p>
              </w:tc>
              <w:tc>
                <w:tcPr>
                  <w:tcW w:w="291" w:type="pct"/>
                  <w:vMerge w:val="continue"/>
                  <w:vAlign w:val="center"/>
                </w:tcPr>
                <w:p w14:paraId="3E1AD8C9">
                  <w:pPr>
                    <w:jc w:val="center"/>
                    <w:rPr>
                      <w:rFonts w:hint="eastAsia"/>
                      <w:szCs w:val="21"/>
                      <w:lang w:val="en-US" w:eastAsia="zh-CN"/>
                    </w:rPr>
                  </w:pPr>
                </w:p>
              </w:tc>
              <w:tc>
                <w:tcPr>
                  <w:tcW w:w="429" w:type="pct"/>
                  <w:vMerge w:val="continue"/>
                  <w:vAlign w:val="center"/>
                </w:tcPr>
                <w:p w14:paraId="784D3569">
                  <w:pPr>
                    <w:jc w:val="center"/>
                    <w:rPr>
                      <w:rFonts w:hint="eastAsia"/>
                      <w:szCs w:val="21"/>
                      <w:lang w:val="en-US" w:eastAsia="zh-CN"/>
                    </w:rPr>
                  </w:pPr>
                </w:p>
              </w:tc>
              <w:tc>
                <w:tcPr>
                  <w:tcW w:w="458" w:type="pct"/>
                  <w:vAlign w:val="center"/>
                </w:tcPr>
                <w:p w14:paraId="7CD958CE">
                  <w:pPr>
                    <w:jc w:val="center"/>
                    <w:rPr>
                      <w:rFonts w:hint="default"/>
                      <w:szCs w:val="21"/>
                      <w:lang w:val="en-US" w:eastAsia="zh-CN"/>
                    </w:rPr>
                  </w:pPr>
                  <w:r>
                    <w:rPr>
                      <w:rFonts w:hint="eastAsia"/>
                      <w:szCs w:val="21"/>
                      <w:lang w:val="en-US" w:eastAsia="zh-CN"/>
                    </w:rPr>
                    <w:t>56.1</w:t>
                  </w:r>
                </w:p>
              </w:tc>
              <w:tc>
                <w:tcPr>
                  <w:tcW w:w="318" w:type="pct"/>
                  <w:vMerge w:val="continue"/>
                  <w:vAlign w:val="center"/>
                </w:tcPr>
                <w:p w14:paraId="120F8E0E">
                  <w:pPr>
                    <w:jc w:val="center"/>
                    <w:rPr>
                      <w:rFonts w:hint="eastAsia"/>
                      <w:szCs w:val="21"/>
                      <w:lang w:val="en-US" w:eastAsia="zh-CN"/>
                    </w:rPr>
                  </w:pPr>
                </w:p>
              </w:tc>
            </w:tr>
            <w:tr w14:paraId="2561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78" w:type="pct"/>
                  <w:vMerge w:val="continue"/>
                  <w:vAlign w:val="center"/>
                </w:tcPr>
                <w:p w14:paraId="1E393A54">
                  <w:pPr>
                    <w:jc w:val="center"/>
                    <w:rPr>
                      <w:rFonts w:hint="eastAsia"/>
                      <w:szCs w:val="21"/>
                      <w:lang w:val="en-US" w:eastAsia="zh-CN"/>
                    </w:rPr>
                  </w:pPr>
                </w:p>
              </w:tc>
              <w:tc>
                <w:tcPr>
                  <w:tcW w:w="295" w:type="pct"/>
                  <w:vMerge w:val="continue"/>
                  <w:vAlign w:val="center"/>
                </w:tcPr>
                <w:p w14:paraId="10DDB833">
                  <w:pPr>
                    <w:jc w:val="center"/>
                    <w:rPr>
                      <w:rFonts w:hint="eastAsia"/>
                      <w:szCs w:val="21"/>
                      <w:lang w:val="en-US" w:eastAsia="zh-CN"/>
                    </w:rPr>
                  </w:pPr>
                </w:p>
              </w:tc>
              <w:tc>
                <w:tcPr>
                  <w:tcW w:w="255" w:type="pct"/>
                  <w:vMerge w:val="continue"/>
                  <w:shd w:val="clear" w:color="auto" w:fill="auto"/>
                  <w:vAlign w:val="center"/>
                </w:tcPr>
                <w:p w14:paraId="1E7E56CF">
                  <w:pPr>
                    <w:jc w:val="center"/>
                    <w:rPr>
                      <w:rFonts w:hint="eastAsia"/>
                      <w:szCs w:val="21"/>
                      <w:lang w:val="en-US" w:eastAsia="zh-CN"/>
                    </w:rPr>
                  </w:pPr>
                </w:p>
              </w:tc>
              <w:tc>
                <w:tcPr>
                  <w:tcW w:w="305" w:type="pct"/>
                  <w:vMerge w:val="continue"/>
                  <w:shd w:val="clear" w:color="auto" w:fill="auto"/>
                  <w:vAlign w:val="center"/>
                </w:tcPr>
                <w:p w14:paraId="3E503B02">
                  <w:pPr>
                    <w:jc w:val="center"/>
                    <w:rPr>
                      <w:rFonts w:hint="eastAsia"/>
                      <w:szCs w:val="21"/>
                      <w:lang w:val="en-US" w:eastAsia="zh-CN"/>
                    </w:rPr>
                  </w:pPr>
                </w:p>
              </w:tc>
              <w:tc>
                <w:tcPr>
                  <w:tcW w:w="393" w:type="pct"/>
                  <w:vMerge w:val="continue"/>
                  <w:vAlign w:val="center"/>
                </w:tcPr>
                <w:p w14:paraId="77F39276">
                  <w:pPr>
                    <w:jc w:val="center"/>
                    <w:rPr>
                      <w:rFonts w:hint="eastAsia"/>
                      <w:szCs w:val="21"/>
                      <w:lang w:val="en-US" w:eastAsia="zh-CN"/>
                    </w:rPr>
                  </w:pPr>
                </w:p>
              </w:tc>
              <w:tc>
                <w:tcPr>
                  <w:tcW w:w="298" w:type="pct"/>
                  <w:vMerge w:val="continue"/>
                  <w:vAlign w:val="center"/>
                </w:tcPr>
                <w:p w14:paraId="010F0520">
                  <w:pPr>
                    <w:jc w:val="center"/>
                    <w:rPr>
                      <w:rFonts w:hint="eastAsia"/>
                      <w:szCs w:val="21"/>
                      <w:lang w:val="en-US" w:eastAsia="zh-CN"/>
                    </w:rPr>
                  </w:pPr>
                </w:p>
              </w:tc>
              <w:tc>
                <w:tcPr>
                  <w:tcW w:w="276" w:type="pct"/>
                  <w:vMerge w:val="continue"/>
                  <w:vAlign w:val="center"/>
                </w:tcPr>
                <w:p w14:paraId="42C128FB">
                  <w:pPr>
                    <w:jc w:val="center"/>
                    <w:rPr>
                      <w:rFonts w:hint="eastAsia"/>
                      <w:szCs w:val="21"/>
                      <w:lang w:val="en-US" w:eastAsia="zh-CN"/>
                    </w:rPr>
                  </w:pPr>
                </w:p>
              </w:tc>
              <w:tc>
                <w:tcPr>
                  <w:tcW w:w="298" w:type="pct"/>
                  <w:vMerge w:val="continue"/>
                  <w:vAlign w:val="center"/>
                </w:tcPr>
                <w:p w14:paraId="54C11346">
                  <w:pPr>
                    <w:jc w:val="center"/>
                    <w:rPr>
                      <w:rFonts w:hint="eastAsia"/>
                      <w:szCs w:val="21"/>
                      <w:lang w:val="en-US" w:eastAsia="zh-CN"/>
                    </w:rPr>
                  </w:pPr>
                </w:p>
              </w:tc>
              <w:tc>
                <w:tcPr>
                  <w:tcW w:w="305" w:type="pct"/>
                  <w:vMerge w:val="continue"/>
                  <w:vAlign w:val="center"/>
                </w:tcPr>
                <w:p w14:paraId="05D955CB">
                  <w:pPr>
                    <w:jc w:val="center"/>
                    <w:rPr>
                      <w:rFonts w:hint="eastAsia"/>
                      <w:szCs w:val="21"/>
                      <w:lang w:val="en-US" w:eastAsia="zh-CN"/>
                    </w:rPr>
                  </w:pPr>
                </w:p>
              </w:tc>
              <w:tc>
                <w:tcPr>
                  <w:tcW w:w="254" w:type="pct"/>
                  <w:shd w:val="clear" w:color="auto" w:fill="auto"/>
                  <w:vAlign w:val="center"/>
                </w:tcPr>
                <w:p w14:paraId="756C174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2CBB999A">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378" w:type="pct"/>
                  <w:vAlign w:val="center"/>
                </w:tcPr>
                <w:p w14:paraId="42F8D8D6">
                  <w:pPr>
                    <w:jc w:val="center"/>
                    <w:rPr>
                      <w:rFonts w:hint="default"/>
                      <w:szCs w:val="21"/>
                      <w:lang w:val="en-US" w:eastAsia="zh-CN"/>
                    </w:rPr>
                  </w:pPr>
                  <w:r>
                    <w:rPr>
                      <w:rFonts w:hint="eastAsia"/>
                      <w:szCs w:val="21"/>
                      <w:lang w:val="en-US" w:eastAsia="zh-CN"/>
                    </w:rPr>
                    <w:t>71.5</w:t>
                  </w:r>
                </w:p>
              </w:tc>
              <w:tc>
                <w:tcPr>
                  <w:tcW w:w="291" w:type="pct"/>
                  <w:vMerge w:val="continue"/>
                  <w:vAlign w:val="center"/>
                </w:tcPr>
                <w:p w14:paraId="1F218D4B">
                  <w:pPr>
                    <w:jc w:val="center"/>
                    <w:rPr>
                      <w:rFonts w:hint="eastAsia"/>
                      <w:szCs w:val="21"/>
                      <w:lang w:val="en-US" w:eastAsia="zh-CN"/>
                    </w:rPr>
                  </w:pPr>
                </w:p>
              </w:tc>
              <w:tc>
                <w:tcPr>
                  <w:tcW w:w="429" w:type="pct"/>
                  <w:vMerge w:val="continue"/>
                  <w:vAlign w:val="center"/>
                </w:tcPr>
                <w:p w14:paraId="7A5B7B04">
                  <w:pPr>
                    <w:jc w:val="center"/>
                    <w:rPr>
                      <w:rFonts w:hint="eastAsia"/>
                      <w:szCs w:val="21"/>
                      <w:lang w:val="en-US" w:eastAsia="zh-CN"/>
                    </w:rPr>
                  </w:pPr>
                </w:p>
              </w:tc>
              <w:tc>
                <w:tcPr>
                  <w:tcW w:w="458" w:type="pct"/>
                  <w:vAlign w:val="center"/>
                </w:tcPr>
                <w:p w14:paraId="3B1F8E44">
                  <w:pPr>
                    <w:jc w:val="center"/>
                    <w:rPr>
                      <w:rFonts w:hint="default"/>
                      <w:szCs w:val="21"/>
                      <w:lang w:val="en-US" w:eastAsia="zh-CN"/>
                    </w:rPr>
                  </w:pPr>
                  <w:r>
                    <w:rPr>
                      <w:rFonts w:hint="eastAsia"/>
                      <w:szCs w:val="21"/>
                      <w:lang w:val="en-US" w:eastAsia="zh-CN"/>
                    </w:rPr>
                    <w:t>56.5</w:t>
                  </w:r>
                </w:p>
              </w:tc>
              <w:tc>
                <w:tcPr>
                  <w:tcW w:w="318" w:type="pct"/>
                  <w:vMerge w:val="continue"/>
                  <w:vAlign w:val="center"/>
                </w:tcPr>
                <w:p w14:paraId="675D058C">
                  <w:pPr>
                    <w:jc w:val="center"/>
                    <w:rPr>
                      <w:rFonts w:hint="eastAsia"/>
                      <w:szCs w:val="21"/>
                      <w:lang w:val="en-US" w:eastAsia="zh-CN"/>
                    </w:rPr>
                  </w:pPr>
                </w:p>
              </w:tc>
            </w:tr>
            <w:tr w14:paraId="12488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restart"/>
                  <w:vAlign w:val="center"/>
                </w:tcPr>
                <w:p w14:paraId="25F40E27">
                  <w:pPr>
                    <w:jc w:val="center"/>
                    <w:rPr>
                      <w:rFonts w:hint="default"/>
                      <w:szCs w:val="21"/>
                      <w:lang w:val="en-US" w:eastAsia="zh-CN"/>
                    </w:rPr>
                  </w:pPr>
                  <w:r>
                    <w:rPr>
                      <w:rFonts w:hint="eastAsia"/>
                      <w:szCs w:val="21"/>
                      <w:lang w:val="en-US" w:eastAsia="zh-CN"/>
                    </w:rPr>
                    <w:t>3</w:t>
                  </w:r>
                </w:p>
              </w:tc>
              <w:tc>
                <w:tcPr>
                  <w:tcW w:w="295" w:type="pct"/>
                  <w:vMerge w:val="restart"/>
                  <w:vAlign w:val="center"/>
                </w:tcPr>
                <w:p w14:paraId="533BE056">
                  <w:pPr>
                    <w:jc w:val="center"/>
                    <w:rPr>
                      <w:rFonts w:hint="default"/>
                      <w:szCs w:val="21"/>
                      <w:lang w:val="en-US" w:eastAsia="zh-CN"/>
                    </w:rPr>
                  </w:pPr>
                  <w:r>
                    <w:rPr>
                      <w:rFonts w:hint="eastAsia"/>
                      <w:szCs w:val="21"/>
                      <w:lang w:val="en-US" w:eastAsia="zh-CN"/>
                    </w:rPr>
                    <w:t>二层厂房内</w:t>
                  </w:r>
                </w:p>
              </w:tc>
              <w:tc>
                <w:tcPr>
                  <w:tcW w:w="255" w:type="pct"/>
                  <w:vMerge w:val="restart"/>
                  <w:shd w:val="clear" w:color="auto" w:fill="auto"/>
                  <w:vAlign w:val="center"/>
                </w:tcPr>
                <w:p w14:paraId="72C59E7E">
                  <w:pPr>
                    <w:jc w:val="center"/>
                    <w:rPr>
                      <w:rFonts w:hint="default"/>
                      <w:szCs w:val="21"/>
                      <w:lang w:val="en-US" w:eastAsia="zh-CN"/>
                    </w:rPr>
                  </w:pPr>
                  <w:r>
                    <w:rPr>
                      <w:rFonts w:hint="eastAsia"/>
                      <w:szCs w:val="21"/>
                      <w:lang w:val="en-US" w:eastAsia="zh-CN"/>
                    </w:rPr>
                    <w:t>机加工设备</w:t>
                  </w:r>
                </w:p>
              </w:tc>
              <w:tc>
                <w:tcPr>
                  <w:tcW w:w="305" w:type="pct"/>
                  <w:vMerge w:val="restart"/>
                  <w:shd w:val="clear" w:color="auto" w:fill="auto"/>
                  <w:vAlign w:val="center"/>
                </w:tcPr>
                <w:p w14:paraId="63CD6C08">
                  <w:pPr>
                    <w:jc w:val="center"/>
                    <w:rPr>
                      <w:rFonts w:hint="default"/>
                      <w:szCs w:val="21"/>
                      <w:lang w:val="en-US" w:eastAsia="zh-CN"/>
                    </w:rPr>
                  </w:pPr>
                  <w:r>
                    <w:rPr>
                      <w:rFonts w:hint="eastAsia"/>
                      <w:szCs w:val="21"/>
                      <w:lang w:val="en-US" w:eastAsia="zh-CN"/>
                    </w:rPr>
                    <w:t>19</w:t>
                  </w:r>
                </w:p>
              </w:tc>
              <w:tc>
                <w:tcPr>
                  <w:tcW w:w="393" w:type="pct"/>
                  <w:vMerge w:val="restart"/>
                  <w:vAlign w:val="center"/>
                </w:tcPr>
                <w:p w14:paraId="739028B1">
                  <w:pPr>
                    <w:jc w:val="center"/>
                    <w:rPr>
                      <w:rFonts w:hint="default"/>
                      <w:szCs w:val="21"/>
                      <w:lang w:val="en-US" w:eastAsia="zh-CN"/>
                    </w:rPr>
                  </w:pPr>
                  <w:r>
                    <w:rPr>
                      <w:rFonts w:hint="eastAsia"/>
                      <w:szCs w:val="21"/>
                      <w:lang w:val="en-US" w:eastAsia="zh-CN"/>
                    </w:rPr>
                    <w:t>70-80</w:t>
                  </w:r>
                </w:p>
              </w:tc>
              <w:tc>
                <w:tcPr>
                  <w:tcW w:w="298" w:type="pct"/>
                  <w:vMerge w:val="continue"/>
                  <w:vAlign w:val="center"/>
                </w:tcPr>
                <w:p w14:paraId="008A6351">
                  <w:pPr>
                    <w:jc w:val="center"/>
                    <w:rPr>
                      <w:rFonts w:hint="eastAsia"/>
                      <w:szCs w:val="21"/>
                      <w:lang w:val="en-US" w:eastAsia="zh-CN"/>
                    </w:rPr>
                  </w:pPr>
                </w:p>
              </w:tc>
              <w:tc>
                <w:tcPr>
                  <w:tcW w:w="276" w:type="pct"/>
                  <w:vMerge w:val="restart"/>
                  <w:vAlign w:val="center"/>
                </w:tcPr>
                <w:p w14:paraId="099A82F2">
                  <w:pPr>
                    <w:jc w:val="center"/>
                    <w:rPr>
                      <w:rFonts w:hint="default"/>
                      <w:szCs w:val="21"/>
                      <w:lang w:val="en-US" w:eastAsia="zh-CN"/>
                    </w:rPr>
                  </w:pPr>
                  <w:r>
                    <w:rPr>
                      <w:rFonts w:hint="eastAsia"/>
                      <w:szCs w:val="21"/>
                      <w:lang w:val="en-US" w:eastAsia="zh-CN"/>
                    </w:rPr>
                    <w:t>2-40</w:t>
                  </w:r>
                </w:p>
              </w:tc>
              <w:tc>
                <w:tcPr>
                  <w:tcW w:w="298" w:type="pct"/>
                  <w:vMerge w:val="restart"/>
                  <w:vAlign w:val="center"/>
                </w:tcPr>
                <w:p w14:paraId="51438AD7">
                  <w:pPr>
                    <w:jc w:val="center"/>
                    <w:rPr>
                      <w:rFonts w:hint="default"/>
                      <w:szCs w:val="21"/>
                      <w:lang w:val="en-US" w:eastAsia="zh-CN"/>
                    </w:rPr>
                  </w:pPr>
                  <w:r>
                    <w:rPr>
                      <w:rFonts w:hint="eastAsia"/>
                      <w:szCs w:val="21"/>
                      <w:lang w:val="en-US" w:eastAsia="zh-CN"/>
                    </w:rPr>
                    <w:t>1-10</w:t>
                  </w:r>
                </w:p>
              </w:tc>
              <w:tc>
                <w:tcPr>
                  <w:tcW w:w="305" w:type="pct"/>
                  <w:vMerge w:val="restart"/>
                  <w:vAlign w:val="center"/>
                </w:tcPr>
                <w:p w14:paraId="2B1570C3">
                  <w:pPr>
                    <w:jc w:val="center"/>
                    <w:rPr>
                      <w:rFonts w:hint="default"/>
                      <w:szCs w:val="21"/>
                      <w:lang w:val="en-US" w:eastAsia="zh-CN"/>
                    </w:rPr>
                  </w:pPr>
                  <w:r>
                    <w:rPr>
                      <w:rFonts w:hint="eastAsia"/>
                      <w:szCs w:val="21"/>
                      <w:lang w:val="en-US" w:eastAsia="zh-CN"/>
                    </w:rPr>
                    <w:t>9.2</w:t>
                  </w:r>
                </w:p>
              </w:tc>
              <w:tc>
                <w:tcPr>
                  <w:tcW w:w="254" w:type="pct"/>
                  <w:shd w:val="clear" w:color="auto" w:fill="auto"/>
                  <w:vAlign w:val="center"/>
                </w:tcPr>
                <w:p w14:paraId="11A9192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1F39868D">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378" w:type="pct"/>
                  <w:vAlign w:val="center"/>
                </w:tcPr>
                <w:p w14:paraId="6A206DF1">
                  <w:pPr>
                    <w:jc w:val="center"/>
                    <w:rPr>
                      <w:rFonts w:hint="default"/>
                      <w:szCs w:val="21"/>
                      <w:lang w:val="en-US" w:eastAsia="zh-CN"/>
                    </w:rPr>
                  </w:pPr>
                  <w:r>
                    <w:rPr>
                      <w:rFonts w:hint="eastAsia"/>
                      <w:szCs w:val="21"/>
                      <w:lang w:val="en-US" w:eastAsia="zh-CN"/>
                    </w:rPr>
                    <w:t>75.5</w:t>
                  </w:r>
                </w:p>
              </w:tc>
              <w:tc>
                <w:tcPr>
                  <w:tcW w:w="291" w:type="pct"/>
                  <w:vMerge w:val="restart"/>
                  <w:vAlign w:val="center"/>
                </w:tcPr>
                <w:p w14:paraId="06EC7D8F">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vAlign w:val="center"/>
                </w:tcPr>
                <w:p w14:paraId="291F9BB0">
                  <w:pPr>
                    <w:jc w:val="center"/>
                    <w:rPr>
                      <w:rFonts w:hint="eastAsia"/>
                      <w:szCs w:val="21"/>
                      <w:lang w:val="en-US" w:eastAsia="zh-CN"/>
                    </w:rPr>
                  </w:pPr>
                  <w:r>
                    <w:rPr>
                      <w:rFonts w:hint="eastAsia"/>
                      <w:szCs w:val="21"/>
                    </w:rPr>
                    <w:t>-15</w:t>
                  </w:r>
                </w:p>
              </w:tc>
              <w:tc>
                <w:tcPr>
                  <w:tcW w:w="458" w:type="pct"/>
                  <w:vAlign w:val="center"/>
                </w:tcPr>
                <w:p w14:paraId="4F5C3DAF">
                  <w:pPr>
                    <w:jc w:val="center"/>
                    <w:rPr>
                      <w:rFonts w:hint="default"/>
                      <w:szCs w:val="21"/>
                      <w:lang w:val="en-US" w:eastAsia="zh-CN"/>
                    </w:rPr>
                  </w:pPr>
                  <w:r>
                    <w:rPr>
                      <w:rFonts w:hint="eastAsia"/>
                      <w:szCs w:val="21"/>
                      <w:lang w:val="en-US" w:eastAsia="zh-CN"/>
                    </w:rPr>
                    <w:t>60.5</w:t>
                  </w:r>
                </w:p>
              </w:tc>
              <w:tc>
                <w:tcPr>
                  <w:tcW w:w="318" w:type="pct"/>
                  <w:vMerge w:val="continue"/>
                  <w:vAlign w:val="center"/>
                </w:tcPr>
                <w:p w14:paraId="4E2B9964">
                  <w:pPr>
                    <w:jc w:val="center"/>
                    <w:rPr>
                      <w:rFonts w:hint="eastAsia"/>
                      <w:szCs w:val="21"/>
                      <w:lang w:val="en-US" w:eastAsia="zh-CN"/>
                    </w:rPr>
                  </w:pPr>
                </w:p>
              </w:tc>
            </w:tr>
            <w:tr w14:paraId="623EB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50407A91">
                  <w:pPr>
                    <w:jc w:val="center"/>
                  </w:pPr>
                </w:p>
              </w:tc>
              <w:tc>
                <w:tcPr>
                  <w:tcW w:w="295" w:type="pct"/>
                  <w:vMerge w:val="continue"/>
                  <w:vAlign w:val="center"/>
                </w:tcPr>
                <w:p w14:paraId="215983DB">
                  <w:pPr>
                    <w:jc w:val="center"/>
                  </w:pPr>
                </w:p>
              </w:tc>
              <w:tc>
                <w:tcPr>
                  <w:tcW w:w="255" w:type="pct"/>
                  <w:vMerge w:val="continue"/>
                  <w:shd w:val="clear" w:color="auto" w:fill="auto"/>
                  <w:vAlign w:val="center"/>
                </w:tcPr>
                <w:p w14:paraId="2ED469E5">
                  <w:pPr>
                    <w:jc w:val="center"/>
                  </w:pPr>
                </w:p>
              </w:tc>
              <w:tc>
                <w:tcPr>
                  <w:tcW w:w="305" w:type="pct"/>
                  <w:vMerge w:val="continue"/>
                  <w:shd w:val="clear" w:color="auto" w:fill="auto"/>
                  <w:vAlign w:val="center"/>
                </w:tcPr>
                <w:p w14:paraId="37567906">
                  <w:pPr>
                    <w:jc w:val="center"/>
                  </w:pPr>
                </w:p>
              </w:tc>
              <w:tc>
                <w:tcPr>
                  <w:tcW w:w="393" w:type="pct"/>
                  <w:vMerge w:val="continue"/>
                  <w:vAlign w:val="center"/>
                </w:tcPr>
                <w:p w14:paraId="577BA027">
                  <w:pPr>
                    <w:jc w:val="center"/>
                  </w:pPr>
                </w:p>
              </w:tc>
              <w:tc>
                <w:tcPr>
                  <w:tcW w:w="298" w:type="pct"/>
                  <w:vMerge w:val="continue"/>
                  <w:vAlign w:val="center"/>
                </w:tcPr>
                <w:p w14:paraId="0C8D6134">
                  <w:pPr>
                    <w:jc w:val="center"/>
                  </w:pPr>
                </w:p>
              </w:tc>
              <w:tc>
                <w:tcPr>
                  <w:tcW w:w="276" w:type="pct"/>
                  <w:vMerge w:val="continue"/>
                  <w:vAlign w:val="center"/>
                </w:tcPr>
                <w:p w14:paraId="3D326139">
                  <w:pPr>
                    <w:jc w:val="center"/>
                  </w:pPr>
                </w:p>
              </w:tc>
              <w:tc>
                <w:tcPr>
                  <w:tcW w:w="298" w:type="pct"/>
                  <w:vMerge w:val="continue"/>
                  <w:vAlign w:val="center"/>
                </w:tcPr>
                <w:p w14:paraId="40D61B3D">
                  <w:pPr>
                    <w:jc w:val="center"/>
                  </w:pPr>
                </w:p>
              </w:tc>
              <w:tc>
                <w:tcPr>
                  <w:tcW w:w="305" w:type="pct"/>
                  <w:vMerge w:val="continue"/>
                  <w:vAlign w:val="center"/>
                </w:tcPr>
                <w:p w14:paraId="12BADF8B">
                  <w:pPr>
                    <w:jc w:val="center"/>
                  </w:pPr>
                </w:p>
              </w:tc>
              <w:tc>
                <w:tcPr>
                  <w:tcW w:w="254" w:type="pct"/>
                  <w:shd w:val="clear" w:color="auto" w:fill="auto"/>
                  <w:vAlign w:val="center"/>
                </w:tcPr>
                <w:p w14:paraId="010D5A7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3704FA7E">
                  <w:pPr>
                    <w:jc w:val="center"/>
                    <w:rPr>
                      <w:rFonts w:hint="default"/>
                      <w:szCs w:val="21"/>
                      <w:lang w:val="en-US" w:eastAsia="zh-CN"/>
                    </w:rPr>
                  </w:pPr>
                  <w:r>
                    <w:rPr>
                      <w:rFonts w:hint="eastAsia"/>
                      <w:szCs w:val="21"/>
                      <w:lang w:val="en-US" w:eastAsia="zh-CN"/>
                    </w:rPr>
                    <w:t>17</w:t>
                  </w:r>
                </w:p>
              </w:tc>
              <w:tc>
                <w:tcPr>
                  <w:tcW w:w="378" w:type="pct"/>
                  <w:vAlign w:val="center"/>
                </w:tcPr>
                <w:p w14:paraId="5B2335FD">
                  <w:pPr>
                    <w:jc w:val="center"/>
                    <w:rPr>
                      <w:rFonts w:hint="default"/>
                      <w:szCs w:val="21"/>
                      <w:lang w:val="en-US" w:eastAsia="zh-CN"/>
                    </w:rPr>
                  </w:pPr>
                  <w:r>
                    <w:rPr>
                      <w:rFonts w:hint="eastAsia"/>
                      <w:szCs w:val="21"/>
                      <w:lang w:val="en-US" w:eastAsia="zh-CN"/>
                    </w:rPr>
                    <w:t>67.8</w:t>
                  </w:r>
                </w:p>
              </w:tc>
              <w:tc>
                <w:tcPr>
                  <w:tcW w:w="291" w:type="pct"/>
                  <w:vMerge w:val="continue"/>
                  <w:vAlign w:val="center"/>
                </w:tcPr>
                <w:p w14:paraId="7AEFDEA6">
                  <w:pPr>
                    <w:jc w:val="center"/>
                    <w:rPr>
                      <w:rFonts w:hint="eastAsia"/>
                      <w:szCs w:val="21"/>
                      <w:lang w:val="en-US" w:eastAsia="zh-CN"/>
                    </w:rPr>
                  </w:pPr>
                </w:p>
              </w:tc>
              <w:tc>
                <w:tcPr>
                  <w:tcW w:w="429" w:type="pct"/>
                  <w:vMerge w:val="continue"/>
                  <w:vAlign w:val="center"/>
                </w:tcPr>
                <w:p w14:paraId="0525D50C">
                  <w:pPr>
                    <w:jc w:val="center"/>
                    <w:rPr>
                      <w:rFonts w:hint="eastAsia"/>
                      <w:szCs w:val="21"/>
                      <w:lang w:val="en-US" w:eastAsia="zh-CN"/>
                    </w:rPr>
                  </w:pPr>
                </w:p>
              </w:tc>
              <w:tc>
                <w:tcPr>
                  <w:tcW w:w="458" w:type="pct"/>
                  <w:vAlign w:val="center"/>
                </w:tcPr>
                <w:p w14:paraId="3E8B99A1">
                  <w:pPr>
                    <w:jc w:val="center"/>
                    <w:rPr>
                      <w:rFonts w:hint="default"/>
                      <w:szCs w:val="21"/>
                      <w:lang w:val="en-US" w:eastAsia="zh-CN"/>
                    </w:rPr>
                  </w:pPr>
                  <w:r>
                    <w:rPr>
                      <w:rFonts w:hint="eastAsia"/>
                      <w:szCs w:val="21"/>
                      <w:lang w:val="en-US" w:eastAsia="zh-CN"/>
                    </w:rPr>
                    <w:t>52.8</w:t>
                  </w:r>
                </w:p>
              </w:tc>
              <w:tc>
                <w:tcPr>
                  <w:tcW w:w="318" w:type="pct"/>
                  <w:vMerge w:val="continue"/>
                  <w:vAlign w:val="center"/>
                </w:tcPr>
                <w:p w14:paraId="662A2C35">
                  <w:pPr>
                    <w:jc w:val="center"/>
                    <w:rPr>
                      <w:rFonts w:hint="eastAsia"/>
                      <w:szCs w:val="21"/>
                      <w:lang w:val="en-US" w:eastAsia="zh-CN"/>
                    </w:rPr>
                  </w:pPr>
                </w:p>
              </w:tc>
            </w:tr>
            <w:tr w14:paraId="28093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3F44C1C6">
                  <w:pPr>
                    <w:jc w:val="center"/>
                    <w:rPr>
                      <w:rFonts w:hint="eastAsia"/>
                      <w:szCs w:val="21"/>
                      <w:lang w:val="en-US" w:eastAsia="zh-CN"/>
                    </w:rPr>
                  </w:pPr>
                </w:p>
              </w:tc>
              <w:tc>
                <w:tcPr>
                  <w:tcW w:w="295" w:type="pct"/>
                  <w:vMerge w:val="continue"/>
                  <w:vAlign w:val="center"/>
                </w:tcPr>
                <w:p w14:paraId="3E0143FF">
                  <w:pPr>
                    <w:jc w:val="center"/>
                    <w:rPr>
                      <w:rFonts w:hint="eastAsia"/>
                      <w:szCs w:val="21"/>
                      <w:lang w:val="en-US" w:eastAsia="zh-CN"/>
                    </w:rPr>
                  </w:pPr>
                </w:p>
              </w:tc>
              <w:tc>
                <w:tcPr>
                  <w:tcW w:w="255" w:type="pct"/>
                  <w:vMerge w:val="continue"/>
                  <w:shd w:val="clear" w:color="auto" w:fill="auto"/>
                  <w:vAlign w:val="center"/>
                </w:tcPr>
                <w:p w14:paraId="6D2FA941">
                  <w:pPr>
                    <w:jc w:val="center"/>
                    <w:rPr>
                      <w:rFonts w:hint="eastAsia"/>
                      <w:szCs w:val="21"/>
                      <w:lang w:val="en-US" w:eastAsia="zh-CN"/>
                    </w:rPr>
                  </w:pPr>
                </w:p>
              </w:tc>
              <w:tc>
                <w:tcPr>
                  <w:tcW w:w="305" w:type="pct"/>
                  <w:vMerge w:val="continue"/>
                  <w:shd w:val="clear" w:color="auto" w:fill="auto"/>
                  <w:vAlign w:val="center"/>
                </w:tcPr>
                <w:p w14:paraId="43B749FC">
                  <w:pPr>
                    <w:jc w:val="center"/>
                    <w:rPr>
                      <w:rFonts w:hint="eastAsia"/>
                      <w:szCs w:val="21"/>
                      <w:lang w:val="en-US" w:eastAsia="zh-CN"/>
                    </w:rPr>
                  </w:pPr>
                </w:p>
              </w:tc>
              <w:tc>
                <w:tcPr>
                  <w:tcW w:w="393" w:type="pct"/>
                  <w:vMerge w:val="continue"/>
                  <w:vAlign w:val="center"/>
                </w:tcPr>
                <w:p w14:paraId="11CD1906">
                  <w:pPr>
                    <w:jc w:val="center"/>
                    <w:rPr>
                      <w:rFonts w:hint="eastAsia"/>
                      <w:szCs w:val="21"/>
                      <w:lang w:val="en-US" w:eastAsia="zh-CN"/>
                    </w:rPr>
                  </w:pPr>
                </w:p>
              </w:tc>
              <w:tc>
                <w:tcPr>
                  <w:tcW w:w="298" w:type="pct"/>
                  <w:vMerge w:val="continue"/>
                  <w:vAlign w:val="center"/>
                </w:tcPr>
                <w:p w14:paraId="008EF555">
                  <w:pPr>
                    <w:jc w:val="center"/>
                    <w:rPr>
                      <w:rFonts w:hint="eastAsia"/>
                      <w:szCs w:val="21"/>
                      <w:lang w:val="en-US" w:eastAsia="zh-CN"/>
                    </w:rPr>
                  </w:pPr>
                </w:p>
              </w:tc>
              <w:tc>
                <w:tcPr>
                  <w:tcW w:w="276" w:type="pct"/>
                  <w:vMerge w:val="continue"/>
                  <w:vAlign w:val="center"/>
                </w:tcPr>
                <w:p w14:paraId="37A0C34F">
                  <w:pPr>
                    <w:jc w:val="center"/>
                    <w:rPr>
                      <w:rFonts w:hint="eastAsia"/>
                      <w:szCs w:val="21"/>
                      <w:lang w:val="en-US" w:eastAsia="zh-CN"/>
                    </w:rPr>
                  </w:pPr>
                </w:p>
              </w:tc>
              <w:tc>
                <w:tcPr>
                  <w:tcW w:w="298" w:type="pct"/>
                  <w:vMerge w:val="continue"/>
                  <w:vAlign w:val="center"/>
                </w:tcPr>
                <w:p w14:paraId="155BA591">
                  <w:pPr>
                    <w:jc w:val="center"/>
                    <w:rPr>
                      <w:rFonts w:hint="eastAsia"/>
                      <w:szCs w:val="21"/>
                      <w:lang w:val="en-US" w:eastAsia="zh-CN"/>
                    </w:rPr>
                  </w:pPr>
                </w:p>
              </w:tc>
              <w:tc>
                <w:tcPr>
                  <w:tcW w:w="305" w:type="pct"/>
                  <w:vMerge w:val="continue"/>
                  <w:vAlign w:val="center"/>
                </w:tcPr>
                <w:p w14:paraId="6FF2FB71">
                  <w:pPr>
                    <w:jc w:val="center"/>
                    <w:rPr>
                      <w:rFonts w:hint="eastAsia"/>
                      <w:szCs w:val="21"/>
                      <w:lang w:val="en-US" w:eastAsia="zh-CN"/>
                    </w:rPr>
                  </w:pPr>
                </w:p>
              </w:tc>
              <w:tc>
                <w:tcPr>
                  <w:tcW w:w="254" w:type="pct"/>
                  <w:shd w:val="clear" w:color="auto" w:fill="auto"/>
                  <w:vAlign w:val="center"/>
                </w:tcPr>
                <w:p w14:paraId="3449213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1CB62F9E">
                  <w:pPr>
                    <w:jc w:val="center"/>
                    <w:rPr>
                      <w:rFonts w:hint="default"/>
                      <w:szCs w:val="21"/>
                      <w:lang w:val="en-US" w:eastAsia="zh-CN"/>
                    </w:rPr>
                  </w:pPr>
                  <w:r>
                    <w:rPr>
                      <w:rFonts w:hint="eastAsia"/>
                      <w:szCs w:val="21"/>
                      <w:lang w:val="en-US" w:eastAsia="zh-CN"/>
                    </w:rPr>
                    <w:t>2</w:t>
                  </w:r>
                </w:p>
              </w:tc>
              <w:tc>
                <w:tcPr>
                  <w:tcW w:w="378" w:type="pct"/>
                  <w:vAlign w:val="center"/>
                </w:tcPr>
                <w:p w14:paraId="1E46F559">
                  <w:pPr>
                    <w:jc w:val="center"/>
                    <w:rPr>
                      <w:rFonts w:hint="default"/>
                      <w:szCs w:val="21"/>
                      <w:lang w:val="en-US" w:eastAsia="zh-CN"/>
                    </w:rPr>
                  </w:pPr>
                  <w:r>
                    <w:rPr>
                      <w:rFonts w:hint="eastAsia"/>
                      <w:szCs w:val="21"/>
                      <w:lang w:val="en-US" w:eastAsia="zh-CN"/>
                    </w:rPr>
                    <w:t>72.7</w:t>
                  </w:r>
                </w:p>
              </w:tc>
              <w:tc>
                <w:tcPr>
                  <w:tcW w:w="291" w:type="pct"/>
                  <w:vMerge w:val="continue"/>
                  <w:vAlign w:val="center"/>
                </w:tcPr>
                <w:p w14:paraId="5766C663">
                  <w:pPr>
                    <w:jc w:val="center"/>
                    <w:rPr>
                      <w:rFonts w:hint="eastAsia"/>
                      <w:szCs w:val="21"/>
                      <w:lang w:val="en-US" w:eastAsia="zh-CN"/>
                    </w:rPr>
                  </w:pPr>
                </w:p>
              </w:tc>
              <w:tc>
                <w:tcPr>
                  <w:tcW w:w="429" w:type="pct"/>
                  <w:vMerge w:val="continue"/>
                  <w:vAlign w:val="center"/>
                </w:tcPr>
                <w:p w14:paraId="7DC38544">
                  <w:pPr>
                    <w:jc w:val="center"/>
                    <w:rPr>
                      <w:rFonts w:hint="eastAsia"/>
                      <w:szCs w:val="21"/>
                      <w:lang w:val="en-US" w:eastAsia="zh-CN"/>
                    </w:rPr>
                  </w:pPr>
                </w:p>
              </w:tc>
              <w:tc>
                <w:tcPr>
                  <w:tcW w:w="458" w:type="pct"/>
                  <w:vAlign w:val="center"/>
                </w:tcPr>
                <w:p w14:paraId="6BC72F00">
                  <w:pPr>
                    <w:jc w:val="center"/>
                    <w:rPr>
                      <w:rFonts w:hint="default"/>
                      <w:szCs w:val="21"/>
                      <w:lang w:val="en-US" w:eastAsia="zh-CN"/>
                    </w:rPr>
                  </w:pPr>
                  <w:r>
                    <w:rPr>
                      <w:rFonts w:hint="eastAsia"/>
                      <w:szCs w:val="21"/>
                      <w:lang w:val="en-US" w:eastAsia="zh-CN"/>
                    </w:rPr>
                    <w:t>58.7</w:t>
                  </w:r>
                </w:p>
              </w:tc>
              <w:tc>
                <w:tcPr>
                  <w:tcW w:w="318" w:type="pct"/>
                  <w:vMerge w:val="continue"/>
                  <w:vAlign w:val="center"/>
                </w:tcPr>
                <w:p w14:paraId="11C9F43E">
                  <w:pPr>
                    <w:jc w:val="center"/>
                    <w:rPr>
                      <w:rFonts w:hint="eastAsia"/>
                      <w:szCs w:val="21"/>
                      <w:lang w:val="en-US" w:eastAsia="zh-CN"/>
                    </w:rPr>
                  </w:pPr>
                </w:p>
              </w:tc>
            </w:tr>
            <w:tr w14:paraId="1ED75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12A55470">
                  <w:pPr>
                    <w:jc w:val="center"/>
                    <w:rPr>
                      <w:rFonts w:hint="eastAsia"/>
                      <w:szCs w:val="21"/>
                      <w:lang w:val="en-US" w:eastAsia="zh-CN"/>
                    </w:rPr>
                  </w:pPr>
                </w:p>
              </w:tc>
              <w:tc>
                <w:tcPr>
                  <w:tcW w:w="295" w:type="pct"/>
                  <w:vMerge w:val="continue"/>
                  <w:vAlign w:val="center"/>
                </w:tcPr>
                <w:p w14:paraId="4794ADD9">
                  <w:pPr>
                    <w:jc w:val="center"/>
                    <w:rPr>
                      <w:rFonts w:hint="eastAsia"/>
                      <w:szCs w:val="21"/>
                      <w:lang w:val="en-US" w:eastAsia="zh-CN"/>
                    </w:rPr>
                  </w:pPr>
                </w:p>
              </w:tc>
              <w:tc>
                <w:tcPr>
                  <w:tcW w:w="255" w:type="pct"/>
                  <w:vMerge w:val="continue"/>
                  <w:shd w:val="clear" w:color="auto" w:fill="auto"/>
                  <w:vAlign w:val="center"/>
                </w:tcPr>
                <w:p w14:paraId="31037E2C">
                  <w:pPr>
                    <w:jc w:val="center"/>
                    <w:rPr>
                      <w:rFonts w:hint="eastAsia"/>
                      <w:szCs w:val="21"/>
                      <w:lang w:val="en-US" w:eastAsia="zh-CN"/>
                    </w:rPr>
                  </w:pPr>
                </w:p>
              </w:tc>
              <w:tc>
                <w:tcPr>
                  <w:tcW w:w="305" w:type="pct"/>
                  <w:vMerge w:val="continue"/>
                  <w:shd w:val="clear" w:color="auto" w:fill="auto"/>
                  <w:vAlign w:val="center"/>
                </w:tcPr>
                <w:p w14:paraId="3751D23E">
                  <w:pPr>
                    <w:jc w:val="center"/>
                    <w:rPr>
                      <w:rFonts w:hint="eastAsia"/>
                      <w:szCs w:val="21"/>
                      <w:lang w:val="en-US" w:eastAsia="zh-CN"/>
                    </w:rPr>
                  </w:pPr>
                </w:p>
              </w:tc>
              <w:tc>
                <w:tcPr>
                  <w:tcW w:w="393" w:type="pct"/>
                  <w:vMerge w:val="continue"/>
                  <w:vAlign w:val="center"/>
                </w:tcPr>
                <w:p w14:paraId="48F3A760">
                  <w:pPr>
                    <w:jc w:val="center"/>
                    <w:rPr>
                      <w:rFonts w:hint="eastAsia"/>
                      <w:szCs w:val="21"/>
                      <w:lang w:val="en-US" w:eastAsia="zh-CN"/>
                    </w:rPr>
                  </w:pPr>
                </w:p>
              </w:tc>
              <w:tc>
                <w:tcPr>
                  <w:tcW w:w="298" w:type="pct"/>
                  <w:vMerge w:val="continue"/>
                  <w:vAlign w:val="center"/>
                </w:tcPr>
                <w:p w14:paraId="4BE1FB8C">
                  <w:pPr>
                    <w:jc w:val="center"/>
                    <w:rPr>
                      <w:rFonts w:hint="eastAsia"/>
                      <w:szCs w:val="21"/>
                      <w:lang w:val="en-US" w:eastAsia="zh-CN"/>
                    </w:rPr>
                  </w:pPr>
                </w:p>
              </w:tc>
              <w:tc>
                <w:tcPr>
                  <w:tcW w:w="276" w:type="pct"/>
                  <w:vMerge w:val="continue"/>
                  <w:vAlign w:val="center"/>
                </w:tcPr>
                <w:p w14:paraId="71702123">
                  <w:pPr>
                    <w:jc w:val="center"/>
                    <w:rPr>
                      <w:rFonts w:hint="eastAsia"/>
                      <w:szCs w:val="21"/>
                      <w:lang w:val="en-US" w:eastAsia="zh-CN"/>
                    </w:rPr>
                  </w:pPr>
                </w:p>
              </w:tc>
              <w:tc>
                <w:tcPr>
                  <w:tcW w:w="298" w:type="pct"/>
                  <w:vMerge w:val="continue"/>
                  <w:vAlign w:val="center"/>
                </w:tcPr>
                <w:p w14:paraId="7D9CB57F">
                  <w:pPr>
                    <w:jc w:val="center"/>
                    <w:rPr>
                      <w:rFonts w:hint="eastAsia"/>
                      <w:szCs w:val="21"/>
                      <w:lang w:val="en-US" w:eastAsia="zh-CN"/>
                    </w:rPr>
                  </w:pPr>
                </w:p>
              </w:tc>
              <w:tc>
                <w:tcPr>
                  <w:tcW w:w="305" w:type="pct"/>
                  <w:vMerge w:val="continue"/>
                  <w:vAlign w:val="center"/>
                </w:tcPr>
                <w:p w14:paraId="58B6D4CC">
                  <w:pPr>
                    <w:jc w:val="center"/>
                    <w:rPr>
                      <w:rFonts w:hint="eastAsia"/>
                      <w:szCs w:val="21"/>
                      <w:lang w:val="en-US" w:eastAsia="zh-CN"/>
                    </w:rPr>
                  </w:pPr>
                </w:p>
              </w:tc>
              <w:tc>
                <w:tcPr>
                  <w:tcW w:w="254" w:type="pct"/>
                  <w:shd w:val="clear" w:color="auto" w:fill="auto"/>
                  <w:vAlign w:val="center"/>
                </w:tcPr>
                <w:p w14:paraId="4003351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2FC8B47C">
                  <w:pPr>
                    <w:jc w:val="center"/>
                    <w:rPr>
                      <w:rFonts w:hint="default"/>
                      <w:szCs w:val="21"/>
                      <w:lang w:val="en-US" w:eastAsia="zh-CN"/>
                    </w:rPr>
                  </w:pPr>
                  <w:r>
                    <w:rPr>
                      <w:rFonts w:hint="eastAsia"/>
                      <w:szCs w:val="21"/>
                      <w:lang w:val="en-US" w:eastAsia="zh-CN"/>
                    </w:rPr>
                    <w:t>30</w:t>
                  </w:r>
                </w:p>
              </w:tc>
              <w:tc>
                <w:tcPr>
                  <w:tcW w:w="378" w:type="pct"/>
                  <w:vAlign w:val="center"/>
                </w:tcPr>
                <w:p w14:paraId="2410C73C">
                  <w:pPr>
                    <w:jc w:val="center"/>
                    <w:rPr>
                      <w:rFonts w:hint="default"/>
                      <w:szCs w:val="21"/>
                      <w:lang w:val="en-US" w:eastAsia="zh-CN"/>
                    </w:rPr>
                  </w:pPr>
                  <w:r>
                    <w:rPr>
                      <w:rFonts w:hint="eastAsia"/>
                      <w:szCs w:val="21"/>
                      <w:lang w:val="en-US" w:eastAsia="zh-CN"/>
                    </w:rPr>
                    <w:t>60.9</w:t>
                  </w:r>
                </w:p>
              </w:tc>
              <w:tc>
                <w:tcPr>
                  <w:tcW w:w="291" w:type="pct"/>
                  <w:vMerge w:val="continue"/>
                  <w:vAlign w:val="center"/>
                </w:tcPr>
                <w:p w14:paraId="6FC9D04D">
                  <w:pPr>
                    <w:jc w:val="center"/>
                    <w:rPr>
                      <w:rFonts w:hint="eastAsia"/>
                      <w:szCs w:val="21"/>
                      <w:lang w:val="en-US" w:eastAsia="zh-CN"/>
                    </w:rPr>
                  </w:pPr>
                </w:p>
              </w:tc>
              <w:tc>
                <w:tcPr>
                  <w:tcW w:w="429" w:type="pct"/>
                  <w:vMerge w:val="continue"/>
                  <w:vAlign w:val="center"/>
                </w:tcPr>
                <w:p w14:paraId="40EA7AA7">
                  <w:pPr>
                    <w:jc w:val="center"/>
                    <w:rPr>
                      <w:rFonts w:hint="eastAsia"/>
                      <w:szCs w:val="21"/>
                      <w:lang w:val="en-US" w:eastAsia="zh-CN"/>
                    </w:rPr>
                  </w:pPr>
                </w:p>
              </w:tc>
              <w:tc>
                <w:tcPr>
                  <w:tcW w:w="458" w:type="pct"/>
                  <w:vAlign w:val="center"/>
                </w:tcPr>
                <w:p w14:paraId="6B6CE51D">
                  <w:pPr>
                    <w:jc w:val="center"/>
                    <w:rPr>
                      <w:rFonts w:hint="default"/>
                      <w:szCs w:val="21"/>
                      <w:lang w:val="en-US" w:eastAsia="zh-CN"/>
                    </w:rPr>
                  </w:pPr>
                  <w:r>
                    <w:rPr>
                      <w:rFonts w:hint="eastAsia"/>
                      <w:szCs w:val="21"/>
                      <w:lang w:val="en-US" w:eastAsia="zh-CN"/>
                    </w:rPr>
                    <w:t>45.9</w:t>
                  </w:r>
                </w:p>
              </w:tc>
              <w:tc>
                <w:tcPr>
                  <w:tcW w:w="318" w:type="pct"/>
                  <w:vMerge w:val="continue"/>
                  <w:vAlign w:val="center"/>
                </w:tcPr>
                <w:p w14:paraId="5B3C7526">
                  <w:pPr>
                    <w:jc w:val="center"/>
                    <w:rPr>
                      <w:rFonts w:hint="eastAsia"/>
                      <w:szCs w:val="21"/>
                      <w:lang w:val="en-US" w:eastAsia="zh-CN"/>
                    </w:rPr>
                  </w:pPr>
                </w:p>
              </w:tc>
            </w:tr>
            <w:tr w14:paraId="099C4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010C3825">
                  <w:pPr>
                    <w:jc w:val="center"/>
                    <w:rPr>
                      <w:rFonts w:hint="eastAsia"/>
                      <w:szCs w:val="21"/>
                      <w:lang w:val="en-US" w:eastAsia="zh-CN"/>
                    </w:rPr>
                  </w:pPr>
                </w:p>
              </w:tc>
              <w:tc>
                <w:tcPr>
                  <w:tcW w:w="295" w:type="pct"/>
                  <w:vMerge w:val="continue"/>
                  <w:vAlign w:val="center"/>
                </w:tcPr>
                <w:p w14:paraId="569EF258">
                  <w:pPr>
                    <w:jc w:val="center"/>
                    <w:rPr>
                      <w:rFonts w:hint="eastAsia"/>
                      <w:szCs w:val="21"/>
                      <w:lang w:val="en-US" w:eastAsia="zh-CN"/>
                    </w:rPr>
                  </w:pPr>
                </w:p>
              </w:tc>
              <w:tc>
                <w:tcPr>
                  <w:tcW w:w="255" w:type="pct"/>
                  <w:vMerge w:val="restart"/>
                  <w:shd w:val="clear" w:color="auto" w:fill="auto"/>
                  <w:vAlign w:val="center"/>
                </w:tcPr>
                <w:p w14:paraId="3E4D9900">
                  <w:pPr>
                    <w:jc w:val="center"/>
                    <w:rPr>
                      <w:rFonts w:hint="default"/>
                      <w:szCs w:val="21"/>
                      <w:lang w:val="en-US" w:eastAsia="zh-CN"/>
                    </w:rPr>
                  </w:pPr>
                  <w:r>
                    <w:rPr>
                      <w:rFonts w:hint="eastAsia"/>
                      <w:szCs w:val="21"/>
                      <w:lang w:val="en-US" w:eastAsia="zh-CN"/>
                    </w:rPr>
                    <w:t>清洗线</w:t>
                  </w:r>
                </w:p>
              </w:tc>
              <w:tc>
                <w:tcPr>
                  <w:tcW w:w="305" w:type="pct"/>
                  <w:vMerge w:val="restart"/>
                  <w:shd w:val="clear" w:color="auto" w:fill="auto"/>
                  <w:vAlign w:val="center"/>
                </w:tcPr>
                <w:p w14:paraId="4A3643DB">
                  <w:pPr>
                    <w:jc w:val="center"/>
                    <w:rPr>
                      <w:rFonts w:hint="default"/>
                      <w:szCs w:val="21"/>
                      <w:lang w:val="en-US" w:eastAsia="zh-CN"/>
                    </w:rPr>
                  </w:pPr>
                  <w:r>
                    <w:rPr>
                      <w:rFonts w:hint="eastAsia"/>
                      <w:szCs w:val="21"/>
                      <w:lang w:val="en-US" w:eastAsia="zh-CN"/>
                    </w:rPr>
                    <w:t>4</w:t>
                  </w:r>
                </w:p>
              </w:tc>
              <w:tc>
                <w:tcPr>
                  <w:tcW w:w="393" w:type="pct"/>
                  <w:vMerge w:val="restart"/>
                  <w:vAlign w:val="center"/>
                </w:tcPr>
                <w:p w14:paraId="72725570">
                  <w:pPr>
                    <w:jc w:val="center"/>
                    <w:rPr>
                      <w:rFonts w:hint="default"/>
                      <w:szCs w:val="21"/>
                      <w:lang w:val="en-US" w:eastAsia="zh-CN"/>
                    </w:rPr>
                  </w:pPr>
                  <w:r>
                    <w:rPr>
                      <w:rFonts w:hint="eastAsia"/>
                      <w:szCs w:val="21"/>
                      <w:lang w:val="en-US" w:eastAsia="zh-CN"/>
                    </w:rPr>
                    <w:t>50-55</w:t>
                  </w:r>
                </w:p>
              </w:tc>
              <w:tc>
                <w:tcPr>
                  <w:tcW w:w="298" w:type="pct"/>
                  <w:vMerge w:val="continue"/>
                  <w:vAlign w:val="center"/>
                </w:tcPr>
                <w:p w14:paraId="2A40482C">
                  <w:pPr>
                    <w:jc w:val="center"/>
                    <w:rPr>
                      <w:rFonts w:hint="eastAsia"/>
                      <w:szCs w:val="21"/>
                      <w:lang w:val="en-US" w:eastAsia="zh-CN"/>
                    </w:rPr>
                  </w:pPr>
                </w:p>
              </w:tc>
              <w:tc>
                <w:tcPr>
                  <w:tcW w:w="276" w:type="pct"/>
                  <w:vMerge w:val="restart"/>
                  <w:vAlign w:val="center"/>
                </w:tcPr>
                <w:p w14:paraId="32857641">
                  <w:pPr>
                    <w:jc w:val="center"/>
                    <w:rPr>
                      <w:rFonts w:hint="default"/>
                      <w:szCs w:val="21"/>
                      <w:lang w:val="en-US" w:eastAsia="zh-CN"/>
                    </w:rPr>
                  </w:pPr>
                  <w:r>
                    <w:rPr>
                      <w:rFonts w:hint="eastAsia"/>
                      <w:szCs w:val="21"/>
                      <w:lang w:val="en-US" w:eastAsia="zh-CN"/>
                    </w:rPr>
                    <w:t>1-12</w:t>
                  </w:r>
                </w:p>
              </w:tc>
              <w:tc>
                <w:tcPr>
                  <w:tcW w:w="298" w:type="pct"/>
                  <w:vMerge w:val="restart"/>
                  <w:vAlign w:val="center"/>
                </w:tcPr>
                <w:p w14:paraId="0E3F4FDC">
                  <w:pPr>
                    <w:jc w:val="center"/>
                    <w:rPr>
                      <w:rFonts w:hint="default"/>
                      <w:szCs w:val="21"/>
                      <w:lang w:val="en-US" w:eastAsia="zh-CN"/>
                    </w:rPr>
                  </w:pPr>
                  <w:r>
                    <w:rPr>
                      <w:rFonts w:hint="eastAsia"/>
                      <w:szCs w:val="21"/>
                      <w:lang w:val="en-US" w:eastAsia="zh-CN"/>
                    </w:rPr>
                    <w:t>22-24</w:t>
                  </w:r>
                </w:p>
              </w:tc>
              <w:tc>
                <w:tcPr>
                  <w:tcW w:w="305" w:type="pct"/>
                  <w:vMerge w:val="restart"/>
                  <w:vAlign w:val="center"/>
                </w:tcPr>
                <w:p w14:paraId="4B4244F5">
                  <w:pPr>
                    <w:jc w:val="center"/>
                    <w:rPr>
                      <w:rFonts w:hint="default"/>
                      <w:szCs w:val="21"/>
                      <w:lang w:val="en-US" w:eastAsia="zh-CN"/>
                    </w:rPr>
                  </w:pPr>
                  <w:r>
                    <w:rPr>
                      <w:rFonts w:hint="eastAsia"/>
                      <w:szCs w:val="21"/>
                      <w:lang w:val="en-US" w:eastAsia="zh-CN"/>
                    </w:rPr>
                    <w:t>8.8</w:t>
                  </w:r>
                </w:p>
              </w:tc>
              <w:tc>
                <w:tcPr>
                  <w:tcW w:w="254" w:type="pct"/>
                  <w:shd w:val="clear" w:color="auto" w:fill="auto"/>
                  <w:vAlign w:val="center"/>
                </w:tcPr>
                <w:p w14:paraId="01DA1E0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20DDE3AD">
                  <w:pPr>
                    <w:jc w:val="center"/>
                    <w:rPr>
                      <w:rFonts w:hint="default"/>
                      <w:szCs w:val="21"/>
                      <w:lang w:val="en-US" w:eastAsia="zh-CN"/>
                    </w:rPr>
                  </w:pPr>
                  <w:r>
                    <w:rPr>
                      <w:rFonts w:hint="eastAsia"/>
                      <w:szCs w:val="21"/>
                      <w:lang w:val="en-US" w:eastAsia="zh-CN"/>
                    </w:rPr>
                    <w:t>1</w:t>
                  </w:r>
                </w:p>
              </w:tc>
              <w:tc>
                <w:tcPr>
                  <w:tcW w:w="378" w:type="pct"/>
                  <w:vAlign w:val="center"/>
                </w:tcPr>
                <w:p w14:paraId="7E46EB29">
                  <w:pPr>
                    <w:jc w:val="center"/>
                    <w:rPr>
                      <w:rFonts w:hint="default"/>
                      <w:szCs w:val="21"/>
                      <w:lang w:val="en-US" w:eastAsia="zh-CN"/>
                    </w:rPr>
                  </w:pPr>
                  <w:r>
                    <w:rPr>
                      <w:rFonts w:hint="eastAsia"/>
                      <w:szCs w:val="21"/>
                      <w:lang w:val="en-US" w:eastAsia="zh-CN"/>
                    </w:rPr>
                    <w:t>54.1</w:t>
                  </w:r>
                </w:p>
              </w:tc>
              <w:tc>
                <w:tcPr>
                  <w:tcW w:w="291" w:type="pct"/>
                  <w:vMerge w:val="restart"/>
                  <w:vAlign w:val="center"/>
                </w:tcPr>
                <w:p w14:paraId="37AFAED7">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vAlign w:val="center"/>
                </w:tcPr>
                <w:p w14:paraId="572B4501">
                  <w:pPr>
                    <w:jc w:val="center"/>
                    <w:rPr>
                      <w:rFonts w:hint="eastAsia"/>
                      <w:szCs w:val="21"/>
                      <w:lang w:val="en-US" w:eastAsia="zh-CN"/>
                    </w:rPr>
                  </w:pPr>
                  <w:r>
                    <w:rPr>
                      <w:rFonts w:hint="eastAsia"/>
                      <w:szCs w:val="21"/>
                    </w:rPr>
                    <w:t>-15</w:t>
                  </w:r>
                </w:p>
              </w:tc>
              <w:tc>
                <w:tcPr>
                  <w:tcW w:w="458" w:type="pct"/>
                  <w:vAlign w:val="center"/>
                </w:tcPr>
                <w:p w14:paraId="5F809B95">
                  <w:pPr>
                    <w:jc w:val="center"/>
                    <w:rPr>
                      <w:rFonts w:hint="default"/>
                      <w:szCs w:val="21"/>
                      <w:lang w:val="en-US" w:eastAsia="zh-CN"/>
                    </w:rPr>
                  </w:pPr>
                  <w:r>
                    <w:rPr>
                      <w:rFonts w:hint="eastAsia"/>
                      <w:szCs w:val="21"/>
                      <w:lang w:val="en-US" w:eastAsia="zh-CN"/>
                    </w:rPr>
                    <w:t>39.1</w:t>
                  </w:r>
                </w:p>
              </w:tc>
              <w:tc>
                <w:tcPr>
                  <w:tcW w:w="318" w:type="pct"/>
                  <w:vMerge w:val="continue"/>
                  <w:vAlign w:val="center"/>
                </w:tcPr>
                <w:p w14:paraId="67BE6584">
                  <w:pPr>
                    <w:jc w:val="center"/>
                    <w:rPr>
                      <w:rFonts w:hint="eastAsia"/>
                      <w:szCs w:val="21"/>
                      <w:lang w:val="en-US" w:eastAsia="zh-CN"/>
                    </w:rPr>
                  </w:pPr>
                </w:p>
              </w:tc>
            </w:tr>
            <w:tr w14:paraId="42DD6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0A34DDEC">
                  <w:pPr>
                    <w:jc w:val="center"/>
                    <w:rPr>
                      <w:rFonts w:hint="eastAsia"/>
                      <w:szCs w:val="21"/>
                      <w:lang w:val="en-US" w:eastAsia="zh-CN"/>
                    </w:rPr>
                  </w:pPr>
                </w:p>
              </w:tc>
              <w:tc>
                <w:tcPr>
                  <w:tcW w:w="295" w:type="pct"/>
                  <w:vMerge w:val="continue"/>
                  <w:vAlign w:val="center"/>
                </w:tcPr>
                <w:p w14:paraId="526AF426">
                  <w:pPr>
                    <w:jc w:val="center"/>
                    <w:rPr>
                      <w:rFonts w:hint="eastAsia"/>
                      <w:szCs w:val="21"/>
                      <w:lang w:val="en-US" w:eastAsia="zh-CN"/>
                    </w:rPr>
                  </w:pPr>
                </w:p>
              </w:tc>
              <w:tc>
                <w:tcPr>
                  <w:tcW w:w="255" w:type="pct"/>
                  <w:vMerge w:val="continue"/>
                  <w:shd w:val="clear" w:color="auto" w:fill="auto"/>
                  <w:vAlign w:val="center"/>
                </w:tcPr>
                <w:p w14:paraId="2D06858E">
                  <w:pPr>
                    <w:jc w:val="center"/>
                    <w:rPr>
                      <w:rFonts w:hint="eastAsia"/>
                      <w:szCs w:val="21"/>
                      <w:lang w:val="en-US" w:eastAsia="zh-CN"/>
                    </w:rPr>
                  </w:pPr>
                </w:p>
              </w:tc>
              <w:tc>
                <w:tcPr>
                  <w:tcW w:w="305" w:type="pct"/>
                  <w:vMerge w:val="continue"/>
                  <w:shd w:val="clear" w:color="auto" w:fill="auto"/>
                  <w:vAlign w:val="center"/>
                </w:tcPr>
                <w:p w14:paraId="563A7B4F">
                  <w:pPr>
                    <w:jc w:val="center"/>
                    <w:rPr>
                      <w:rFonts w:hint="eastAsia"/>
                      <w:szCs w:val="21"/>
                      <w:lang w:val="en-US" w:eastAsia="zh-CN"/>
                    </w:rPr>
                  </w:pPr>
                </w:p>
              </w:tc>
              <w:tc>
                <w:tcPr>
                  <w:tcW w:w="393" w:type="pct"/>
                  <w:vMerge w:val="continue"/>
                  <w:vAlign w:val="center"/>
                </w:tcPr>
                <w:p w14:paraId="0743E72C">
                  <w:pPr>
                    <w:jc w:val="center"/>
                    <w:rPr>
                      <w:rFonts w:hint="eastAsia"/>
                      <w:szCs w:val="21"/>
                      <w:lang w:val="en-US" w:eastAsia="zh-CN"/>
                    </w:rPr>
                  </w:pPr>
                </w:p>
              </w:tc>
              <w:tc>
                <w:tcPr>
                  <w:tcW w:w="298" w:type="pct"/>
                  <w:vMerge w:val="continue"/>
                  <w:vAlign w:val="center"/>
                </w:tcPr>
                <w:p w14:paraId="185D953C">
                  <w:pPr>
                    <w:jc w:val="center"/>
                    <w:rPr>
                      <w:rFonts w:hint="eastAsia"/>
                      <w:szCs w:val="21"/>
                      <w:lang w:val="en-US" w:eastAsia="zh-CN"/>
                    </w:rPr>
                  </w:pPr>
                </w:p>
              </w:tc>
              <w:tc>
                <w:tcPr>
                  <w:tcW w:w="276" w:type="pct"/>
                  <w:vMerge w:val="continue"/>
                  <w:vAlign w:val="center"/>
                </w:tcPr>
                <w:p w14:paraId="050308A0">
                  <w:pPr>
                    <w:jc w:val="center"/>
                    <w:rPr>
                      <w:rFonts w:hint="eastAsia"/>
                      <w:szCs w:val="21"/>
                      <w:lang w:val="en-US" w:eastAsia="zh-CN"/>
                    </w:rPr>
                  </w:pPr>
                </w:p>
              </w:tc>
              <w:tc>
                <w:tcPr>
                  <w:tcW w:w="298" w:type="pct"/>
                  <w:vMerge w:val="continue"/>
                  <w:vAlign w:val="center"/>
                </w:tcPr>
                <w:p w14:paraId="638349FF">
                  <w:pPr>
                    <w:jc w:val="center"/>
                    <w:rPr>
                      <w:rFonts w:hint="eastAsia"/>
                      <w:szCs w:val="21"/>
                      <w:lang w:val="en-US" w:eastAsia="zh-CN"/>
                    </w:rPr>
                  </w:pPr>
                </w:p>
              </w:tc>
              <w:tc>
                <w:tcPr>
                  <w:tcW w:w="305" w:type="pct"/>
                  <w:vMerge w:val="continue"/>
                  <w:vAlign w:val="center"/>
                </w:tcPr>
                <w:p w14:paraId="2401C814">
                  <w:pPr>
                    <w:jc w:val="center"/>
                    <w:rPr>
                      <w:rFonts w:hint="eastAsia"/>
                      <w:szCs w:val="21"/>
                      <w:lang w:val="en-US" w:eastAsia="zh-CN"/>
                    </w:rPr>
                  </w:pPr>
                </w:p>
              </w:tc>
              <w:tc>
                <w:tcPr>
                  <w:tcW w:w="254" w:type="pct"/>
                  <w:shd w:val="clear" w:color="auto" w:fill="auto"/>
                  <w:vAlign w:val="center"/>
                </w:tcPr>
                <w:p w14:paraId="502E326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7E23026B">
                  <w:pPr>
                    <w:jc w:val="center"/>
                    <w:rPr>
                      <w:rFonts w:hint="default"/>
                      <w:szCs w:val="21"/>
                      <w:lang w:val="en-US" w:eastAsia="zh-CN"/>
                    </w:rPr>
                  </w:pPr>
                  <w:r>
                    <w:rPr>
                      <w:rFonts w:hint="eastAsia"/>
                      <w:szCs w:val="21"/>
                      <w:lang w:val="en-US" w:eastAsia="zh-CN"/>
                    </w:rPr>
                    <w:t>11</w:t>
                  </w:r>
                </w:p>
              </w:tc>
              <w:tc>
                <w:tcPr>
                  <w:tcW w:w="378" w:type="pct"/>
                  <w:vAlign w:val="center"/>
                </w:tcPr>
                <w:p w14:paraId="55A2E7B7">
                  <w:pPr>
                    <w:jc w:val="center"/>
                    <w:rPr>
                      <w:rFonts w:hint="default"/>
                      <w:szCs w:val="21"/>
                      <w:lang w:val="en-US" w:eastAsia="zh-CN"/>
                    </w:rPr>
                  </w:pPr>
                  <w:r>
                    <w:rPr>
                      <w:rFonts w:hint="eastAsia"/>
                      <w:szCs w:val="21"/>
                      <w:lang w:val="en-US" w:eastAsia="zh-CN"/>
                    </w:rPr>
                    <w:t>49.5</w:t>
                  </w:r>
                </w:p>
              </w:tc>
              <w:tc>
                <w:tcPr>
                  <w:tcW w:w="291" w:type="pct"/>
                  <w:vMerge w:val="continue"/>
                  <w:vAlign w:val="center"/>
                </w:tcPr>
                <w:p w14:paraId="23126542">
                  <w:pPr>
                    <w:jc w:val="center"/>
                    <w:rPr>
                      <w:rFonts w:hint="eastAsia"/>
                      <w:szCs w:val="21"/>
                      <w:lang w:val="en-US" w:eastAsia="zh-CN"/>
                    </w:rPr>
                  </w:pPr>
                </w:p>
              </w:tc>
              <w:tc>
                <w:tcPr>
                  <w:tcW w:w="429" w:type="pct"/>
                  <w:vMerge w:val="continue"/>
                  <w:vAlign w:val="center"/>
                </w:tcPr>
                <w:p w14:paraId="71E646BD">
                  <w:pPr>
                    <w:jc w:val="center"/>
                    <w:rPr>
                      <w:rFonts w:hint="eastAsia"/>
                      <w:szCs w:val="21"/>
                      <w:lang w:val="en-US" w:eastAsia="zh-CN"/>
                    </w:rPr>
                  </w:pPr>
                </w:p>
              </w:tc>
              <w:tc>
                <w:tcPr>
                  <w:tcW w:w="458" w:type="pct"/>
                  <w:vAlign w:val="center"/>
                </w:tcPr>
                <w:p w14:paraId="756A8DFD">
                  <w:pPr>
                    <w:jc w:val="center"/>
                    <w:rPr>
                      <w:rFonts w:hint="default"/>
                      <w:szCs w:val="21"/>
                      <w:lang w:val="en-US" w:eastAsia="zh-CN"/>
                    </w:rPr>
                  </w:pPr>
                  <w:r>
                    <w:rPr>
                      <w:rFonts w:hint="eastAsia"/>
                      <w:szCs w:val="21"/>
                      <w:lang w:val="en-US" w:eastAsia="zh-CN"/>
                    </w:rPr>
                    <w:t>34.5</w:t>
                  </w:r>
                </w:p>
              </w:tc>
              <w:tc>
                <w:tcPr>
                  <w:tcW w:w="318" w:type="pct"/>
                  <w:vMerge w:val="continue"/>
                  <w:vAlign w:val="center"/>
                </w:tcPr>
                <w:p w14:paraId="1E371C42">
                  <w:pPr>
                    <w:jc w:val="center"/>
                    <w:rPr>
                      <w:rFonts w:hint="eastAsia"/>
                      <w:szCs w:val="21"/>
                      <w:lang w:val="en-US" w:eastAsia="zh-CN"/>
                    </w:rPr>
                  </w:pPr>
                </w:p>
              </w:tc>
            </w:tr>
            <w:tr w14:paraId="32DA7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48B31354">
                  <w:pPr>
                    <w:jc w:val="center"/>
                    <w:rPr>
                      <w:rFonts w:hint="eastAsia"/>
                      <w:szCs w:val="21"/>
                      <w:lang w:val="en-US" w:eastAsia="zh-CN"/>
                    </w:rPr>
                  </w:pPr>
                </w:p>
              </w:tc>
              <w:tc>
                <w:tcPr>
                  <w:tcW w:w="295" w:type="pct"/>
                  <w:vMerge w:val="continue"/>
                  <w:vAlign w:val="center"/>
                </w:tcPr>
                <w:p w14:paraId="12CB5679">
                  <w:pPr>
                    <w:jc w:val="center"/>
                    <w:rPr>
                      <w:rFonts w:hint="eastAsia"/>
                      <w:szCs w:val="21"/>
                      <w:lang w:val="en-US" w:eastAsia="zh-CN"/>
                    </w:rPr>
                  </w:pPr>
                </w:p>
              </w:tc>
              <w:tc>
                <w:tcPr>
                  <w:tcW w:w="255" w:type="pct"/>
                  <w:vMerge w:val="continue"/>
                  <w:shd w:val="clear" w:color="auto" w:fill="auto"/>
                  <w:vAlign w:val="center"/>
                </w:tcPr>
                <w:p w14:paraId="351DB4E8">
                  <w:pPr>
                    <w:jc w:val="center"/>
                    <w:rPr>
                      <w:rFonts w:hint="eastAsia"/>
                      <w:szCs w:val="21"/>
                      <w:lang w:val="en-US" w:eastAsia="zh-CN"/>
                    </w:rPr>
                  </w:pPr>
                </w:p>
              </w:tc>
              <w:tc>
                <w:tcPr>
                  <w:tcW w:w="305" w:type="pct"/>
                  <w:vMerge w:val="continue"/>
                  <w:shd w:val="clear" w:color="auto" w:fill="auto"/>
                  <w:vAlign w:val="center"/>
                </w:tcPr>
                <w:p w14:paraId="06963B21">
                  <w:pPr>
                    <w:jc w:val="center"/>
                    <w:rPr>
                      <w:rFonts w:hint="eastAsia"/>
                      <w:szCs w:val="21"/>
                      <w:lang w:val="en-US" w:eastAsia="zh-CN"/>
                    </w:rPr>
                  </w:pPr>
                </w:p>
              </w:tc>
              <w:tc>
                <w:tcPr>
                  <w:tcW w:w="393" w:type="pct"/>
                  <w:vMerge w:val="continue"/>
                  <w:vAlign w:val="center"/>
                </w:tcPr>
                <w:p w14:paraId="44530FB7">
                  <w:pPr>
                    <w:jc w:val="center"/>
                    <w:rPr>
                      <w:rFonts w:hint="eastAsia"/>
                      <w:szCs w:val="21"/>
                      <w:lang w:val="en-US" w:eastAsia="zh-CN"/>
                    </w:rPr>
                  </w:pPr>
                </w:p>
              </w:tc>
              <w:tc>
                <w:tcPr>
                  <w:tcW w:w="298" w:type="pct"/>
                  <w:vMerge w:val="continue"/>
                  <w:vAlign w:val="center"/>
                </w:tcPr>
                <w:p w14:paraId="503D11BB">
                  <w:pPr>
                    <w:jc w:val="center"/>
                    <w:rPr>
                      <w:rFonts w:hint="eastAsia"/>
                      <w:szCs w:val="21"/>
                      <w:lang w:val="en-US" w:eastAsia="zh-CN"/>
                    </w:rPr>
                  </w:pPr>
                </w:p>
              </w:tc>
              <w:tc>
                <w:tcPr>
                  <w:tcW w:w="276" w:type="pct"/>
                  <w:vMerge w:val="continue"/>
                  <w:vAlign w:val="center"/>
                </w:tcPr>
                <w:p w14:paraId="627F5B6D">
                  <w:pPr>
                    <w:jc w:val="center"/>
                    <w:rPr>
                      <w:rFonts w:hint="eastAsia"/>
                      <w:szCs w:val="21"/>
                      <w:lang w:val="en-US" w:eastAsia="zh-CN"/>
                    </w:rPr>
                  </w:pPr>
                </w:p>
              </w:tc>
              <w:tc>
                <w:tcPr>
                  <w:tcW w:w="298" w:type="pct"/>
                  <w:vMerge w:val="continue"/>
                  <w:vAlign w:val="center"/>
                </w:tcPr>
                <w:p w14:paraId="38A8F545">
                  <w:pPr>
                    <w:jc w:val="center"/>
                    <w:rPr>
                      <w:rFonts w:hint="eastAsia"/>
                      <w:szCs w:val="21"/>
                      <w:lang w:val="en-US" w:eastAsia="zh-CN"/>
                    </w:rPr>
                  </w:pPr>
                </w:p>
              </w:tc>
              <w:tc>
                <w:tcPr>
                  <w:tcW w:w="305" w:type="pct"/>
                  <w:vMerge w:val="continue"/>
                  <w:vAlign w:val="center"/>
                </w:tcPr>
                <w:p w14:paraId="235C066A">
                  <w:pPr>
                    <w:jc w:val="center"/>
                    <w:rPr>
                      <w:rFonts w:hint="eastAsia"/>
                      <w:szCs w:val="21"/>
                      <w:lang w:val="en-US" w:eastAsia="zh-CN"/>
                    </w:rPr>
                  </w:pPr>
                </w:p>
              </w:tc>
              <w:tc>
                <w:tcPr>
                  <w:tcW w:w="254" w:type="pct"/>
                  <w:shd w:val="clear" w:color="auto" w:fill="auto"/>
                  <w:vAlign w:val="center"/>
                </w:tcPr>
                <w:p w14:paraId="23F5E42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0F49DF48">
                  <w:pPr>
                    <w:jc w:val="center"/>
                    <w:rPr>
                      <w:rFonts w:hint="default"/>
                      <w:szCs w:val="21"/>
                      <w:lang w:val="en-US" w:eastAsia="zh-CN"/>
                    </w:rPr>
                  </w:pPr>
                  <w:r>
                    <w:rPr>
                      <w:rFonts w:hint="eastAsia"/>
                      <w:szCs w:val="21"/>
                      <w:lang w:val="en-US" w:eastAsia="zh-CN"/>
                    </w:rPr>
                    <w:t>2</w:t>
                  </w:r>
                </w:p>
              </w:tc>
              <w:tc>
                <w:tcPr>
                  <w:tcW w:w="378" w:type="pct"/>
                  <w:vAlign w:val="center"/>
                </w:tcPr>
                <w:p w14:paraId="67EDF0B2">
                  <w:pPr>
                    <w:jc w:val="center"/>
                    <w:rPr>
                      <w:rFonts w:hint="default"/>
                      <w:szCs w:val="21"/>
                      <w:lang w:val="en-US" w:eastAsia="zh-CN"/>
                    </w:rPr>
                  </w:pPr>
                  <w:r>
                    <w:rPr>
                      <w:rFonts w:hint="eastAsia"/>
                      <w:szCs w:val="21"/>
                      <w:lang w:val="en-US" w:eastAsia="zh-CN"/>
                    </w:rPr>
                    <w:t>50.8</w:t>
                  </w:r>
                </w:p>
              </w:tc>
              <w:tc>
                <w:tcPr>
                  <w:tcW w:w="291" w:type="pct"/>
                  <w:vMerge w:val="continue"/>
                  <w:vAlign w:val="center"/>
                </w:tcPr>
                <w:p w14:paraId="51642D7A">
                  <w:pPr>
                    <w:jc w:val="center"/>
                    <w:rPr>
                      <w:rFonts w:hint="eastAsia"/>
                      <w:szCs w:val="21"/>
                      <w:lang w:val="en-US" w:eastAsia="zh-CN"/>
                    </w:rPr>
                  </w:pPr>
                </w:p>
              </w:tc>
              <w:tc>
                <w:tcPr>
                  <w:tcW w:w="429" w:type="pct"/>
                  <w:vMerge w:val="continue"/>
                  <w:vAlign w:val="center"/>
                </w:tcPr>
                <w:p w14:paraId="5C4B10D4">
                  <w:pPr>
                    <w:jc w:val="center"/>
                    <w:rPr>
                      <w:rFonts w:hint="eastAsia"/>
                      <w:szCs w:val="21"/>
                      <w:lang w:val="en-US" w:eastAsia="zh-CN"/>
                    </w:rPr>
                  </w:pPr>
                </w:p>
              </w:tc>
              <w:tc>
                <w:tcPr>
                  <w:tcW w:w="458" w:type="pct"/>
                  <w:vAlign w:val="center"/>
                </w:tcPr>
                <w:p w14:paraId="32C7E8E7">
                  <w:pPr>
                    <w:jc w:val="center"/>
                    <w:rPr>
                      <w:rFonts w:hint="default"/>
                      <w:szCs w:val="21"/>
                      <w:lang w:val="en-US" w:eastAsia="zh-CN"/>
                    </w:rPr>
                  </w:pPr>
                  <w:r>
                    <w:rPr>
                      <w:rFonts w:hint="eastAsia"/>
                      <w:szCs w:val="21"/>
                      <w:lang w:val="en-US" w:eastAsia="zh-CN"/>
                    </w:rPr>
                    <w:t>35.8</w:t>
                  </w:r>
                </w:p>
              </w:tc>
              <w:tc>
                <w:tcPr>
                  <w:tcW w:w="318" w:type="pct"/>
                  <w:vMerge w:val="continue"/>
                  <w:vAlign w:val="center"/>
                </w:tcPr>
                <w:p w14:paraId="461D1079">
                  <w:pPr>
                    <w:jc w:val="center"/>
                    <w:rPr>
                      <w:rFonts w:hint="eastAsia"/>
                      <w:szCs w:val="21"/>
                      <w:lang w:val="en-US" w:eastAsia="zh-CN"/>
                    </w:rPr>
                  </w:pPr>
                </w:p>
              </w:tc>
            </w:tr>
            <w:tr w14:paraId="19A83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15FF5E5E">
                  <w:pPr>
                    <w:jc w:val="center"/>
                    <w:rPr>
                      <w:rFonts w:hint="eastAsia"/>
                      <w:szCs w:val="21"/>
                      <w:lang w:val="en-US" w:eastAsia="zh-CN"/>
                    </w:rPr>
                  </w:pPr>
                </w:p>
              </w:tc>
              <w:tc>
                <w:tcPr>
                  <w:tcW w:w="295" w:type="pct"/>
                  <w:vMerge w:val="continue"/>
                  <w:vAlign w:val="center"/>
                </w:tcPr>
                <w:p w14:paraId="568D534F">
                  <w:pPr>
                    <w:jc w:val="center"/>
                    <w:rPr>
                      <w:rFonts w:hint="eastAsia"/>
                      <w:szCs w:val="21"/>
                      <w:lang w:val="en-US" w:eastAsia="zh-CN"/>
                    </w:rPr>
                  </w:pPr>
                </w:p>
              </w:tc>
              <w:tc>
                <w:tcPr>
                  <w:tcW w:w="255" w:type="pct"/>
                  <w:vMerge w:val="continue"/>
                  <w:shd w:val="clear" w:color="auto" w:fill="auto"/>
                  <w:vAlign w:val="center"/>
                </w:tcPr>
                <w:p w14:paraId="343F4821">
                  <w:pPr>
                    <w:jc w:val="center"/>
                    <w:rPr>
                      <w:rFonts w:hint="eastAsia"/>
                      <w:szCs w:val="21"/>
                      <w:lang w:val="en-US" w:eastAsia="zh-CN"/>
                    </w:rPr>
                  </w:pPr>
                </w:p>
              </w:tc>
              <w:tc>
                <w:tcPr>
                  <w:tcW w:w="305" w:type="pct"/>
                  <w:vMerge w:val="continue"/>
                  <w:shd w:val="clear" w:color="auto" w:fill="auto"/>
                  <w:vAlign w:val="center"/>
                </w:tcPr>
                <w:p w14:paraId="1211E17E">
                  <w:pPr>
                    <w:jc w:val="center"/>
                    <w:rPr>
                      <w:rFonts w:hint="eastAsia"/>
                      <w:szCs w:val="21"/>
                      <w:lang w:val="en-US" w:eastAsia="zh-CN"/>
                    </w:rPr>
                  </w:pPr>
                </w:p>
              </w:tc>
              <w:tc>
                <w:tcPr>
                  <w:tcW w:w="393" w:type="pct"/>
                  <w:vMerge w:val="continue"/>
                  <w:vAlign w:val="center"/>
                </w:tcPr>
                <w:p w14:paraId="14A49443">
                  <w:pPr>
                    <w:jc w:val="center"/>
                    <w:rPr>
                      <w:rFonts w:hint="eastAsia"/>
                      <w:szCs w:val="21"/>
                      <w:lang w:val="en-US" w:eastAsia="zh-CN"/>
                    </w:rPr>
                  </w:pPr>
                </w:p>
              </w:tc>
              <w:tc>
                <w:tcPr>
                  <w:tcW w:w="298" w:type="pct"/>
                  <w:vMerge w:val="continue"/>
                  <w:vAlign w:val="center"/>
                </w:tcPr>
                <w:p w14:paraId="38898C8D">
                  <w:pPr>
                    <w:jc w:val="center"/>
                    <w:rPr>
                      <w:rFonts w:hint="eastAsia"/>
                      <w:szCs w:val="21"/>
                      <w:lang w:val="en-US" w:eastAsia="zh-CN"/>
                    </w:rPr>
                  </w:pPr>
                </w:p>
              </w:tc>
              <w:tc>
                <w:tcPr>
                  <w:tcW w:w="276" w:type="pct"/>
                  <w:vMerge w:val="continue"/>
                  <w:vAlign w:val="center"/>
                </w:tcPr>
                <w:p w14:paraId="6EAB0569">
                  <w:pPr>
                    <w:jc w:val="center"/>
                    <w:rPr>
                      <w:rFonts w:hint="eastAsia"/>
                      <w:szCs w:val="21"/>
                      <w:lang w:val="en-US" w:eastAsia="zh-CN"/>
                    </w:rPr>
                  </w:pPr>
                </w:p>
              </w:tc>
              <w:tc>
                <w:tcPr>
                  <w:tcW w:w="298" w:type="pct"/>
                  <w:vMerge w:val="continue"/>
                  <w:vAlign w:val="center"/>
                </w:tcPr>
                <w:p w14:paraId="2B99003D">
                  <w:pPr>
                    <w:jc w:val="center"/>
                    <w:rPr>
                      <w:rFonts w:hint="eastAsia"/>
                      <w:szCs w:val="21"/>
                      <w:lang w:val="en-US" w:eastAsia="zh-CN"/>
                    </w:rPr>
                  </w:pPr>
                </w:p>
              </w:tc>
              <w:tc>
                <w:tcPr>
                  <w:tcW w:w="305" w:type="pct"/>
                  <w:vMerge w:val="continue"/>
                  <w:vAlign w:val="center"/>
                </w:tcPr>
                <w:p w14:paraId="0CD3A510">
                  <w:pPr>
                    <w:jc w:val="center"/>
                    <w:rPr>
                      <w:rFonts w:hint="eastAsia"/>
                      <w:szCs w:val="21"/>
                      <w:lang w:val="en-US" w:eastAsia="zh-CN"/>
                    </w:rPr>
                  </w:pPr>
                </w:p>
              </w:tc>
              <w:tc>
                <w:tcPr>
                  <w:tcW w:w="254" w:type="pct"/>
                  <w:shd w:val="clear" w:color="auto" w:fill="auto"/>
                  <w:vAlign w:val="center"/>
                </w:tcPr>
                <w:p w14:paraId="19275F8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5A3F80E3">
                  <w:pPr>
                    <w:jc w:val="center"/>
                    <w:rPr>
                      <w:rFonts w:hint="default"/>
                      <w:szCs w:val="21"/>
                      <w:lang w:val="en-US" w:eastAsia="zh-CN"/>
                    </w:rPr>
                  </w:pPr>
                  <w:r>
                    <w:rPr>
                      <w:rFonts w:hint="eastAsia"/>
                      <w:szCs w:val="21"/>
                      <w:lang w:val="en-US" w:eastAsia="zh-CN"/>
                    </w:rPr>
                    <w:t>29</w:t>
                  </w:r>
                </w:p>
              </w:tc>
              <w:tc>
                <w:tcPr>
                  <w:tcW w:w="378" w:type="pct"/>
                  <w:vAlign w:val="center"/>
                </w:tcPr>
                <w:p w14:paraId="3290F138">
                  <w:pPr>
                    <w:jc w:val="center"/>
                    <w:rPr>
                      <w:rFonts w:hint="default"/>
                      <w:szCs w:val="21"/>
                      <w:lang w:val="en-US" w:eastAsia="zh-CN"/>
                    </w:rPr>
                  </w:pPr>
                  <w:r>
                    <w:rPr>
                      <w:rFonts w:hint="eastAsia"/>
                      <w:szCs w:val="21"/>
                      <w:lang w:val="en-US" w:eastAsia="zh-CN"/>
                    </w:rPr>
                    <w:t>44.6</w:t>
                  </w:r>
                </w:p>
              </w:tc>
              <w:tc>
                <w:tcPr>
                  <w:tcW w:w="291" w:type="pct"/>
                  <w:vMerge w:val="continue"/>
                  <w:vAlign w:val="center"/>
                </w:tcPr>
                <w:p w14:paraId="42C96108">
                  <w:pPr>
                    <w:jc w:val="center"/>
                    <w:rPr>
                      <w:rFonts w:hint="eastAsia"/>
                      <w:szCs w:val="21"/>
                      <w:lang w:val="en-US" w:eastAsia="zh-CN"/>
                    </w:rPr>
                  </w:pPr>
                </w:p>
              </w:tc>
              <w:tc>
                <w:tcPr>
                  <w:tcW w:w="429" w:type="pct"/>
                  <w:vMerge w:val="continue"/>
                  <w:vAlign w:val="center"/>
                </w:tcPr>
                <w:p w14:paraId="133FB658">
                  <w:pPr>
                    <w:jc w:val="center"/>
                    <w:rPr>
                      <w:rFonts w:hint="eastAsia"/>
                      <w:szCs w:val="21"/>
                      <w:lang w:val="en-US" w:eastAsia="zh-CN"/>
                    </w:rPr>
                  </w:pPr>
                </w:p>
              </w:tc>
              <w:tc>
                <w:tcPr>
                  <w:tcW w:w="458" w:type="pct"/>
                  <w:vAlign w:val="center"/>
                </w:tcPr>
                <w:p w14:paraId="45A78DC3">
                  <w:pPr>
                    <w:jc w:val="center"/>
                    <w:rPr>
                      <w:rFonts w:hint="default"/>
                      <w:szCs w:val="21"/>
                      <w:lang w:val="en-US" w:eastAsia="zh-CN"/>
                    </w:rPr>
                  </w:pPr>
                  <w:r>
                    <w:rPr>
                      <w:rFonts w:hint="eastAsia"/>
                      <w:szCs w:val="21"/>
                      <w:lang w:val="en-US" w:eastAsia="zh-CN"/>
                    </w:rPr>
                    <w:t>29.6</w:t>
                  </w:r>
                </w:p>
              </w:tc>
              <w:tc>
                <w:tcPr>
                  <w:tcW w:w="318" w:type="pct"/>
                  <w:vMerge w:val="continue"/>
                  <w:vAlign w:val="center"/>
                </w:tcPr>
                <w:p w14:paraId="68D72A0F">
                  <w:pPr>
                    <w:jc w:val="center"/>
                    <w:rPr>
                      <w:rFonts w:hint="eastAsia"/>
                      <w:szCs w:val="21"/>
                      <w:lang w:val="en-US" w:eastAsia="zh-CN"/>
                    </w:rPr>
                  </w:pPr>
                </w:p>
              </w:tc>
            </w:tr>
            <w:tr w14:paraId="24A0A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1D3A04D6">
                  <w:pPr>
                    <w:jc w:val="center"/>
                    <w:rPr>
                      <w:rFonts w:hint="eastAsia"/>
                      <w:szCs w:val="21"/>
                      <w:lang w:val="en-US" w:eastAsia="zh-CN"/>
                    </w:rPr>
                  </w:pPr>
                </w:p>
              </w:tc>
              <w:tc>
                <w:tcPr>
                  <w:tcW w:w="295" w:type="pct"/>
                  <w:vMerge w:val="continue"/>
                  <w:vAlign w:val="center"/>
                </w:tcPr>
                <w:p w14:paraId="61AB1FE9">
                  <w:pPr>
                    <w:jc w:val="center"/>
                    <w:rPr>
                      <w:rFonts w:hint="eastAsia"/>
                      <w:szCs w:val="21"/>
                      <w:lang w:val="en-US" w:eastAsia="zh-CN"/>
                    </w:rPr>
                  </w:pPr>
                </w:p>
              </w:tc>
              <w:tc>
                <w:tcPr>
                  <w:tcW w:w="255" w:type="pct"/>
                  <w:vMerge w:val="restart"/>
                  <w:shd w:val="clear" w:color="auto" w:fill="auto"/>
                  <w:vAlign w:val="center"/>
                </w:tcPr>
                <w:p w14:paraId="778812C6">
                  <w:pPr>
                    <w:jc w:val="center"/>
                    <w:rPr>
                      <w:rFonts w:hint="default"/>
                      <w:szCs w:val="21"/>
                      <w:lang w:val="en-US" w:eastAsia="zh-CN"/>
                    </w:rPr>
                  </w:pPr>
                  <w:r>
                    <w:rPr>
                      <w:rFonts w:hint="eastAsia"/>
                      <w:szCs w:val="21"/>
                      <w:lang w:val="en-US" w:eastAsia="zh-CN"/>
                    </w:rPr>
                    <w:t>打磨流水线</w:t>
                  </w:r>
                </w:p>
              </w:tc>
              <w:tc>
                <w:tcPr>
                  <w:tcW w:w="305" w:type="pct"/>
                  <w:vMerge w:val="restart"/>
                  <w:shd w:val="clear" w:color="auto" w:fill="auto"/>
                  <w:vAlign w:val="center"/>
                </w:tcPr>
                <w:p w14:paraId="3C2803E2">
                  <w:pPr>
                    <w:jc w:val="center"/>
                    <w:rPr>
                      <w:rFonts w:hint="default"/>
                      <w:szCs w:val="21"/>
                      <w:lang w:val="en-US" w:eastAsia="zh-CN"/>
                    </w:rPr>
                  </w:pPr>
                  <w:r>
                    <w:rPr>
                      <w:rFonts w:hint="eastAsia"/>
                      <w:szCs w:val="21"/>
                      <w:lang w:val="en-US" w:eastAsia="zh-CN"/>
                    </w:rPr>
                    <w:t>4</w:t>
                  </w:r>
                </w:p>
              </w:tc>
              <w:tc>
                <w:tcPr>
                  <w:tcW w:w="393" w:type="pct"/>
                  <w:vMerge w:val="restart"/>
                  <w:vAlign w:val="center"/>
                </w:tcPr>
                <w:p w14:paraId="337D2398">
                  <w:pPr>
                    <w:jc w:val="center"/>
                    <w:rPr>
                      <w:rFonts w:hint="default"/>
                      <w:szCs w:val="21"/>
                      <w:lang w:val="en-US" w:eastAsia="zh-CN"/>
                    </w:rPr>
                  </w:pPr>
                  <w:r>
                    <w:rPr>
                      <w:rFonts w:hint="eastAsia"/>
                      <w:szCs w:val="21"/>
                      <w:lang w:val="en-US" w:eastAsia="zh-CN"/>
                    </w:rPr>
                    <w:t>55-60</w:t>
                  </w:r>
                </w:p>
              </w:tc>
              <w:tc>
                <w:tcPr>
                  <w:tcW w:w="298" w:type="pct"/>
                  <w:vMerge w:val="continue"/>
                  <w:vAlign w:val="center"/>
                </w:tcPr>
                <w:p w14:paraId="5B259B7E">
                  <w:pPr>
                    <w:jc w:val="center"/>
                    <w:rPr>
                      <w:rFonts w:hint="eastAsia"/>
                      <w:szCs w:val="21"/>
                      <w:lang w:val="en-US" w:eastAsia="zh-CN"/>
                    </w:rPr>
                  </w:pPr>
                </w:p>
              </w:tc>
              <w:tc>
                <w:tcPr>
                  <w:tcW w:w="276" w:type="pct"/>
                  <w:vMerge w:val="restart"/>
                  <w:vAlign w:val="center"/>
                </w:tcPr>
                <w:p w14:paraId="39065B1D">
                  <w:pPr>
                    <w:jc w:val="center"/>
                    <w:rPr>
                      <w:rFonts w:hint="default"/>
                      <w:szCs w:val="21"/>
                      <w:lang w:val="en-US" w:eastAsia="zh-CN"/>
                    </w:rPr>
                  </w:pPr>
                  <w:r>
                    <w:rPr>
                      <w:rFonts w:hint="eastAsia"/>
                      <w:szCs w:val="21"/>
                      <w:lang w:val="en-US" w:eastAsia="zh-CN"/>
                    </w:rPr>
                    <w:t>1-12</w:t>
                  </w:r>
                </w:p>
              </w:tc>
              <w:tc>
                <w:tcPr>
                  <w:tcW w:w="298" w:type="pct"/>
                  <w:vMerge w:val="restart"/>
                  <w:vAlign w:val="center"/>
                </w:tcPr>
                <w:p w14:paraId="5706A019">
                  <w:pPr>
                    <w:jc w:val="center"/>
                    <w:rPr>
                      <w:rFonts w:hint="default"/>
                      <w:szCs w:val="21"/>
                      <w:lang w:val="en-US" w:eastAsia="zh-CN"/>
                    </w:rPr>
                  </w:pPr>
                  <w:r>
                    <w:rPr>
                      <w:rFonts w:hint="eastAsia"/>
                      <w:szCs w:val="21"/>
                      <w:lang w:val="en-US" w:eastAsia="zh-CN"/>
                    </w:rPr>
                    <w:t>12-20</w:t>
                  </w:r>
                </w:p>
              </w:tc>
              <w:tc>
                <w:tcPr>
                  <w:tcW w:w="305" w:type="pct"/>
                  <w:vMerge w:val="restart"/>
                  <w:vAlign w:val="center"/>
                </w:tcPr>
                <w:p w14:paraId="1E6B7A9F">
                  <w:pPr>
                    <w:jc w:val="center"/>
                    <w:rPr>
                      <w:rFonts w:hint="default"/>
                      <w:szCs w:val="21"/>
                      <w:lang w:val="en-US" w:eastAsia="zh-CN"/>
                    </w:rPr>
                  </w:pPr>
                  <w:r>
                    <w:rPr>
                      <w:rFonts w:hint="eastAsia"/>
                      <w:szCs w:val="21"/>
                      <w:lang w:val="en-US" w:eastAsia="zh-CN"/>
                    </w:rPr>
                    <w:t>9.6</w:t>
                  </w:r>
                </w:p>
              </w:tc>
              <w:tc>
                <w:tcPr>
                  <w:tcW w:w="254" w:type="pct"/>
                  <w:shd w:val="clear" w:color="auto" w:fill="auto"/>
                  <w:vAlign w:val="center"/>
                </w:tcPr>
                <w:p w14:paraId="27264497">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西北</w:t>
                  </w:r>
                </w:p>
              </w:tc>
              <w:tc>
                <w:tcPr>
                  <w:tcW w:w="262" w:type="pct"/>
                  <w:shd w:val="clear" w:color="auto" w:fill="auto"/>
                  <w:vAlign w:val="center"/>
                </w:tcPr>
                <w:p w14:paraId="6D2B3C50">
                  <w:pPr>
                    <w:jc w:val="center"/>
                    <w:rPr>
                      <w:rFonts w:hint="default"/>
                      <w:szCs w:val="21"/>
                      <w:lang w:val="en-US" w:eastAsia="zh-CN"/>
                    </w:rPr>
                  </w:pPr>
                  <w:r>
                    <w:rPr>
                      <w:rFonts w:hint="eastAsia"/>
                      <w:szCs w:val="21"/>
                      <w:lang w:val="en-US" w:eastAsia="zh-CN"/>
                    </w:rPr>
                    <w:t>1</w:t>
                  </w:r>
                </w:p>
              </w:tc>
              <w:tc>
                <w:tcPr>
                  <w:tcW w:w="378" w:type="pct"/>
                  <w:vAlign w:val="center"/>
                </w:tcPr>
                <w:p w14:paraId="42EB4B3E">
                  <w:pPr>
                    <w:jc w:val="center"/>
                    <w:rPr>
                      <w:rFonts w:hint="default"/>
                      <w:szCs w:val="21"/>
                      <w:lang w:val="en-US" w:eastAsia="zh-CN"/>
                    </w:rPr>
                  </w:pPr>
                  <w:r>
                    <w:rPr>
                      <w:rFonts w:hint="eastAsia"/>
                      <w:szCs w:val="21"/>
                      <w:lang w:val="en-US" w:eastAsia="zh-CN"/>
                    </w:rPr>
                    <w:t>59.4</w:t>
                  </w:r>
                </w:p>
              </w:tc>
              <w:tc>
                <w:tcPr>
                  <w:tcW w:w="291" w:type="pct"/>
                  <w:vMerge w:val="restart"/>
                  <w:vAlign w:val="center"/>
                </w:tcPr>
                <w:p w14:paraId="3E62F814">
                  <w:pPr>
                    <w:jc w:val="center"/>
                    <w:rPr>
                      <w:rFonts w:hint="eastAsia"/>
                      <w:szCs w:val="21"/>
                      <w:lang w:val="en-US" w:eastAsia="zh-CN"/>
                    </w:rPr>
                  </w:pPr>
                  <w:r>
                    <w:rPr>
                      <w:rFonts w:hint="eastAsia"/>
                      <w:snapToGrid w:val="0"/>
                      <w:szCs w:val="21"/>
                      <w:lang w:val="en-US" w:eastAsia="zh-CN"/>
                    </w:rPr>
                    <w:t>8</w:t>
                  </w:r>
                  <w:r>
                    <w:rPr>
                      <w:snapToGrid w:val="0"/>
                      <w:szCs w:val="21"/>
                    </w:rPr>
                    <w:t>h</w:t>
                  </w:r>
                  <w:r>
                    <w:rPr>
                      <w:rFonts w:hint="eastAsia"/>
                      <w:snapToGrid w:val="0"/>
                      <w:szCs w:val="21"/>
                    </w:rPr>
                    <w:t>/d</w:t>
                  </w:r>
                </w:p>
              </w:tc>
              <w:tc>
                <w:tcPr>
                  <w:tcW w:w="429" w:type="pct"/>
                  <w:vMerge w:val="restart"/>
                  <w:vAlign w:val="center"/>
                </w:tcPr>
                <w:p w14:paraId="04A3DA9E">
                  <w:pPr>
                    <w:jc w:val="center"/>
                    <w:rPr>
                      <w:rFonts w:hint="eastAsia"/>
                      <w:szCs w:val="21"/>
                      <w:lang w:val="en-US" w:eastAsia="zh-CN"/>
                    </w:rPr>
                  </w:pPr>
                  <w:r>
                    <w:rPr>
                      <w:rFonts w:hint="eastAsia"/>
                      <w:szCs w:val="21"/>
                    </w:rPr>
                    <w:t>-15</w:t>
                  </w:r>
                </w:p>
              </w:tc>
              <w:tc>
                <w:tcPr>
                  <w:tcW w:w="458" w:type="pct"/>
                  <w:vAlign w:val="center"/>
                </w:tcPr>
                <w:p w14:paraId="04A39359">
                  <w:pPr>
                    <w:jc w:val="center"/>
                    <w:rPr>
                      <w:rFonts w:hint="default"/>
                      <w:szCs w:val="21"/>
                      <w:lang w:val="en-US" w:eastAsia="zh-CN"/>
                    </w:rPr>
                  </w:pPr>
                  <w:r>
                    <w:rPr>
                      <w:rFonts w:hint="eastAsia"/>
                      <w:szCs w:val="21"/>
                      <w:lang w:val="en-US" w:eastAsia="zh-CN"/>
                    </w:rPr>
                    <w:t>44.4</w:t>
                  </w:r>
                </w:p>
              </w:tc>
              <w:tc>
                <w:tcPr>
                  <w:tcW w:w="318" w:type="pct"/>
                  <w:vMerge w:val="continue"/>
                  <w:vAlign w:val="center"/>
                </w:tcPr>
                <w:p w14:paraId="338FF732">
                  <w:pPr>
                    <w:jc w:val="center"/>
                    <w:rPr>
                      <w:rFonts w:hint="eastAsia"/>
                      <w:szCs w:val="21"/>
                      <w:lang w:val="en-US" w:eastAsia="zh-CN"/>
                    </w:rPr>
                  </w:pPr>
                </w:p>
              </w:tc>
            </w:tr>
            <w:tr w14:paraId="17E7B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6F99D8B5">
                  <w:pPr>
                    <w:jc w:val="center"/>
                  </w:pPr>
                </w:p>
              </w:tc>
              <w:tc>
                <w:tcPr>
                  <w:tcW w:w="295" w:type="pct"/>
                  <w:vMerge w:val="continue"/>
                  <w:vAlign w:val="center"/>
                </w:tcPr>
                <w:p w14:paraId="76FD189F">
                  <w:pPr>
                    <w:jc w:val="center"/>
                  </w:pPr>
                </w:p>
              </w:tc>
              <w:tc>
                <w:tcPr>
                  <w:tcW w:w="255" w:type="pct"/>
                  <w:vMerge w:val="continue"/>
                  <w:shd w:val="clear" w:color="auto" w:fill="auto"/>
                  <w:vAlign w:val="center"/>
                </w:tcPr>
                <w:p w14:paraId="14933718">
                  <w:pPr>
                    <w:jc w:val="center"/>
                  </w:pPr>
                </w:p>
              </w:tc>
              <w:tc>
                <w:tcPr>
                  <w:tcW w:w="305" w:type="pct"/>
                  <w:vMerge w:val="continue"/>
                  <w:shd w:val="clear" w:color="auto" w:fill="auto"/>
                  <w:vAlign w:val="center"/>
                </w:tcPr>
                <w:p w14:paraId="16EE1D29">
                  <w:pPr>
                    <w:jc w:val="center"/>
                  </w:pPr>
                </w:p>
              </w:tc>
              <w:tc>
                <w:tcPr>
                  <w:tcW w:w="393" w:type="pct"/>
                  <w:vMerge w:val="continue"/>
                  <w:vAlign w:val="center"/>
                </w:tcPr>
                <w:p w14:paraId="0510121E">
                  <w:pPr>
                    <w:jc w:val="center"/>
                  </w:pPr>
                </w:p>
              </w:tc>
              <w:tc>
                <w:tcPr>
                  <w:tcW w:w="298" w:type="pct"/>
                  <w:vMerge w:val="continue"/>
                  <w:vAlign w:val="center"/>
                </w:tcPr>
                <w:p w14:paraId="6622F20D">
                  <w:pPr>
                    <w:jc w:val="center"/>
                  </w:pPr>
                </w:p>
              </w:tc>
              <w:tc>
                <w:tcPr>
                  <w:tcW w:w="276" w:type="pct"/>
                  <w:vMerge w:val="continue"/>
                  <w:vAlign w:val="center"/>
                </w:tcPr>
                <w:p w14:paraId="5571B66D">
                  <w:pPr>
                    <w:jc w:val="center"/>
                  </w:pPr>
                </w:p>
              </w:tc>
              <w:tc>
                <w:tcPr>
                  <w:tcW w:w="298" w:type="pct"/>
                  <w:vMerge w:val="continue"/>
                  <w:vAlign w:val="center"/>
                </w:tcPr>
                <w:p w14:paraId="55C026EC">
                  <w:pPr>
                    <w:jc w:val="center"/>
                  </w:pPr>
                </w:p>
              </w:tc>
              <w:tc>
                <w:tcPr>
                  <w:tcW w:w="305" w:type="pct"/>
                  <w:vMerge w:val="continue"/>
                  <w:vAlign w:val="center"/>
                </w:tcPr>
                <w:p w14:paraId="69159A1E">
                  <w:pPr>
                    <w:jc w:val="center"/>
                  </w:pPr>
                </w:p>
              </w:tc>
              <w:tc>
                <w:tcPr>
                  <w:tcW w:w="254" w:type="pct"/>
                  <w:shd w:val="clear" w:color="auto" w:fill="auto"/>
                  <w:vAlign w:val="center"/>
                </w:tcPr>
                <w:p w14:paraId="15B9D08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西南</w:t>
                  </w:r>
                </w:p>
              </w:tc>
              <w:tc>
                <w:tcPr>
                  <w:tcW w:w="262" w:type="pct"/>
                  <w:shd w:val="clear" w:color="auto" w:fill="auto"/>
                  <w:vAlign w:val="center"/>
                </w:tcPr>
                <w:p w14:paraId="7E06F6E5">
                  <w:pPr>
                    <w:jc w:val="center"/>
                    <w:rPr>
                      <w:rFonts w:hint="default"/>
                      <w:szCs w:val="21"/>
                      <w:lang w:val="en-US" w:eastAsia="zh-CN"/>
                    </w:rPr>
                  </w:pPr>
                  <w:r>
                    <w:rPr>
                      <w:rFonts w:hint="eastAsia"/>
                      <w:szCs w:val="21"/>
                      <w:lang w:val="en-US" w:eastAsia="zh-CN"/>
                    </w:rPr>
                    <w:t>20</w:t>
                  </w:r>
                </w:p>
              </w:tc>
              <w:tc>
                <w:tcPr>
                  <w:tcW w:w="378" w:type="pct"/>
                  <w:vAlign w:val="center"/>
                </w:tcPr>
                <w:p w14:paraId="25358B4B">
                  <w:pPr>
                    <w:jc w:val="center"/>
                    <w:rPr>
                      <w:rFonts w:hint="default"/>
                      <w:szCs w:val="21"/>
                      <w:lang w:val="en-US" w:eastAsia="zh-CN"/>
                    </w:rPr>
                  </w:pPr>
                  <w:r>
                    <w:rPr>
                      <w:rFonts w:hint="eastAsia"/>
                      <w:szCs w:val="21"/>
                      <w:lang w:val="en-US" w:eastAsia="zh-CN"/>
                    </w:rPr>
                    <w:t>48.9</w:t>
                  </w:r>
                </w:p>
              </w:tc>
              <w:tc>
                <w:tcPr>
                  <w:tcW w:w="291" w:type="pct"/>
                  <w:vMerge w:val="continue"/>
                  <w:vAlign w:val="center"/>
                </w:tcPr>
                <w:p w14:paraId="318E1EAD">
                  <w:pPr>
                    <w:jc w:val="center"/>
                    <w:rPr>
                      <w:rFonts w:hint="eastAsia"/>
                      <w:szCs w:val="21"/>
                      <w:lang w:val="en-US" w:eastAsia="zh-CN"/>
                    </w:rPr>
                  </w:pPr>
                </w:p>
              </w:tc>
              <w:tc>
                <w:tcPr>
                  <w:tcW w:w="429" w:type="pct"/>
                  <w:vMerge w:val="continue"/>
                  <w:vAlign w:val="center"/>
                </w:tcPr>
                <w:p w14:paraId="3EFDB7F2">
                  <w:pPr>
                    <w:jc w:val="center"/>
                    <w:rPr>
                      <w:rFonts w:hint="eastAsia"/>
                      <w:szCs w:val="21"/>
                      <w:lang w:val="en-US" w:eastAsia="zh-CN"/>
                    </w:rPr>
                  </w:pPr>
                </w:p>
              </w:tc>
              <w:tc>
                <w:tcPr>
                  <w:tcW w:w="458" w:type="pct"/>
                  <w:vAlign w:val="center"/>
                </w:tcPr>
                <w:p w14:paraId="115FF108">
                  <w:pPr>
                    <w:jc w:val="center"/>
                    <w:rPr>
                      <w:rFonts w:hint="default"/>
                      <w:szCs w:val="21"/>
                      <w:lang w:val="en-US" w:eastAsia="zh-CN"/>
                    </w:rPr>
                  </w:pPr>
                  <w:r>
                    <w:rPr>
                      <w:rFonts w:hint="eastAsia"/>
                      <w:szCs w:val="21"/>
                      <w:lang w:val="en-US" w:eastAsia="zh-CN"/>
                    </w:rPr>
                    <w:t>33.9</w:t>
                  </w:r>
                </w:p>
              </w:tc>
              <w:tc>
                <w:tcPr>
                  <w:tcW w:w="318" w:type="pct"/>
                  <w:vMerge w:val="continue"/>
                  <w:vAlign w:val="center"/>
                </w:tcPr>
                <w:p w14:paraId="579A0E9F">
                  <w:pPr>
                    <w:jc w:val="center"/>
                    <w:rPr>
                      <w:rFonts w:hint="eastAsia"/>
                      <w:szCs w:val="21"/>
                      <w:lang w:val="en-US" w:eastAsia="zh-CN"/>
                    </w:rPr>
                  </w:pPr>
                </w:p>
              </w:tc>
            </w:tr>
            <w:tr w14:paraId="111A9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754AD130">
                  <w:pPr>
                    <w:jc w:val="center"/>
                    <w:rPr>
                      <w:rFonts w:hint="eastAsia"/>
                      <w:szCs w:val="21"/>
                      <w:lang w:val="en-US" w:eastAsia="zh-CN"/>
                    </w:rPr>
                  </w:pPr>
                </w:p>
              </w:tc>
              <w:tc>
                <w:tcPr>
                  <w:tcW w:w="295" w:type="pct"/>
                  <w:vMerge w:val="continue"/>
                  <w:vAlign w:val="center"/>
                </w:tcPr>
                <w:p w14:paraId="6713EF8F">
                  <w:pPr>
                    <w:jc w:val="center"/>
                    <w:rPr>
                      <w:rFonts w:hint="eastAsia"/>
                      <w:szCs w:val="21"/>
                      <w:lang w:val="en-US" w:eastAsia="zh-CN"/>
                    </w:rPr>
                  </w:pPr>
                </w:p>
              </w:tc>
              <w:tc>
                <w:tcPr>
                  <w:tcW w:w="255" w:type="pct"/>
                  <w:vMerge w:val="continue"/>
                  <w:shd w:val="clear" w:color="auto" w:fill="auto"/>
                  <w:vAlign w:val="center"/>
                </w:tcPr>
                <w:p w14:paraId="3F67347D">
                  <w:pPr>
                    <w:jc w:val="center"/>
                    <w:rPr>
                      <w:rFonts w:hint="eastAsia"/>
                      <w:szCs w:val="21"/>
                      <w:lang w:val="en-US" w:eastAsia="zh-CN"/>
                    </w:rPr>
                  </w:pPr>
                </w:p>
              </w:tc>
              <w:tc>
                <w:tcPr>
                  <w:tcW w:w="305" w:type="pct"/>
                  <w:vMerge w:val="continue"/>
                  <w:shd w:val="clear" w:color="auto" w:fill="auto"/>
                  <w:vAlign w:val="center"/>
                </w:tcPr>
                <w:p w14:paraId="38FF9755">
                  <w:pPr>
                    <w:jc w:val="center"/>
                    <w:rPr>
                      <w:rFonts w:hint="eastAsia"/>
                      <w:szCs w:val="21"/>
                      <w:lang w:val="en-US" w:eastAsia="zh-CN"/>
                    </w:rPr>
                  </w:pPr>
                </w:p>
              </w:tc>
              <w:tc>
                <w:tcPr>
                  <w:tcW w:w="393" w:type="pct"/>
                  <w:vMerge w:val="continue"/>
                  <w:vAlign w:val="center"/>
                </w:tcPr>
                <w:p w14:paraId="7486D99E">
                  <w:pPr>
                    <w:jc w:val="center"/>
                    <w:rPr>
                      <w:rFonts w:hint="eastAsia"/>
                      <w:szCs w:val="21"/>
                      <w:lang w:val="en-US" w:eastAsia="zh-CN"/>
                    </w:rPr>
                  </w:pPr>
                </w:p>
              </w:tc>
              <w:tc>
                <w:tcPr>
                  <w:tcW w:w="298" w:type="pct"/>
                  <w:vMerge w:val="continue"/>
                  <w:vAlign w:val="center"/>
                </w:tcPr>
                <w:p w14:paraId="7C40747B">
                  <w:pPr>
                    <w:jc w:val="center"/>
                    <w:rPr>
                      <w:rFonts w:hint="eastAsia"/>
                      <w:szCs w:val="21"/>
                      <w:lang w:val="en-US" w:eastAsia="zh-CN"/>
                    </w:rPr>
                  </w:pPr>
                </w:p>
              </w:tc>
              <w:tc>
                <w:tcPr>
                  <w:tcW w:w="276" w:type="pct"/>
                  <w:vMerge w:val="continue"/>
                  <w:vAlign w:val="center"/>
                </w:tcPr>
                <w:p w14:paraId="777B719A">
                  <w:pPr>
                    <w:jc w:val="center"/>
                    <w:rPr>
                      <w:rFonts w:hint="eastAsia"/>
                      <w:szCs w:val="21"/>
                      <w:lang w:val="en-US" w:eastAsia="zh-CN"/>
                    </w:rPr>
                  </w:pPr>
                </w:p>
              </w:tc>
              <w:tc>
                <w:tcPr>
                  <w:tcW w:w="298" w:type="pct"/>
                  <w:vMerge w:val="continue"/>
                  <w:vAlign w:val="center"/>
                </w:tcPr>
                <w:p w14:paraId="22C1E18B">
                  <w:pPr>
                    <w:jc w:val="center"/>
                    <w:rPr>
                      <w:rFonts w:hint="eastAsia"/>
                      <w:szCs w:val="21"/>
                      <w:lang w:val="en-US" w:eastAsia="zh-CN"/>
                    </w:rPr>
                  </w:pPr>
                </w:p>
              </w:tc>
              <w:tc>
                <w:tcPr>
                  <w:tcW w:w="305" w:type="pct"/>
                  <w:vMerge w:val="continue"/>
                  <w:vAlign w:val="center"/>
                </w:tcPr>
                <w:p w14:paraId="76FFBD0E">
                  <w:pPr>
                    <w:jc w:val="center"/>
                    <w:rPr>
                      <w:rFonts w:hint="eastAsia"/>
                      <w:szCs w:val="21"/>
                      <w:lang w:val="en-US" w:eastAsia="zh-CN"/>
                    </w:rPr>
                  </w:pPr>
                </w:p>
              </w:tc>
              <w:tc>
                <w:tcPr>
                  <w:tcW w:w="254" w:type="pct"/>
                  <w:shd w:val="clear" w:color="auto" w:fill="auto"/>
                  <w:vAlign w:val="center"/>
                </w:tcPr>
                <w:p w14:paraId="28BE90ED">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东北</w:t>
                  </w:r>
                </w:p>
              </w:tc>
              <w:tc>
                <w:tcPr>
                  <w:tcW w:w="262" w:type="pct"/>
                  <w:shd w:val="clear" w:color="auto" w:fill="auto"/>
                  <w:vAlign w:val="center"/>
                </w:tcPr>
                <w:p w14:paraId="6EC60FC2">
                  <w:pPr>
                    <w:jc w:val="center"/>
                    <w:rPr>
                      <w:rFonts w:hint="default"/>
                      <w:szCs w:val="21"/>
                      <w:lang w:val="en-US" w:eastAsia="zh-CN"/>
                    </w:rPr>
                  </w:pPr>
                  <w:r>
                    <w:rPr>
                      <w:rFonts w:hint="eastAsia"/>
                      <w:szCs w:val="21"/>
                      <w:lang w:val="en-US" w:eastAsia="zh-CN"/>
                    </w:rPr>
                    <w:t>2</w:t>
                  </w:r>
                </w:p>
              </w:tc>
              <w:tc>
                <w:tcPr>
                  <w:tcW w:w="378" w:type="pct"/>
                  <w:vAlign w:val="center"/>
                </w:tcPr>
                <w:p w14:paraId="7DE12157">
                  <w:pPr>
                    <w:jc w:val="center"/>
                    <w:rPr>
                      <w:rFonts w:hint="default"/>
                      <w:szCs w:val="21"/>
                      <w:lang w:val="en-US" w:eastAsia="zh-CN"/>
                    </w:rPr>
                  </w:pPr>
                  <w:r>
                    <w:rPr>
                      <w:rFonts w:hint="eastAsia"/>
                      <w:szCs w:val="21"/>
                      <w:lang w:val="en-US" w:eastAsia="zh-CN"/>
                    </w:rPr>
                    <w:t>56.4</w:t>
                  </w:r>
                </w:p>
              </w:tc>
              <w:tc>
                <w:tcPr>
                  <w:tcW w:w="291" w:type="pct"/>
                  <w:vMerge w:val="continue"/>
                  <w:vAlign w:val="center"/>
                </w:tcPr>
                <w:p w14:paraId="22C80C65">
                  <w:pPr>
                    <w:jc w:val="center"/>
                    <w:rPr>
                      <w:rFonts w:hint="eastAsia"/>
                      <w:szCs w:val="21"/>
                      <w:lang w:val="en-US" w:eastAsia="zh-CN"/>
                    </w:rPr>
                  </w:pPr>
                </w:p>
              </w:tc>
              <w:tc>
                <w:tcPr>
                  <w:tcW w:w="429" w:type="pct"/>
                  <w:vMerge w:val="continue"/>
                  <w:vAlign w:val="center"/>
                </w:tcPr>
                <w:p w14:paraId="7F98FE0D">
                  <w:pPr>
                    <w:jc w:val="center"/>
                    <w:rPr>
                      <w:rFonts w:hint="eastAsia"/>
                      <w:szCs w:val="21"/>
                      <w:lang w:val="en-US" w:eastAsia="zh-CN"/>
                    </w:rPr>
                  </w:pPr>
                </w:p>
              </w:tc>
              <w:tc>
                <w:tcPr>
                  <w:tcW w:w="458" w:type="pct"/>
                  <w:vAlign w:val="center"/>
                </w:tcPr>
                <w:p w14:paraId="548F8950">
                  <w:pPr>
                    <w:jc w:val="center"/>
                    <w:rPr>
                      <w:rFonts w:hint="default"/>
                      <w:szCs w:val="21"/>
                      <w:lang w:val="en-US" w:eastAsia="zh-CN"/>
                    </w:rPr>
                  </w:pPr>
                  <w:r>
                    <w:rPr>
                      <w:rFonts w:hint="eastAsia"/>
                      <w:szCs w:val="21"/>
                      <w:lang w:val="en-US" w:eastAsia="zh-CN"/>
                    </w:rPr>
                    <w:t>41.4</w:t>
                  </w:r>
                </w:p>
              </w:tc>
              <w:tc>
                <w:tcPr>
                  <w:tcW w:w="318" w:type="pct"/>
                  <w:vMerge w:val="continue"/>
                  <w:vAlign w:val="center"/>
                </w:tcPr>
                <w:p w14:paraId="1D0DE8E1">
                  <w:pPr>
                    <w:jc w:val="center"/>
                    <w:rPr>
                      <w:rFonts w:hint="eastAsia"/>
                      <w:szCs w:val="21"/>
                      <w:lang w:val="en-US" w:eastAsia="zh-CN"/>
                    </w:rPr>
                  </w:pPr>
                </w:p>
              </w:tc>
            </w:tr>
            <w:tr w14:paraId="0AC6E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78" w:type="pct"/>
                  <w:vMerge w:val="continue"/>
                  <w:vAlign w:val="center"/>
                </w:tcPr>
                <w:p w14:paraId="21CC42F8">
                  <w:pPr>
                    <w:jc w:val="center"/>
                    <w:rPr>
                      <w:rFonts w:hint="eastAsia"/>
                      <w:szCs w:val="21"/>
                      <w:lang w:val="en-US" w:eastAsia="zh-CN"/>
                    </w:rPr>
                  </w:pPr>
                </w:p>
              </w:tc>
              <w:tc>
                <w:tcPr>
                  <w:tcW w:w="295" w:type="pct"/>
                  <w:vMerge w:val="continue"/>
                  <w:vAlign w:val="center"/>
                </w:tcPr>
                <w:p w14:paraId="18688A55">
                  <w:pPr>
                    <w:jc w:val="center"/>
                    <w:rPr>
                      <w:rFonts w:hint="eastAsia"/>
                      <w:szCs w:val="21"/>
                      <w:lang w:val="en-US" w:eastAsia="zh-CN"/>
                    </w:rPr>
                  </w:pPr>
                </w:p>
              </w:tc>
              <w:tc>
                <w:tcPr>
                  <w:tcW w:w="255" w:type="pct"/>
                  <w:vMerge w:val="continue"/>
                  <w:shd w:val="clear" w:color="auto" w:fill="auto"/>
                  <w:vAlign w:val="center"/>
                </w:tcPr>
                <w:p w14:paraId="00C94760">
                  <w:pPr>
                    <w:jc w:val="center"/>
                    <w:rPr>
                      <w:rFonts w:hint="eastAsia"/>
                      <w:szCs w:val="21"/>
                      <w:lang w:val="en-US" w:eastAsia="zh-CN"/>
                    </w:rPr>
                  </w:pPr>
                </w:p>
              </w:tc>
              <w:tc>
                <w:tcPr>
                  <w:tcW w:w="305" w:type="pct"/>
                  <w:vMerge w:val="continue"/>
                  <w:shd w:val="clear" w:color="auto" w:fill="auto"/>
                  <w:vAlign w:val="center"/>
                </w:tcPr>
                <w:p w14:paraId="261A5058">
                  <w:pPr>
                    <w:jc w:val="center"/>
                    <w:rPr>
                      <w:rFonts w:hint="eastAsia"/>
                      <w:szCs w:val="21"/>
                      <w:lang w:val="en-US" w:eastAsia="zh-CN"/>
                    </w:rPr>
                  </w:pPr>
                </w:p>
              </w:tc>
              <w:tc>
                <w:tcPr>
                  <w:tcW w:w="393" w:type="pct"/>
                  <w:vMerge w:val="continue"/>
                  <w:vAlign w:val="center"/>
                </w:tcPr>
                <w:p w14:paraId="0385DE0C">
                  <w:pPr>
                    <w:jc w:val="center"/>
                    <w:rPr>
                      <w:rFonts w:hint="eastAsia"/>
                      <w:szCs w:val="21"/>
                      <w:lang w:val="en-US" w:eastAsia="zh-CN"/>
                    </w:rPr>
                  </w:pPr>
                </w:p>
              </w:tc>
              <w:tc>
                <w:tcPr>
                  <w:tcW w:w="298" w:type="pct"/>
                  <w:vMerge w:val="continue"/>
                  <w:vAlign w:val="center"/>
                </w:tcPr>
                <w:p w14:paraId="5DB37AD9">
                  <w:pPr>
                    <w:jc w:val="center"/>
                    <w:rPr>
                      <w:rFonts w:hint="eastAsia"/>
                      <w:szCs w:val="21"/>
                      <w:lang w:val="en-US" w:eastAsia="zh-CN"/>
                    </w:rPr>
                  </w:pPr>
                </w:p>
              </w:tc>
              <w:tc>
                <w:tcPr>
                  <w:tcW w:w="276" w:type="pct"/>
                  <w:vMerge w:val="continue"/>
                  <w:vAlign w:val="center"/>
                </w:tcPr>
                <w:p w14:paraId="36B0F0EF">
                  <w:pPr>
                    <w:jc w:val="center"/>
                    <w:rPr>
                      <w:rFonts w:hint="eastAsia"/>
                      <w:szCs w:val="21"/>
                      <w:lang w:val="en-US" w:eastAsia="zh-CN"/>
                    </w:rPr>
                  </w:pPr>
                </w:p>
              </w:tc>
              <w:tc>
                <w:tcPr>
                  <w:tcW w:w="298" w:type="pct"/>
                  <w:vMerge w:val="continue"/>
                  <w:vAlign w:val="center"/>
                </w:tcPr>
                <w:p w14:paraId="4AB89476">
                  <w:pPr>
                    <w:jc w:val="center"/>
                    <w:rPr>
                      <w:rFonts w:hint="eastAsia"/>
                      <w:szCs w:val="21"/>
                      <w:lang w:val="en-US" w:eastAsia="zh-CN"/>
                    </w:rPr>
                  </w:pPr>
                </w:p>
              </w:tc>
              <w:tc>
                <w:tcPr>
                  <w:tcW w:w="305" w:type="pct"/>
                  <w:vMerge w:val="continue"/>
                  <w:vAlign w:val="center"/>
                </w:tcPr>
                <w:p w14:paraId="199DA8C0">
                  <w:pPr>
                    <w:jc w:val="center"/>
                    <w:rPr>
                      <w:rFonts w:hint="eastAsia"/>
                      <w:szCs w:val="21"/>
                      <w:lang w:val="en-US" w:eastAsia="zh-CN"/>
                    </w:rPr>
                  </w:pPr>
                </w:p>
              </w:tc>
              <w:tc>
                <w:tcPr>
                  <w:tcW w:w="254" w:type="pct"/>
                  <w:shd w:val="clear" w:color="auto" w:fill="auto"/>
                  <w:vAlign w:val="center"/>
                </w:tcPr>
                <w:p w14:paraId="657162CB">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东南</w:t>
                  </w:r>
                </w:p>
              </w:tc>
              <w:tc>
                <w:tcPr>
                  <w:tcW w:w="262" w:type="pct"/>
                  <w:shd w:val="clear" w:color="auto" w:fill="auto"/>
                  <w:vAlign w:val="center"/>
                </w:tcPr>
                <w:p w14:paraId="574196CE">
                  <w:pPr>
                    <w:jc w:val="center"/>
                    <w:rPr>
                      <w:rFonts w:hint="default"/>
                      <w:szCs w:val="21"/>
                      <w:lang w:val="en-US" w:eastAsia="zh-CN"/>
                    </w:rPr>
                  </w:pPr>
                  <w:r>
                    <w:rPr>
                      <w:rFonts w:hint="eastAsia"/>
                      <w:szCs w:val="21"/>
                      <w:lang w:val="en-US" w:eastAsia="zh-CN"/>
                    </w:rPr>
                    <w:t>29</w:t>
                  </w:r>
                </w:p>
              </w:tc>
              <w:tc>
                <w:tcPr>
                  <w:tcW w:w="378" w:type="pct"/>
                  <w:vAlign w:val="center"/>
                </w:tcPr>
                <w:p w14:paraId="6AB44301">
                  <w:pPr>
                    <w:jc w:val="center"/>
                    <w:rPr>
                      <w:rFonts w:hint="default"/>
                      <w:szCs w:val="21"/>
                      <w:lang w:val="en-US" w:eastAsia="zh-CN"/>
                    </w:rPr>
                  </w:pPr>
                  <w:r>
                    <w:rPr>
                      <w:rFonts w:hint="eastAsia"/>
                      <w:szCs w:val="21"/>
                      <w:lang w:val="en-US" w:eastAsia="zh-CN"/>
                    </w:rPr>
                    <w:t>43.3</w:t>
                  </w:r>
                </w:p>
              </w:tc>
              <w:tc>
                <w:tcPr>
                  <w:tcW w:w="291" w:type="pct"/>
                  <w:vMerge w:val="continue"/>
                  <w:vAlign w:val="center"/>
                </w:tcPr>
                <w:p w14:paraId="519FC70C">
                  <w:pPr>
                    <w:jc w:val="center"/>
                    <w:rPr>
                      <w:rFonts w:hint="eastAsia"/>
                      <w:szCs w:val="21"/>
                      <w:lang w:val="en-US" w:eastAsia="zh-CN"/>
                    </w:rPr>
                  </w:pPr>
                </w:p>
              </w:tc>
              <w:tc>
                <w:tcPr>
                  <w:tcW w:w="429" w:type="pct"/>
                  <w:vMerge w:val="continue"/>
                  <w:vAlign w:val="center"/>
                </w:tcPr>
                <w:p w14:paraId="40156BD0">
                  <w:pPr>
                    <w:jc w:val="center"/>
                    <w:rPr>
                      <w:rFonts w:hint="eastAsia"/>
                      <w:szCs w:val="21"/>
                      <w:lang w:val="en-US" w:eastAsia="zh-CN"/>
                    </w:rPr>
                  </w:pPr>
                </w:p>
              </w:tc>
              <w:tc>
                <w:tcPr>
                  <w:tcW w:w="458" w:type="pct"/>
                  <w:vAlign w:val="center"/>
                </w:tcPr>
                <w:p w14:paraId="486C1191">
                  <w:pPr>
                    <w:jc w:val="center"/>
                    <w:rPr>
                      <w:rFonts w:hint="default"/>
                      <w:szCs w:val="21"/>
                      <w:lang w:val="en-US" w:eastAsia="zh-CN"/>
                    </w:rPr>
                  </w:pPr>
                  <w:r>
                    <w:rPr>
                      <w:rFonts w:hint="eastAsia"/>
                      <w:szCs w:val="21"/>
                      <w:lang w:val="en-US" w:eastAsia="zh-CN"/>
                    </w:rPr>
                    <w:t>27.3</w:t>
                  </w:r>
                </w:p>
              </w:tc>
              <w:tc>
                <w:tcPr>
                  <w:tcW w:w="318" w:type="pct"/>
                  <w:vMerge w:val="continue"/>
                  <w:vAlign w:val="center"/>
                </w:tcPr>
                <w:p w14:paraId="089CFC1C">
                  <w:pPr>
                    <w:jc w:val="center"/>
                    <w:rPr>
                      <w:rFonts w:hint="eastAsia"/>
                      <w:szCs w:val="21"/>
                      <w:lang w:val="en-US" w:eastAsia="zh-CN"/>
                    </w:rPr>
                  </w:pPr>
                </w:p>
              </w:tc>
            </w:tr>
            <w:tr w14:paraId="07015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restart"/>
                  <w:vAlign w:val="center"/>
                </w:tcPr>
                <w:p w14:paraId="295AE290">
                  <w:pPr>
                    <w:jc w:val="center"/>
                    <w:rPr>
                      <w:rFonts w:hint="default" w:eastAsia="宋体"/>
                      <w:color w:val="auto"/>
                      <w:szCs w:val="21"/>
                      <w:lang w:val="en-US" w:eastAsia="zh-CN"/>
                    </w:rPr>
                  </w:pPr>
                  <w:r>
                    <w:rPr>
                      <w:rFonts w:hint="eastAsia"/>
                      <w:color w:val="auto"/>
                      <w:szCs w:val="21"/>
                      <w:lang w:val="en-US" w:eastAsia="zh-CN"/>
                    </w:rPr>
                    <w:t>3</w:t>
                  </w:r>
                </w:p>
              </w:tc>
              <w:tc>
                <w:tcPr>
                  <w:tcW w:w="295" w:type="pct"/>
                  <w:vMerge w:val="restart"/>
                  <w:vAlign w:val="center"/>
                </w:tcPr>
                <w:p w14:paraId="7A3EB786">
                  <w:pPr>
                    <w:jc w:val="center"/>
                    <w:rPr>
                      <w:rFonts w:hint="default" w:eastAsia="宋体"/>
                      <w:color w:val="auto"/>
                      <w:szCs w:val="21"/>
                      <w:lang w:val="en-US" w:eastAsia="zh-CN"/>
                    </w:rPr>
                  </w:pPr>
                  <w:r>
                    <w:rPr>
                      <w:rFonts w:hint="eastAsia"/>
                      <w:color w:val="auto"/>
                      <w:szCs w:val="21"/>
                      <w:lang w:val="en-US" w:eastAsia="zh-CN"/>
                    </w:rPr>
                    <w:t>一层生产车间</w:t>
                  </w:r>
                </w:p>
              </w:tc>
              <w:tc>
                <w:tcPr>
                  <w:tcW w:w="255" w:type="pct"/>
                  <w:vMerge w:val="restart"/>
                  <w:vAlign w:val="center"/>
                </w:tcPr>
                <w:p w14:paraId="00FC735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305" w:type="pct"/>
                  <w:vMerge w:val="restart"/>
                  <w:shd w:val="clear" w:color="auto" w:fill="auto"/>
                  <w:vAlign w:val="center"/>
                </w:tcPr>
                <w:p w14:paraId="543004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93" w:type="pct"/>
                  <w:vMerge w:val="restart"/>
                  <w:vAlign w:val="center"/>
                </w:tcPr>
                <w:p w14:paraId="15EAD53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298" w:type="pct"/>
                  <w:vMerge w:val="restart"/>
                  <w:vAlign w:val="center"/>
                </w:tcPr>
                <w:p w14:paraId="4A3105E3">
                  <w:pPr>
                    <w:jc w:val="center"/>
                    <w:rPr>
                      <w:rFonts w:hint="default" w:eastAsia="宋体"/>
                      <w:color w:val="auto"/>
                      <w:szCs w:val="21"/>
                      <w:lang w:val="en-US" w:eastAsia="zh-CN"/>
                    </w:rPr>
                  </w:pPr>
                  <w:r>
                    <w:rPr>
                      <w:rFonts w:hint="eastAsia"/>
                      <w:color w:val="auto"/>
                      <w:szCs w:val="21"/>
                      <w:lang w:val="en-US" w:eastAsia="zh-CN"/>
                    </w:rPr>
                    <w:t>减振垫</w:t>
                  </w:r>
                </w:p>
              </w:tc>
              <w:tc>
                <w:tcPr>
                  <w:tcW w:w="276" w:type="pct"/>
                  <w:vMerge w:val="restart"/>
                  <w:vAlign w:val="center"/>
                </w:tcPr>
                <w:p w14:paraId="798B316A">
                  <w:pPr>
                    <w:jc w:val="center"/>
                    <w:rPr>
                      <w:rFonts w:hint="default" w:eastAsia="宋体"/>
                      <w:color w:val="auto"/>
                      <w:szCs w:val="21"/>
                      <w:lang w:val="en-US" w:eastAsia="zh-CN"/>
                    </w:rPr>
                  </w:pPr>
                  <w:r>
                    <w:rPr>
                      <w:rFonts w:hint="eastAsia"/>
                      <w:color w:val="auto"/>
                      <w:szCs w:val="21"/>
                      <w:lang w:val="en-US" w:eastAsia="zh-CN"/>
                    </w:rPr>
                    <w:t>4</w:t>
                  </w:r>
                </w:p>
              </w:tc>
              <w:tc>
                <w:tcPr>
                  <w:tcW w:w="298" w:type="pct"/>
                  <w:vMerge w:val="restart"/>
                  <w:vAlign w:val="center"/>
                </w:tcPr>
                <w:p w14:paraId="5C04B6E0">
                  <w:pPr>
                    <w:jc w:val="center"/>
                    <w:rPr>
                      <w:rFonts w:hint="default" w:eastAsia="宋体"/>
                      <w:color w:val="auto"/>
                      <w:szCs w:val="21"/>
                      <w:lang w:val="en-US" w:eastAsia="zh-CN"/>
                    </w:rPr>
                  </w:pPr>
                  <w:r>
                    <w:rPr>
                      <w:rFonts w:hint="eastAsia"/>
                      <w:color w:val="auto"/>
                      <w:szCs w:val="21"/>
                      <w:lang w:val="en-US" w:eastAsia="zh-CN"/>
                    </w:rPr>
                    <w:t>-2</w:t>
                  </w:r>
                </w:p>
              </w:tc>
              <w:tc>
                <w:tcPr>
                  <w:tcW w:w="305" w:type="pct"/>
                  <w:vMerge w:val="restart"/>
                  <w:vAlign w:val="center"/>
                </w:tcPr>
                <w:p w14:paraId="4A717B99">
                  <w:pPr>
                    <w:jc w:val="center"/>
                    <w:rPr>
                      <w:rFonts w:hint="default" w:eastAsia="宋体"/>
                      <w:color w:val="auto"/>
                      <w:szCs w:val="21"/>
                      <w:lang w:val="en-US" w:eastAsia="zh-CN"/>
                    </w:rPr>
                  </w:pPr>
                  <w:r>
                    <w:rPr>
                      <w:rFonts w:hint="eastAsia"/>
                      <w:color w:val="auto"/>
                      <w:szCs w:val="21"/>
                      <w:lang w:val="en-US" w:eastAsia="zh-CN"/>
                    </w:rPr>
                    <w:t>2</w:t>
                  </w:r>
                </w:p>
              </w:tc>
              <w:tc>
                <w:tcPr>
                  <w:tcW w:w="254" w:type="pct"/>
                  <w:shd w:val="clear" w:color="auto" w:fill="auto"/>
                  <w:vAlign w:val="center"/>
                </w:tcPr>
                <w:p w14:paraId="1FF477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62" w:type="pct"/>
                  <w:shd w:val="clear" w:color="auto" w:fill="auto"/>
                  <w:vAlign w:val="center"/>
                </w:tcPr>
                <w:p w14:paraId="59F00CD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378" w:type="pct"/>
                  <w:vAlign w:val="center"/>
                </w:tcPr>
                <w:p w14:paraId="7CF06F72">
                  <w:pPr>
                    <w:jc w:val="center"/>
                    <w:rPr>
                      <w:rFonts w:hint="default"/>
                      <w:color w:val="auto"/>
                      <w:szCs w:val="21"/>
                      <w:lang w:val="en-US" w:eastAsia="zh-CN"/>
                    </w:rPr>
                  </w:pPr>
                  <w:r>
                    <w:rPr>
                      <w:rFonts w:hint="eastAsia"/>
                      <w:color w:val="auto"/>
                      <w:szCs w:val="21"/>
                      <w:lang w:val="en-US" w:eastAsia="zh-CN"/>
                    </w:rPr>
                    <w:t>/</w:t>
                  </w:r>
                </w:p>
              </w:tc>
              <w:tc>
                <w:tcPr>
                  <w:tcW w:w="291" w:type="pct"/>
                  <w:vMerge w:val="restart"/>
                  <w:vAlign w:val="center"/>
                </w:tcPr>
                <w:p w14:paraId="29C4A3F5">
                  <w:pPr>
                    <w:jc w:val="center"/>
                    <w:rPr>
                      <w:rFonts w:hint="default" w:eastAsia="宋体"/>
                      <w:color w:val="auto"/>
                      <w:szCs w:val="21"/>
                      <w:lang w:val="en-US" w:eastAsia="zh-CN"/>
                    </w:rPr>
                  </w:pPr>
                  <w:r>
                    <w:rPr>
                      <w:rFonts w:hint="eastAsia"/>
                      <w:color w:val="auto"/>
                      <w:szCs w:val="21"/>
                      <w:lang w:val="en-US" w:eastAsia="zh-CN"/>
                    </w:rPr>
                    <w:t>8h/d</w:t>
                  </w:r>
                </w:p>
              </w:tc>
              <w:tc>
                <w:tcPr>
                  <w:tcW w:w="429" w:type="pct"/>
                  <w:vMerge w:val="restart"/>
                  <w:vAlign w:val="center"/>
                </w:tcPr>
                <w:p w14:paraId="3D116CCD">
                  <w:pPr>
                    <w:jc w:val="center"/>
                    <w:rPr>
                      <w:rFonts w:hint="eastAsia" w:eastAsia="宋体"/>
                      <w:color w:val="auto"/>
                      <w:szCs w:val="21"/>
                      <w:lang w:val="en-US" w:eastAsia="zh-CN"/>
                    </w:rPr>
                  </w:pPr>
                  <w:r>
                    <w:rPr>
                      <w:rFonts w:hint="eastAsia"/>
                      <w:color w:val="auto"/>
                      <w:szCs w:val="21"/>
                      <w:lang w:val="en-US" w:eastAsia="zh-CN"/>
                    </w:rPr>
                    <w:t>/</w:t>
                  </w:r>
                </w:p>
              </w:tc>
              <w:tc>
                <w:tcPr>
                  <w:tcW w:w="458" w:type="pct"/>
                  <w:vAlign w:val="center"/>
                </w:tcPr>
                <w:p w14:paraId="6A5D169D">
                  <w:pPr>
                    <w:jc w:val="center"/>
                    <w:rPr>
                      <w:rFonts w:hint="default"/>
                      <w:color w:val="auto"/>
                      <w:szCs w:val="21"/>
                      <w:lang w:val="en-US" w:eastAsia="zh-CN"/>
                    </w:rPr>
                  </w:pPr>
                  <w:r>
                    <w:rPr>
                      <w:rFonts w:hint="eastAsia"/>
                      <w:color w:val="auto"/>
                      <w:szCs w:val="21"/>
                      <w:lang w:val="en-US" w:eastAsia="zh-CN"/>
                    </w:rPr>
                    <w:t>54.5</w:t>
                  </w:r>
                </w:p>
              </w:tc>
              <w:tc>
                <w:tcPr>
                  <w:tcW w:w="318" w:type="pct"/>
                  <w:vMerge w:val="continue"/>
                  <w:vAlign w:val="center"/>
                </w:tcPr>
                <w:p w14:paraId="251180D1">
                  <w:pPr>
                    <w:jc w:val="center"/>
                    <w:rPr>
                      <w:rFonts w:hint="eastAsia"/>
                      <w:color w:val="auto"/>
                      <w:szCs w:val="21"/>
                    </w:rPr>
                  </w:pPr>
                </w:p>
              </w:tc>
            </w:tr>
            <w:tr w14:paraId="5663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42958CD5">
                  <w:pPr>
                    <w:jc w:val="center"/>
                    <w:rPr>
                      <w:color w:val="auto"/>
                    </w:rPr>
                  </w:pPr>
                </w:p>
              </w:tc>
              <w:tc>
                <w:tcPr>
                  <w:tcW w:w="295" w:type="pct"/>
                  <w:vMerge w:val="continue"/>
                  <w:vAlign w:val="center"/>
                </w:tcPr>
                <w:p w14:paraId="275B4D7C">
                  <w:pPr>
                    <w:jc w:val="center"/>
                    <w:rPr>
                      <w:color w:val="auto"/>
                    </w:rPr>
                  </w:pPr>
                </w:p>
              </w:tc>
              <w:tc>
                <w:tcPr>
                  <w:tcW w:w="255" w:type="pct"/>
                  <w:vMerge w:val="continue"/>
                  <w:vAlign w:val="center"/>
                </w:tcPr>
                <w:p w14:paraId="65B05271">
                  <w:pPr>
                    <w:jc w:val="center"/>
                    <w:rPr>
                      <w:color w:val="auto"/>
                    </w:rPr>
                  </w:pPr>
                </w:p>
              </w:tc>
              <w:tc>
                <w:tcPr>
                  <w:tcW w:w="305" w:type="pct"/>
                  <w:vMerge w:val="continue"/>
                  <w:shd w:val="clear" w:color="auto" w:fill="auto"/>
                  <w:vAlign w:val="center"/>
                </w:tcPr>
                <w:p w14:paraId="3970EB57">
                  <w:pPr>
                    <w:jc w:val="center"/>
                    <w:rPr>
                      <w:color w:val="auto"/>
                    </w:rPr>
                  </w:pPr>
                </w:p>
              </w:tc>
              <w:tc>
                <w:tcPr>
                  <w:tcW w:w="393" w:type="pct"/>
                  <w:vMerge w:val="continue"/>
                  <w:vAlign w:val="center"/>
                </w:tcPr>
                <w:p w14:paraId="04D091D8">
                  <w:pPr>
                    <w:jc w:val="center"/>
                    <w:rPr>
                      <w:color w:val="auto"/>
                    </w:rPr>
                  </w:pPr>
                </w:p>
              </w:tc>
              <w:tc>
                <w:tcPr>
                  <w:tcW w:w="298" w:type="pct"/>
                  <w:vMerge w:val="continue"/>
                  <w:vAlign w:val="center"/>
                </w:tcPr>
                <w:p w14:paraId="1D1AE173">
                  <w:pPr>
                    <w:jc w:val="center"/>
                    <w:rPr>
                      <w:color w:val="auto"/>
                    </w:rPr>
                  </w:pPr>
                </w:p>
              </w:tc>
              <w:tc>
                <w:tcPr>
                  <w:tcW w:w="276" w:type="pct"/>
                  <w:vMerge w:val="continue"/>
                  <w:vAlign w:val="center"/>
                </w:tcPr>
                <w:p w14:paraId="5269E961">
                  <w:pPr>
                    <w:jc w:val="center"/>
                    <w:rPr>
                      <w:color w:val="auto"/>
                    </w:rPr>
                  </w:pPr>
                </w:p>
              </w:tc>
              <w:tc>
                <w:tcPr>
                  <w:tcW w:w="298" w:type="pct"/>
                  <w:vMerge w:val="continue"/>
                  <w:vAlign w:val="center"/>
                </w:tcPr>
                <w:p w14:paraId="32D2378E">
                  <w:pPr>
                    <w:jc w:val="center"/>
                    <w:rPr>
                      <w:color w:val="auto"/>
                    </w:rPr>
                  </w:pPr>
                </w:p>
              </w:tc>
              <w:tc>
                <w:tcPr>
                  <w:tcW w:w="305" w:type="pct"/>
                  <w:vMerge w:val="continue"/>
                  <w:vAlign w:val="center"/>
                </w:tcPr>
                <w:p w14:paraId="2920ACF3">
                  <w:pPr>
                    <w:jc w:val="center"/>
                    <w:rPr>
                      <w:color w:val="auto"/>
                    </w:rPr>
                  </w:pPr>
                </w:p>
              </w:tc>
              <w:tc>
                <w:tcPr>
                  <w:tcW w:w="254" w:type="pct"/>
                  <w:shd w:val="clear" w:color="auto" w:fill="auto"/>
                  <w:vAlign w:val="center"/>
                </w:tcPr>
                <w:p w14:paraId="54B740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62" w:type="pct"/>
                  <w:shd w:val="clear" w:color="auto" w:fill="auto"/>
                  <w:vAlign w:val="center"/>
                </w:tcPr>
                <w:p w14:paraId="60F3AF6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78" w:type="pct"/>
                  <w:vAlign w:val="center"/>
                </w:tcPr>
                <w:p w14:paraId="18130458">
                  <w:pPr>
                    <w:jc w:val="center"/>
                    <w:rPr>
                      <w:rFonts w:hint="default"/>
                      <w:color w:val="auto"/>
                      <w:szCs w:val="21"/>
                      <w:lang w:val="en-US" w:eastAsia="zh-CN"/>
                    </w:rPr>
                  </w:pPr>
                  <w:r>
                    <w:rPr>
                      <w:rFonts w:hint="eastAsia"/>
                      <w:color w:val="auto"/>
                      <w:szCs w:val="21"/>
                      <w:lang w:val="en-US" w:eastAsia="zh-CN"/>
                    </w:rPr>
                    <w:t>/</w:t>
                  </w:r>
                </w:p>
              </w:tc>
              <w:tc>
                <w:tcPr>
                  <w:tcW w:w="291" w:type="pct"/>
                  <w:vMerge w:val="continue"/>
                  <w:vAlign w:val="center"/>
                </w:tcPr>
                <w:p w14:paraId="602971D4">
                  <w:pPr>
                    <w:jc w:val="center"/>
                    <w:rPr>
                      <w:rFonts w:hint="eastAsia"/>
                      <w:color w:val="auto"/>
                      <w:szCs w:val="21"/>
                      <w:lang w:val="en-US" w:eastAsia="zh-CN"/>
                    </w:rPr>
                  </w:pPr>
                </w:p>
              </w:tc>
              <w:tc>
                <w:tcPr>
                  <w:tcW w:w="429" w:type="pct"/>
                  <w:vMerge w:val="continue"/>
                  <w:vAlign w:val="center"/>
                </w:tcPr>
                <w:p w14:paraId="5C6130D9">
                  <w:pPr>
                    <w:jc w:val="center"/>
                    <w:rPr>
                      <w:rFonts w:hint="eastAsia"/>
                      <w:color w:val="auto"/>
                      <w:szCs w:val="21"/>
                      <w:lang w:val="en-US" w:eastAsia="zh-CN"/>
                    </w:rPr>
                  </w:pPr>
                </w:p>
              </w:tc>
              <w:tc>
                <w:tcPr>
                  <w:tcW w:w="458" w:type="pct"/>
                  <w:vAlign w:val="center"/>
                </w:tcPr>
                <w:p w14:paraId="4036EB57">
                  <w:pPr>
                    <w:jc w:val="center"/>
                    <w:rPr>
                      <w:rFonts w:hint="default"/>
                      <w:color w:val="auto"/>
                      <w:szCs w:val="21"/>
                      <w:lang w:val="en-US" w:eastAsia="zh-CN"/>
                    </w:rPr>
                  </w:pPr>
                  <w:r>
                    <w:rPr>
                      <w:rFonts w:hint="eastAsia"/>
                      <w:color w:val="auto"/>
                      <w:szCs w:val="21"/>
                      <w:lang w:val="en-US" w:eastAsia="zh-CN"/>
                    </w:rPr>
                    <w:t>53.5</w:t>
                  </w:r>
                </w:p>
              </w:tc>
              <w:tc>
                <w:tcPr>
                  <w:tcW w:w="318" w:type="pct"/>
                  <w:vMerge w:val="continue"/>
                  <w:vAlign w:val="center"/>
                </w:tcPr>
                <w:p w14:paraId="5EEDA2CB">
                  <w:pPr>
                    <w:jc w:val="center"/>
                    <w:rPr>
                      <w:rFonts w:hint="eastAsia"/>
                      <w:color w:val="auto"/>
                      <w:szCs w:val="21"/>
                      <w:lang w:val="en-US" w:eastAsia="zh-CN"/>
                    </w:rPr>
                  </w:pPr>
                </w:p>
              </w:tc>
            </w:tr>
            <w:tr w14:paraId="6A34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3E557AF5">
                  <w:pPr>
                    <w:jc w:val="center"/>
                    <w:rPr>
                      <w:rFonts w:hint="eastAsia"/>
                      <w:color w:val="auto"/>
                      <w:szCs w:val="21"/>
                      <w:lang w:val="en-US" w:eastAsia="zh-CN"/>
                    </w:rPr>
                  </w:pPr>
                </w:p>
              </w:tc>
              <w:tc>
                <w:tcPr>
                  <w:tcW w:w="295" w:type="pct"/>
                  <w:vMerge w:val="continue"/>
                  <w:vAlign w:val="center"/>
                </w:tcPr>
                <w:p w14:paraId="39B81BB3">
                  <w:pPr>
                    <w:jc w:val="center"/>
                    <w:rPr>
                      <w:rFonts w:hint="eastAsia"/>
                      <w:color w:val="auto"/>
                      <w:szCs w:val="21"/>
                      <w:lang w:val="en-US" w:eastAsia="zh-CN"/>
                    </w:rPr>
                  </w:pPr>
                </w:p>
              </w:tc>
              <w:tc>
                <w:tcPr>
                  <w:tcW w:w="255" w:type="pct"/>
                  <w:vMerge w:val="continue"/>
                  <w:vAlign w:val="center"/>
                </w:tcPr>
                <w:p w14:paraId="3F2DCB5D">
                  <w:pPr>
                    <w:jc w:val="center"/>
                    <w:rPr>
                      <w:rFonts w:hint="eastAsia"/>
                      <w:color w:val="auto"/>
                      <w:szCs w:val="21"/>
                      <w:lang w:val="en-US" w:eastAsia="zh-CN"/>
                    </w:rPr>
                  </w:pPr>
                </w:p>
              </w:tc>
              <w:tc>
                <w:tcPr>
                  <w:tcW w:w="305" w:type="pct"/>
                  <w:vMerge w:val="continue"/>
                  <w:shd w:val="clear" w:color="auto" w:fill="auto"/>
                  <w:vAlign w:val="center"/>
                </w:tcPr>
                <w:p w14:paraId="61DF4D10">
                  <w:pPr>
                    <w:jc w:val="center"/>
                    <w:rPr>
                      <w:rFonts w:hint="eastAsia"/>
                      <w:color w:val="auto"/>
                      <w:szCs w:val="21"/>
                      <w:lang w:val="en-US" w:eastAsia="zh-CN"/>
                    </w:rPr>
                  </w:pPr>
                </w:p>
              </w:tc>
              <w:tc>
                <w:tcPr>
                  <w:tcW w:w="393" w:type="pct"/>
                  <w:vMerge w:val="continue"/>
                  <w:vAlign w:val="center"/>
                </w:tcPr>
                <w:p w14:paraId="0642A964">
                  <w:pPr>
                    <w:jc w:val="center"/>
                    <w:rPr>
                      <w:rFonts w:hint="eastAsia"/>
                      <w:color w:val="auto"/>
                      <w:szCs w:val="21"/>
                      <w:lang w:val="en-US" w:eastAsia="zh-CN"/>
                    </w:rPr>
                  </w:pPr>
                </w:p>
              </w:tc>
              <w:tc>
                <w:tcPr>
                  <w:tcW w:w="298" w:type="pct"/>
                  <w:vMerge w:val="continue"/>
                  <w:vAlign w:val="center"/>
                </w:tcPr>
                <w:p w14:paraId="077B6BE8">
                  <w:pPr>
                    <w:jc w:val="center"/>
                    <w:rPr>
                      <w:rFonts w:hint="eastAsia"/>
                      <w:color w:val="auto"/>
                      <w:szCs w:val="21"/>
                      <w:lang w:val="en-US" w:eastAsia="zh-CN"/>
                    </w:rPr>
                  </w:pPr>
                </w:p>
              </w:tc>
              <w:tc>
                <w:tcPr>
                  <w:tcW w:w="276" w:type="pct"/>
                  <w:vMerge w:val="continue"/>
                  <w:vAlign w:val="center"/>
                </w:tcPr>
                <w:p w14:paraId="37745E3C">
                  <w:pPr>
                    <w:jc w:val="center"/>
                    <w:rPr>
                      <w:rFonts w:hint="eastAsia"/>
                      <w:color w:val="auto"/>
                      <w:szCs w:val="21"/>
                      <w:lang w:val="en-US" w:eastAsia="zh-CN"/>
                    </w:rPr>
                  </w:pPr>
                </w:p>
              </w:tc>
              <w:tc>
                <w:tcPr>
                  <w:tcW w:w="298" w:type="pct"/>
                  <w:vMerge w:val="continue"/>
                  <w:vAlign w:val="center"/>
                </w:tcPr>
                <w:p w14:paraId="53B0324C">
                  <w:pPr>
                    <w:jc w:val="center"/>
                    <w:rPr>
                      <w:rFonts w:hint="eastAsia"/>
                      <w:color w:val="auto"/>
                      <w:szCs w:val="21"/>
                      <w:lang w:val="en-US" w:eastAsia="zh-CN"/>
                    </w:rPr>
                  </w:pPr>
                </w:p>
              </w:tc>
              <w:tc>
                <w:tcPr>
                  <w:tcW w:w="305" w:type="pct"/>
                  <w:vMerge w:val="continue"/>
                  <w:vAlign w:val="center"/>
                </w:tcPr>
                <w:p w14:paraId="4DD8D670">
                  <w:pPr>
                    <w:jc w:val="center"/>
                    <w:rPr>
                      <w:rFonts w:hint="eastAsia"/>
                      <w:color w:val="auto"/>
                      <w:szCs w:val="21"/>
                      <w:lang w:val="en-US" w:eastAsia="zh-CN"/>
                    </w:rPr>
                  </w:pPr>
                </w:p>
              </w:tc>
              <w:tc>
                <w:tcPr>
                  <w:tcW w:w="254" w:type="pct"/>
                  <w:shd w:val="clear" w:color="auto" w:fill="auto"/>
                  <w:vAlign w:val="center"/>
                </w:tcPr>
                <w:p w14:paraId="650000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62" w:type="pct"/>
                  <w:shd w:val="clear" w:color="auto" w:fill="auto"/>
                  <w:vAlign w:val="center"/>
                </w:tcPr>
                <w:p w14:paraId="0738A50A">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78" w:type="pct"/>
                  <w:vAlign w:val="center"/>
                </w:tcPr>
                <w:p w14:paraId="5C70B424">
                  <w:pPr>
                    <w:jc w:val="center"/>
                    <w:rPr>
                      <w:rFonts w:hint="default"/>
                      <w:color w:val="auto"/>
                      <w:szCs w:val="21"/>
                      <w:lang w:val="en-US" w:eastAsia="zh-CN"/>
                    </w:rPr>
                  </w:pPr>
                  <w:r>
                    <w:rPr>
                      <w:rFonts w:hint="eastAsia"/>
                      <w:color w:val="auto"/>
                      <w:szCs w:val="21"/>
                      <w:lang w:val="en-US" w:eastAsia="zh-CN"/>
                    </w:rPr>
                    <w:t>/</w:t>
                  </w:r>
                </w:p>
              </w:tc>
              <w:tc>
                <w:tcPr>
                  <w:tcW w:w="291" w:type="pct"/>
                  <w:vMerge w:val="continue"/>
                  <w:vAlign w:val="center"/>
                </w:tcPr>
                <w:p w14:paraId="4471E2FF">
                  <w:pPr>
                    <w:jc w:val="center"/>
                    <w:rPr>
                      <w:rFonts w:hint="eastAsia"/>
                      <w:color w:val="auto"/>
                      <w:szCs w:val="21"/>
                      <w:lang w:val="en-US" w:eastAsia="zh-CN"/>
                    </w:rPr>
                  </w:pPr>
                </w:p>
              </w:tc>
              <w:tc>
                <w:tcPr>
                  <w:tcW w:w="429" w:type="pct"/>
                  <w:vMerge w:val="continue"/>
                  <w:vAlign w:val="center"/>
                </w:tcPr>
                <w:p w14:paraId="1A862696">
                  <w:pPr>
                    <w:jc w:val="center"/>
                    <w:rPr>
                      <w:rFonts w:hint="eastAsia"/>
                      <w:color w:val="auto"/>
                      <w:szCs w:val="21"/>
                      <w:lang w:val="en-US" w:eastAsia="zh-CN"/>
                    </w:rPr>
                  </w:pPr>
                </w:p>
              </w:tc>
              <w:tc>
                <w:tcPr>
                  <w:tcW w:w="458" w:type="pct"/>
                  <w:vAlign w:val="center"/>
                </w:tcPr>
                <w:p w14:paraId="07BD97A8">
                  <w:pPr>
                    <w:jc w:val="center"/>
                    <w:rPr>
                      <w:rFonts w:hint="default"/>
                      <w:color w:val="auto"/>
                      <w:szCs w:val="21"/>
                      <w:lang w:val="en-US" w:eastAsia="zh-CN"/>
                    </w:rPr>
                  </w:pPr>
                  <w:r>
                    <w:rPr>
                      <w:rFonts w:hint="eastAsia"/>
                      <w:color w:val="auto"/>
                      <w:szCs w:val="21"/>
                      <w:lang w:val="en-US" w:eastAsia="zh-CN"/>
                    </w:rPr>
                    <w:t>54.1</w:t>
                  </w:r>
                </w:p>
              </w:tc>
              <w:tc>
                <w:tcPr>
                  <w:tcW w:w="318" w:type="pct"/>
                  <w:vMerge w:val="continue"/>
                  <w:vAlign w:val="center"/>
                </w:tcPr>
                <w:p w14:paraId="5E55B2EF">
                  <w:pPr>
                    <w:jc w:val="center"/>
                    <w:rPr>
                      <w:rFonts w:hint="eastAsia"/>
                      <w:color w:val="auto"/>
                      <w:szCs w:val="21"/>
                      <w:lang w:val="en-US" w:eastAsia="zh-CN"/>
                    </w:rPr>
                  </w:pPr>
                </w:p>
              </w:tc>
            </w:tr>
            <w:tr w14:paraId="23C50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78" w:type="pct"/>
                  <w:vMerge w:val="continue"/>
                  <w:vAlign w:val="center"/>
                </w:tcPr>
                <w:p w14:paraId="68AE5B0B">
                  <w:pPr>
                    <w:jc w:val="center"/>
                    <w:rPr>
                      <w:rFonts w:hint="eastAsia"/>
                      <w:color w:val="auto"/>
                      <w:szCs w:val="21"/>
                      <w:lang w:val="en-US" w:eastAsia="zh-CN"/>
                    </w:rPr>
                  </w:pPr>
                </w:p>
              </w:tc>
              <w:tc>
                <w:tcPr>
                  <w:tcW w:w="295" w:type="pct"/>
                  <w:vMerge w:val="continue"/>
                  <w:vAlign w:val="center"/>
                </w:tcPr>
                <w:p w14:paraId="4583F70F">
                  <w:pPr>
                    <w:jc w:val="center"/>
                    <w:rPr>
                      <w:rFonts w:hint="eastAsia"/>
                      <w:color w:val="auto"/>
                      <w:szCs w:val="21"/>
                      <w:lang w:val="en-US" w:eastAsia="zh-CN"/>
                    </w:rPr>
                  </w:pPr>
                </w:p>
              </w:tc>
              <w:tc>
                <w:tcPr>
                  <w:tcW w:w="255" w:type="pct"/>
                  <w:vMerge w:val="continue"/>
                  <w:vAlign w:val="center"/>
                </w:tcPr>
                <w:p w14:paraId="56372C3A">
                  <w:pPr>
                    <w:jc w:val="center"/>
                    <w:rPr>
                      <w:rFonts w:hint="eastAsia"/>
                      <w:color w:val="auto"/>
                      <w:szCs w:val="21"/>
                      <w:lang w:val="en-US" w:eastAsia="zh-CN"/>
                    </w:rPr>
                  </w:pPr>
                </w:p>
              </w:tc>
              <w:tc>
                <w:tcPr>
                  <w:tcW w:w="305" w:type="pct"/>
                  <w:vMerge w:val="continue"/>
                  <w:shd w:val="clear" w:color="auto" w:fill="auto"/>
                  <w:vAlign w:val="center"/>
                </w:tcPr>
                <w:p w14:paraId="198E7188">
                  <w:pPr>
                    <w:jc w:val="center"/>
                    <w:rPr>
                      <w:rFonts w:hint="eastAsia"/>
                      <w:color w:val="auto"/>
                      <w:szCs w:val="21"/>
                      <w:lang w:val="en-US" w:eastAsia="zh-CN"/>
                    </w:rPr>
                  </w:pPr>
                </w:p>
              </w:tc>
              <w:tc>
                <w:tcPr>
                  <w:tcW w:w="393" w:type="pct"/>
                  <w:vMerge w:val="continue"/>
                  <w:vAlign w:val="center"/>
                </w:tcPr>
                <w:p w14:paraId="63A21675">
                  <w:pPr>
                    <w:jc w:val="center"/>
                    <w:rPr>
                      <w:rFonts w:hint="eastAsia"/>
                      <w:color w:val="auto"/>
                      <w:szCs w:val="21"/>
                      <w:lang w:val="en-US" w:eastAsia="zh-CN"/>
                    </w:rPr>
                  </w:pPr>
                </w:p>
              </w:tc>
              <w:tc>
                <w:tcPr>
                  <w:tcW w:w="298" w:type="pct"/>
                  <w:vMerge w:val="continue"/>
                  <w:vAlign w:val="center"/>
                </w:tcPr>
                <w:p w14:paraId="56FB0A4A">
                  <w:pPr>
                    <w:jc w:val="center"/>
                    <w:rPr>
                      <w:rFonts w:hint="eastAsia"/>
                      <w:color w:val="auto"/>
                      <w:szCs w:val="21"/>
                      <w:lang w:val="en-US" w:eastAsia="zh-CN"/>
                    </w:rPr>
                  </w:pPr>
                </w:p>
              </w:tc>
              <w:tc>
                <w:tcPr>
                  <w:tcW w:w="276" w:type="pct"/>
                  <w:vMerge w:val="continue"/>
                  <w:vAlign w:val="center"/>
                </w:tcPr>
                <w:p w14:paraId="2CBCE560">
                  <w:pPr>
                    <w:jc w:val="center"/>
                    <w:rPr>
                      <w:rFonts w:hint="eastAsia"/>
                      <w:color w:val="auto"/>
                      <w:szCs w:val="21"/>
                      <w:lang w:val="en-US" w:eastAsia="zh-CN"/>
                    </w:rPr>
                  </w:pPr>
                </w:p>
              </w:tc>
              <w:tc>
                <w:tcPr>
                  <w:tcW w:w="298" w:type="pct"/>
                  <w:vMerge w:val="continue"/>
                  <w:vAlign w:val="center"/>
                </w:tcPr>
                <w:p w14:paraId="5A50DBCE">
                  <w:pPr>
                    <w:jc w:val="center"/>
                    <w:rPr>
                      <w:rFonts w:hint="eastAsia"/>
                      <w:color w:val="auto"/>
                      <w:szCs w:val="21"/>
                      <w:lang w:val="en-US" w:eastAsia="zh-CN"/>
                    </w:rPr>
                  </w:pPr>
                </w:p>
              </w:tc>
              <w:tc>
                <w:tcPr>
                  <w:tcW w:w="305" w:type="pct"/>
                  <w:vMerge w:val="continue"/>
                  <w:vAlign w:val="center"/>
                </w:tcPr>
                <w:p w14:paraId="1B1FDCE5">
                  <w:pPr>
                    <w:jc w:val="center"/>
                    <w:rPr>
                      <w:rFonts w:hint="eastAsia"/>
                      <w:color w:val="auto"/>
                      <w:szCs w:val="21"/>
                      <w:lang w:val="en-US" w:eastAsia="zh-CN"/>
                    </w:rPr>
                  </w:pPr>
                </w:p>
              </w:tc>
              <w:tc>
                <w:tcPr>
                  <w:tcW w:w="254" w:type="pct"/>
                  <w:shd w:val="clear" w:color="auto" w:fill="auto"/>
                  <w:vAlign w:val="center"/>
                </w:tcPr>
                <w:p w14:paraId="25312CA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62" w:type="pct"/>
                  <w:shd w:val="clear" w:color="auto" w:fill="auto"/>
                  <w:vAlign w:val="center"/>
                </w:tcPr>
                <w:p w14:paraId="2D4B59A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78" w:type="pct"/>
                  <w:vAlign w:val="center"/>
                </w:tcPr>
                <w:p w14:paraId="7E4AD793">
                  <w:pPr>
                    <w:jc w:val="center"/>
                    <w:rPr>
                      <w:rFonts w:hint="default"/>
                      <w:color w:val="auto"/>
                      <w:szCs w:val="21"/>
                      <w:lang w:val="en-US" w:eastAsia="zh-CN"/>
                    </w:rPr>
                  </w:pPr>
                  <w:r>
                    <w:rPr>
                      <w:rFonts w:hint="eastAsia"/>
                      <w:color w:val="auto"/>
                      <w:szCs w:val="21"/>
                      <w:lang w:val="en-US" w:eastAsia="zh-CN"/>
                    </w:rPr>
                    <w:t>/</w:t>
                  </w:r>
                </w:p>
              </w:tc>
              <w:tc>
                <w:tcPr>
                  <w:tcW w:w="291" w:type="pct"/>
                  <w:vMerge w:val="continue"/>
                  <w:vAlign w:val="center"/>
                </w:tcPr>
                <w:p w14:paraId="01F711B9">
                  <w:pPr>
                    <w:jc w:val="center"/>
                    <w:rPr>
                      <w:rFonts w:hint="eastAsia"/>
                      <w:color w:val="auto"/>
                      <w:szCs w:val="21"/>
                      <w:lang w:val="en-US" w:eastAsia="zh-CN"/>
                    </w:rPr>
                  </w:pPr>
                </w:p>
              </w:tc>
              <w:tc>
                <w:tcPr>
                  <w:tcW w:w="429" w:type="pct"/>
                  <w:vMerge w:val="continue"/>
                  <w:vAlign w:val="center"/>
                </w:tcPr>
                <w:p w14:paraId="3D1FBB23">
                  <w:pPr>
                    <w:jc w:val="center"/>
                    <w:rPr>
                      <w:rFonts w:hint="eastAsia"/>
                      <w:color w:val="auto"/>
                      <w:szCs w:val="21"/>
                      <w:lang w:val="en-US" w:eastAsia="zh-CN"/>
                    </w:rPr>
                  </w:pPr>
                </w:p>
              </w:tc>
              <w:tc>
                <w:tcPr>
                  <w:tcW w:w="458" w:type="pct"/>
                  <w:vAlign w:val="center"/>
                </w:tcPr>
                <w:p w14:paraId="5AE03D73">
                  <w:pPr>
                    <w:jc w:val="center"/>
                    <w:rPr>
                      <w:rFonts w:hint="default"/>
                      <w:color w:val="auto"/>
                      <w:szCs w:val="21"/>
                      <w:lang w:val="en-US" w:eastAsia="zh-CN"/>
                    </w:rPr>
                  </w:pPr>
                  <w:r>
                    <w:rPr>
                      <w:rFonts w:hint="eastAsia"/>
                      <w:color w:val="auto"/>
                      <w:szCs w:val="21"/>
                      <w:lang w:val="en-US" w:eastAsia="zh-CN"/>
                    </w:rPr>
                    <w:t>50.2</w:t>
                  </w:r>
                </w:p>
              </w:tc>
              <w:tc>
                <w:tcPr>
                  <w:tcW w:w="318" w:type="pct"/>
                  <w:vMerge w:val="continue"/>
                  <w:vAlign w:val="center"/>
                </w:tcPr>
                <w:p w14:paraId="5D259290">
                  <w:pPr>
                    <w:jc w:val="center"/>
                    <w:rPr>
                      <w:rFonts w:hint="eastAsia"/>
                      <w:color w:val="auto"/>
                      <w:szCs w:val="21"/>
                      <w:lang w:val="en-US" w:eastAsia="zh-CN"/>
                    </w:rPr>
                  </w:pPr>
                </w:p>
              </w:tc>
            </w:tr>
            <w:tr w14:paraId="254EB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000" w:type="pct"/>
                  <w:gridSpan w:val="16"/>
                  <w:vAlign w:val="center"/>
                </w:tcPr>
                <w:p w14:paraId="4696A846">
                  <w:pPr>
                    <w:jc w:val="left"/>
                    <w:rPr>
                      <w:rFonts w:hint="default"/>
                      <w:color w:val="auto"/>
                      <w:szCs w:val="21"/>
                      <w:lang w:val="en-US" w:eastAsia="zh-CN"/>
                    </w:rPr>
                  </w:pPr>
                  <w:r>
                    <w:rPr>
                      <w:rFonts w:hint="eastAsia"/>
                      <w:color w:val="auto"/>
                      <w:szCs w:val="21"/>
                      <w:lang w:val="en-US" w:eastAsia="zh-CN"/>
                    </w:rPr>
                    <w:t>备注：以厂房西北角为原点（0，0，0）</w:t>
                  </w:r>
                </w:p>
              </w:tc>
            </w:tr>
          </w:tbl>
          <w:p w14:paraId="201804C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59" w:name="_Toc7117"/>
            <w:bookmarkStart w:id="160" w:name="_Toc10899"/>
            <w:r>
              <w:rPr>
                <w:rFonts w:hint="default"/>
                <w:b/>
                <w:color w:val="262626"/>
                <w:kern w:val="0"/>
                <w:sz w:val="24"/>
                <w:lang w:val="en-US" w:eastAsia="zh-CN"/>
              </w:rPr>
              <w:t>4.3.2声环境影响分析</w:t>
            </w:r>
            <w:bookmarkEnd w:id="159"/>
            <w:bookmarkEnd w:id="160"/>
          </w:p>
          <w:p w14:paraId="39B0BA89">
            <w:pPr>
              <w:pStyle w:val="35"/>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EBB43C9">
            <w:pPr>
              <w:pStyle w:val="35"/>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8E736BD">
            <w:pPr>
              <w:pStyle w:val="35"/>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0FF111E9">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r:link="rId31"/>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008EE169">
            <w:pPr>
              <w:pStyle w:val="35"/>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7B314B7">
            <w:pPr>
              <w:pStyle w:val="35"/>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18488F2D">
            <w:pPr>
              <w:pStyle w:val="35"/>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77391989">
            <w:pPr>
              <w:pStyle w:val="35"/>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7D3F17E4">
            <w:pPr>
              <w:pStyle w:val="35"/>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124491C5">
            <w:pPr>
              <w:pStyle w:val="35"/>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642AD8FB">
            <w:pPr>
              <w:pStyle w:val="35"/>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6431A95">
            <w:pPr>
              <w:pStyle w:val="35"/>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36F6D4A">
            <w:pPr>
              <w:pStyle w:val="35"/>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0664D8C5">
            <w:pPr>
              <w:pStyle w:val="35"/>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70E1CA29">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2" r:link="rId33"/>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135022">
            <w:pPr>
              <w:pStyle w:val="35"/>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407A7DB7">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4" r:link="rId35"/>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CBECC23">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795E301">
            <w:pPr>
              <w:pStyle w:val="35"/>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17FADF33">
            <w:pPr>
              <w:pStyle w:val="35"/>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187AB624">
            <w:pPr>
              <w:pStyle w:val="35"/>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54ACFDDA">
            <w:pPr>
              <w:pStyle w:val="35"/>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1EF793B0">
            <w:pPr>
              <w:pStyle w:val="59"/>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6" r:link="rId37"/>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8B630C">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5072185">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8" r:link="rId39"/>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5C92F88">
            <w:pPr>
              <w:pStyle w:val="35"/>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20879975">
            <w:pPr>
              <w:pStyle w:val="59"/>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0" r:link="rId41"/>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A63F8E">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38209FB">
            <w:pPr>
              <w:pStyle w:val="35"/>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0B9EA13D">
            <w:pPr>
              <w:pStyle w:val="35"/>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12A78C5">
            <w:pPr>
              <w:pStyle w:val="35"/>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AEDD3EA">
            <w:pPr>
              <w:pStyle w:val="35"/>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158BF057">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2" r:link="rId43"/>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D59C02C">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4FDAA67">
            <w:pPr>
              <w:pStyle w:val="35"/>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0D64FD58">
            <w:pPr>
              <w:pStyle w:val="35"/>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cs="Times New Roman"/>
                <w:color w:val="auto"/>
                <w:sz w:val="24"/>
                <w:szCs w:val="24"/>
                <w:highlight w:val="none"/>
                <w:shd w:val="clear" w:color="auto" w:fill="FFFFFF"/>
              </w:rPr>
              <w:t>-</w:t>
            </w:r>
            <w:r>
              <w:rPr>
                <w:rFonts w:cs="Times New Roman"/>
                <w:color w:val="auto"/>
                <w:sz w:val="24"/>
                <w:szCs w:val="24"/>
                <w:highlight w:val="none"/>
              </w:rPr>
              <w:t>室内j声源i倍频带的声压级，dB；</w:t>
            </w:r>
          </w:p>
          <w:p w14:paraId="0ACB57DA">
            <w:pPr>
              <w:pStyle w:val="35"/>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室内声源总数。</w:t>
            </w:r>
          </w:p>
          <w:p w14:paraId="168A8A5C">
            <w:pPr>
              <w:pStyle w:val="35"/>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40AD0852">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4" r:link="rId45"/>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A79B277">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194474C">
            <w:pPr>
              <w:pStyle w:val="35"/>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B8A1EC0">
            <w:pPr>
              <w:pStyle w:val="35"/>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0D8EB288">
            <w:pPr>
              <w:pStyle w:val="35"/>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6247D729">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426720"/>
                  <wp:effectExtent l="0" t="0" r="11430"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46" r:link="rId47"/>
                          <a:stretch>
                            <a:fillRect/>
                          </a:stretch>
                        </pic:blipFill>
                        <pic:spPr>
                          <a:xfrm>
                            <a:off x="0" y="0"/>
                            <a:ext cx="1798320" cy="4267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9ECE58D">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3E819AFC">
            <w:pPr>
              <w:pStyle w:val="35"/>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7B1963A">
            <w:pPr>
              <w:pStyle w:val="35"/>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6C2B5925">
            <w:pPr>
              <w:pStyle w:val="35"/>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360E193E">
            <w:pPr>
              <w:pStyle w:val="59"/>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579120"/>
                  <wp:effectExtent l="0" t="0" r="762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48" r:link="rId49"/>
                          <a:stretch>
                            <a:fillRect/>
                          </a:stretch>
                        </pic:blipFill>
                        <pic:spPr>
                          <a:xfrm>
                            <a:off x="0" y="0"/>
                            <a:ext cx="3268980" cy="5791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3649794">
            <w:pPr>
              <w:pStyle w:val="35"/>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0A121152">
            <w:pPr>
              <w:pStyle w:val="35"/>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44C4CE2F">
            <w:pPr>
              <w:pStyle w:val="35"/>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269357FC">
            <w:pPr>
              <w:pStyle w:val="35"/>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240FC8D">
            <w:pPr>
              <w:pStyle w:val="35"/>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室外声源个数；</w:t>
            </w:r>
          </w:p>
          <w:p w14:paraId="5EDE2D62">
            <w:pPr>
              <w:pStyle w:val="35"/>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cs="Times New Roman"/>
                <w:color w:val="auto"/>
                <w:sz w:val="24"/>
                <w:szCs w:val="24"/>
                <w:highlight w:val="none"/>
                <w:shd w:val="clear" w:color="auto" w:fill="FFFFFF"/>
              </w:rPr>
              <w:t>-</w:t>
            </w:r>
            <w:r>
              <w:rPr>
                <w:rFonts w:cs="Times New Roman"/>
                <w:color w:val="auto"/>
                <w:sz w:val="24"/>
                <w:szCs w:val="24"/>
                <w:highlight w:val="none"/>
              </w:rPr>
              <w:t>室内声源个数。</w:t>
            </w:r>
          </w:p>
          <w:p w14:paraId="44410B1F">
            <w:pPr>
              <w:pStyle w:val="35"/>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662FDF8E">
            <w:pPr>
              <w:pStyle w:val="35"/>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1F8F2F38">
            <w:pPr>
              <w:pStyle w:val="59"/>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502920"/>
                  <wp:effectExtent l="0" t="0" r="7620"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50" r:link="rId51"/>
                          <a:stretch>
                            <a:fillRect/>
                          </a:stretch>
                        </pic:blipFill>
                        <pic:spPr>
                          <a:xfrm>
                            <a:off x="0" y="0"/>
                            <a:ext cx="2354580" cy="5029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1B1368E">
            <w:pPr>
              <w:pStyle w:val="35"/>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06AC5BC">
            <w:pPr>
              <w:pStyle w:val="35"/>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5FA53CA4">
            <w:pPr>
              <w:pStyle w:val="35"/>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275560D">
            <w:pPr>
              <w:pStyle w:val="35"/>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w:t>
            </w:r>
            <w:r>
              <w:rPr>
                <w:rFonts w:hint="eastAsia" w:cs="Times New Roman"/>
                <w:color w:val="auto"/>
                <w:sz w:val="24"/>
                <w:szCs w:val="24"/>
                <w:highlight w:val="none"/>
                <w:lang w:eastAsia="zh-CN"/>
              </w:rPr>
              <w:t>减振</w:t>
            </w:r>
            <w:r>
              <w:rPr>
                <w:rFonts w:cs="Times New Roman"/>
                <w:color w:val="auto"/>
                <w:sz w:val="24"/>
                <w:szCs w:val="24"/>
                <w:highlight w:val="none"/>
              </w:rPr>
              <w:t>、隔声后，可削减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F6FC8BA">
            <w:pPr>
              <w:pStyle w:val="35"/>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0CFCCC3C">
            <w:pPr>
              <w:spacing w:line="360" w:lineRule="auto"/>
              <w:ind w:firstLine="480" w:firstLineChars="200"/>
              <w:jc w:val="left"/>
              <w:rPr>
                <w:b/>
                <w:bCs/>
                <w:sz w:val="24"/>
              </w:rPr>
            </w:pPr>
            <w:r>
              <w:rPr>
                <w:rFonts w:hint="eastAsia"/>
                <w:sz w:val="24"/>
                <w:lang w:val="en-US" w:eastAsia="zh-CN"/>
              </w:rPr>
              <w:t>项目运营期仅工作8h/d，夜间不生产，因此本评价仅预测昼间噪声值，</w:t>
            </w: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3214A64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 厂界噪声预测结果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6"/>
              <w:gridCol w:w="1692"/>
              <w:gridCol w:w="1343"/>
              <w:gridCol w:w="2172"/>
              <w:gridCol w:w="1880"/>
              <w:gridCol w:w="921"/>
            </w:tblGrid>
            <w:tr w14:paraId="3844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340" w:type="pct"/>
                  <w:vMerge w:val="restart"/>
                  <w:noWrap w:val="0"/>
                  <w:vAlign w:val="center"/>
                </w:tcPr>
                <w:p w14:paraId="2BF80DD3">
                  <w:pPr>
                    <w:pStyle w:val="60"/>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52EA5E3D">
                  <w:pPr>
                    <w:pStyle w:val="60"/>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2532DAE5">
                  <w:pPr>
                    <w:pStyle w:val="60"/>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263" w:type="pct"/>
                  <w:noWrap w:val="0"/>
                  <w:vAlign w:val="center"/>
                </w:tcPr>
                <w:p w14:paraId="459BAEBC">
                  <w:pPr>
                    <w:pStyle w:val="60"/>
                    <w:spacing w:before="24" w:after="24" w:line="340" w:lineRule="exact"/>
                    <w:rPr>
                      <w:rFonts w:ascii="Times New Roman"/>
                      <w:color w:val="auto"/>
                      <w:kern w:val="2"/>
                      <w:szCs w:val="21"/>
                    </w:rPr>
                  </w:pPr>
                  <w:r>
                    <w:rPr>
                      <w:rFonts w:ascii="Times New Roman"/>
                      <w:color w:val="auto"/>
                      <w:kern w:val="2"/>
                      <w:szCs w:val="21"/>
                    </w:rPr>
                    <w:t>影响贡献值</w:t>
                  </w:r>
                </w:p>
              </w:tc>
              <w:tc>
                <w:tcPr>
                  <w:tcW w:w="1093" w:type="pct"/>
                  <w:noWrap w:val="0"/>
                  <w:vAlign w:val="center"/>
                </w:tcPr>
                <w:p w14:paraId="15D6B174">
                  <w:pPr>
                    <w:pStyle w:val="60"/>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59238018">
                  <w:pPr>
                    <w:pStyle w:val="60"/>
                    <w:spacing w:before="24" w:after="24" w:line="340" w:lineRule="exact"/>
                    <w:rPr>
                      <w:rFonts w:ascii="Times New Roman"/>
                      <w:color w:val="auto"/>
                      <w:kern w:val="2"/>
                      <w:szCs w:val="21"/>
                    </w:rPr>
                  </w:pPr>
                  <w:r>
                    <w:rPr>
                      <w:rFonts w:ascii="Times New Roman"/>
                      <w:color w:val="auto"/>
                      <w:kern w:val="2"/>
                      <w:szCs w:val="21"/>
                    </w:rPr>
                    <w:t>达标情况</w:t>
                  </w:r>
                </w:p>
              </w:tc>
            </w:tr>
            <w:tr w14:paraId="5A26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0" w:type="pct"/>
                  <w:vMerge w:val="continue"/>
                  <w:noWrap w:val="0"/>
                  <w:vAlign w:val="center"/>
                </w:tcPr>
                <w:p w14:paraId="6EECAC55">
                  <w:pPr>
                    <w:pStyle w:val="60"/>
                    <w:spacing w:before="24" w:after="24" w:line="340" w:lineRule="exact"/>
                    <w:rPr>
                      <w:rFonts w:ascii="Times New Roman"/>
                      <w:color w:val="auto"/>
                      <w:kern w:val="2"/>
                      <w:szCs w:val="21"/>
                    </w:rPr>
                  </w:pPr>
                </w:p>
              </w:tc>
              <w:tc>
                <w:tcPr>
                  <w:tcW w:w="984" w:type="pct"/>
                  <w:vMerge w:val="continue"/>
                  <w:noWrap w:val="0"/>
                  <w:vAlign w:val="center"/>
                </w:tcPr>
                <w:p w14:paraId="40F48562">
                  <w:pPr>
                    <w:pStyle w:val="60"/>
                    <w:spacing w:before="24" w:after="24" w:line="340" w:lineRule="exact"/>
                    <w:rPr>
                      <w:rFonts w:ascii="Times New Roman"/>
                      <w:color w:val="auto"/>
                      <w:kern w:val="2"/>
                      <w:szCs w:val="21"/>
                    </w:rPr>
                  </w:pPr>
                </w:p>
              </w:tc>
              <w:tc>
                <w:tcPr>
                  <w:tcW w:w="781" w:type="pct"/>
                  <w:vMerge w:val="continue"/>
                  <w:noWrap w:val="0"/>
                  <w:vAlign w:val="center"/>
                </w:tcPr>
                <w:p w14:paraId="5011BF58">
                  <w:pPr>
                    <w:pStyle w:val="60"/>
                    <w:spacing w:before="24" w:after="24" w:line="340" w:lineRule="exact"/>
                    <w:rPr>
                      <w:rFonts w:hint="eastAsia" w:ascii="Times New Roman"/>
                      <w:color w:val="auto"/>
                      <w:kern w:val="2"/>
                      <w:szCs w:val="21"/>
                    </w:rPr>
                  </w:pPr>
                </w:p>
              </w:tc>
              <w:tc>
                <w:tcPr>
                  <w:tcW w:w="1263" w:type="pct"/>
                  <w:noWrap w:val="0"/>
                  <w:vAlign w:val="center"/>
                </w:tcPr>
                <w:p w14:paraId="38815712">
                  <w:pPr>
                    <w:pStyle w:val="60"/>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rPr>
                    <w:t>昼间</w:t>
                  </w:r>
                </w:p>
              </w:tc>
              <w:tc>
                <w:tcPr>
                  <w:tcW w:w="1093" w:type="pct"/>
                  <w:noWrap w:val="0"/>
                  <w:vAlign w:val="center"/>
                </w:tcPr>
                <w:p w14:paraId="202D47B2">
                  <w:pPr>
                    <w:pStyle w:val="60"/>
                    <w:spacing w:before="24" w:after="24" w:line="340" w:lineRule="exact"/>
                    <w:rPr>
                      <w:rFonts w:hint="default" w:eastAsia="宋体"/>
                      <w:color w:val="auto"/>
                      <w:szCs w:val="21"/>
                      <w:lang w:val="en-US" w:eastAsia="zh-CN"/>
                    </w:rPr>
                  </w:pPr>
                  <w:r>
                    <w:rPr>
                      <w:rFonts w:ascii="Times New Roman"/>
                      <w:color w:val="auto"/>
                      <w:kern w:val="2"/>
                      <w:szCs w:val="21"/>
                    </w:rPr>
                    <w:t>昼间</w:t>
                  </w:r>
                </w:p>
              </w:tc>
              <w:tc>
                <w:tcPr>
                  <w:tcW w:w="535" w:type="pct"/>
                  <w:vMerge w:val="continue"/>
                  <w:noWrap w:val="0"/>
                  <w:vAlign w:val="center"/>
                </w:tcPr>
                <w:p w14:paraId="0E00C132">
                  <w:pPr>
                    <w:pStyle w:val="60"/>
                    <w:spacing w:before="24" w:after="24" w:line="340" w:lineRule="exact"/>
                    <w:rPr>
                      <w:rFonts w:ascii="Times New Roman"/>
                      <w:color w:val="auto"/>
                      <w:kern w:val="2"/>
                      <w:szCs w:val="21"/>
                    </w:rPr>
                  </w:pPr>
                </w:p>
              </w:tc>
            </w:tr>
            <w:tr w14:paraId="6CD5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noWrap w:val="0"/>
                  <w:vAlign w:val="center"/>
                </w:tcPr>
                <w:p w14:paraId="03E9C3A4">
                  <w:pPr>
                    <w:pStyle w:val="60"/>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58435ED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3CAA19B9">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1263" w:type="pct"/>
                  <w:shd w:val="clear" w:color="auto" w:fill="auto"/>
                  <w:noWrap w:val="0"/>
                  <w:vAlign w:val="center"/>
                </w:tcPr>
                <w:p w14:paraId="1C55ABA6">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57</w:t>
                  </w:r>
                </w:p>
              </w:tc>
              <w:tc>
                <w:tcPr>
                  <w:tcW w:w="1093" w:type="pct"/>
                  <w:vMerge w:val="restart"/>
                  <w:noWrap w:val="0"/>
                  <w:vAlign w:val="center"/>
                </w:tcPr>
                <w:p w14:paraId="499ACA60">
                  <w:pPr>
                    <w:widowControl/>
                    <w:spacing w:line="340" w:lineRule="exact"/>
                    <w:jc w:val="center"/>
                    <w:rPr>
                      <w:rFonts w:hint="default" w:eastAsia="宋体"/>
                      <w:color w:val="auto"/>
                      <w:szCs w:val="21"/>
                      <w:lang w:val="en-US" w:eastAsia="zh-CN"/>
                    </w:rPr>
                  </w:pPr>
                  <w:r>
                    <w:rPr>
                      <w:rFonts w:hint="eastAsia"/>
                      <w:color w:val="auto"/>
                      <w:szCs w:val="21"/>
                      <w:lang w:val="en-US" w:eastAsia="zh-CN"/>
                    </w:rPr>
                    <w:t>65</w:t>
                  </w:r>
                </w:p>
              </w:tc>
              <w:tc>
                <w:tcPr>
                  <w:tcW w:w="535" w:type="pct"/>
                  <w:vMerge w:val="restart"/>
                  <w:noWrap w:val="0"/>
                  <w:vAlign w:val="center"/>
                </w:tcPr>
                <w:p w14:paraId="3DC04E42">
                  <w:pPr>
                    <w:widowControl/>
                    <w:spacing w:line="340" w:lineRule="exact"/>
                    <w:jc w:val="center"/>
                    <w:rPr>
                      <w:color w:val="auto"/>
                      <w:szCs w:val="21"/>
                    </w:rPr>
                  </w:pPr>
                  <w:r>
                    <w:rPr>
                      <w:color w:val="auto"/>
                      <w:szCs w:val="21"/>
                    </w:rPr>
                    <w:t>达标</w:t>
                  </w:r>
                </w:p>
              </w:tc>
            </w:tr>
            <w:tr w14:paraId="0911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55E33555">
                  <w:pPr>
                    <w:pStyle w:val="60"/>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0FFF3EAD">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B29D21F">
                  <w:pPr>
                    <w:adjustRightInd w:val="0"/>
                    <w:spacing w:line="340" w:lineRule="exact"/>
                    <w:jc w:val="center"/>
                    <w:rPr>
                      <w:rFonts w:hint="eastAsia"/>
                      <w:snapToGrid w:val="0"/>
                      <w:color w:val="auto"/>
                      <w:szCs w:val="21"/>
                    </w:rPr>
                  </w:pPr>
                </w:p>
              </w:tc>
              <w:tc>
                <w:tcPr>
                  <w:tcW w:w="1263" w:type="pct"/>
                  <w:shd w:val="clear" w:color="auto" w:fill="auto"/>
                  <w:noWrap w:val="0"/>
                  <w:vAlign w:val="center"/>
                </w:tcPr>
                <w:p w14:paraId="57F4A9A7">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53</w:t>
                  </w:r>
                </w:p>
              </w:tc>
              <w:tc>
                <w:tcPr>
                  <w:tcW w:w="1093" w:type="pct"/>
                  <w:vMerge w:val="continue"/>
                  <w:noWrap w:val="0"/>
                  <w:vAlign w:val="center"/>
                </w:tcPr>
                <w:p w14:paraId="340B8B83">
                  <w:pPr>
                    <w:widowControl/>
                    <w:spacing w:line="340" w:lineRule="exact"/>
                    <w:jc w:val="center"/>
                    <w:rPr>
                      <w:rFonts w:hint="eastAsia"/>
                      <w:color w:val="auto"/>
                      <w:szCs w:val="21"/>
                    </w:rPr>
                  </w:pPr>
                </w:p>
              </w:tc>
              <w:tc>
                <w:tcPr>
                  <w:tcW w:w="535" w:type="pct"/>
                  <w:vMerge w:val="continue"/>
                  <w:noWrap w:val="0"/>
                  <w:vAlign w:val="center"/>
                </w:tcPr>
                <w:p w14:paraId="4B3D5196">
                  <w:pPr>
                    <w:widowControl/>
                    <w:spacing w:line="340" w:lineRule="exact"/>
                    <w:jc w:val="center"/>
                    <w:rPr>
                      <w:color w:val="auto"/>
                      <w:szCs w:val="21"/>
                    </w:rPr>
                  </w:pPr>
                </w:p>
              </w:tc>
            </w:tr>
            <w:tr w14:paraId="4FF0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3B16C0A6">
                  <w:pPr>
                    <w:pStyle w:val="60"/>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3F4F2CC1">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695F1688">
                  <w:pPr>
                    <w:adjustRightInd w:val="0"/>
                    <w:spacing w:line="340" w:lineRule="exact"/>
                    <w:jc w:val="center"/>
                    <w:rPr>
                      <w:rFonts w:hint="eastAsia"/>
                      <w:snapToGrid w:val="0"/>
                      <w:color w:val="auto"/>
                      <w:szCs w:val="21"/>
                    </w:rPr>
                  </w:pPr>
                </w:p>
              </w:tc>
              <w:tc>
                <w:tcPr>
                  <w:tcW w:w="1263" w:type="pct"/>
                  <w:shd w:val="clear" w:color="auto" w:fill="auto"/>
                  <w:noWrap w:val="0"/>
                  <w:vAlign w:val="center"/>
                </w:tcPr>
                <w:p w14:paraId="2C5AAA9B">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56</w:t>
                  </w:r>
                </w:p>
              </w:tc>
              <w:tc>
                <w:tcPr>
                  <w:tcW w:w="1093" w:type="pct"/>
                  <w:vMerge w:val="continue"/>
                  <w:noWrap w:val="0"/>
                  <w:vAlign w:val="center"/>
                </w:tcPr>
                <w:p w14:paraId="1FCB45C8">
                  <w:pPr>
                    <w:widowControl/>
                    <w:spacing w:line="340" w:lineRule="exact"/>
                    <w:jc w:val="center"/>
                    <w:rPr>
                      <w:rFonts w:hint="eastAsia"/>
                      <w:color w:val="auto"/>
                      <w:szCs w:val="21"/>
                    </w:rPr>
                  </w:pPr>
                </w:p>
              </w:tc>
              <w:tc>
                <w:tcPr>
                  <w:tcW w:w="535" w:type="pct"/>
                  <w:vMerge w:val="continue"/>
                  <w:noWrap w:val="0"/>
                  <w:vAlign w:val="center"/>
                </w:tcPr>
                <w:p w14:paraId="066BC562">
                  <w:pPr>
                    <w:widowControl/>
                    <w:spacing w:line="340" w:lineRule="exact"/>
                    <w:jc w:val="center"/>
                    <w:rPr>
                      <w:color w:val="auto"/>
                      <w:szCs w:val="21"/>
                    </w:rPr>
                  </w:pPr>
                </w:p>
              </w:tc>
            </w:tr>
            <w:tr w14:paraId="2581B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0" w:type="pct"/>
                  <w:noWrap w:val="0"/>
                  <w:vAlign w:val="center"/>
                </w:tcPr>
                <w:p w14:paraId="55629297">
                  <w:pPr>
                    <w:pStyle w:val="60"/>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2977CD8A">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0BD1125A">
                  <w:pPr>
                    <w:spacing w:line="340" w:lineRule="exact"/>
                    <w:jc w:val="center"/>
                    <w:rPr>
                      <w:rFonts w:hint="eastAsia"/>
                      <w:color w:val="auto"/>
                      <w:szCs w:val="21"/>
                    </w:rPr>
                  </w:pPr>
                </w:p>
              </w:tc>
              <w:tc>
                <w:tcPr>
                  <w:tcW w:w="1263" w:type="pct"/>
                  <w:shd w:val="clear" w:color="auto" w:fill="auto"/>
                  <w:noWrap w:val="0"/>
                  <w:vAlign w:val="center"/>
                </w:tcPr>
                <w:p w14:paraId="6C16F02D">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56</w:t>
                  </w:r>
                </w:p>
              </w:tc>
              <w:tc>
                <w:tcPr>
                  <w:tcW w:w="1093" w:type="pct"/>
                  <w:vMerge w:val="continue"/>
                  <w:noWrap w:val="0"/>
                  <w:vAlign w:val="center"/>
                </w:tcPr>
                <w:p w14:paraId="536EACBF">
                  <w:pPr>
                    <w:widowControl/>
                    <w:spacing w:line="340" w:lineRule="exact"/>
                    <w:jc w:val="center"/>
                    <w:rPr>
                      <w:color w:val="auto"/>
                      <w:szCs w:val="21"/>
                    </w:rPr>
                  </w:pPr>
                </w:p>
              </w:tc>
              <w:tc>
                <w:tcPr>
                  <w:tcW w:w="535" w:type="pct"/>
                  <w:vMerge w:val="continue"/>
                  <w:noWrap w:val="0"/>
                  <w:vAlign w:val="center"/>
                </w:tcPr>
                <w:p w14:paraId="1A91FB3A">
                  <w:pPr>
                    <w:widowControl/>
                    <w:spacing w:line="340" w:lineRule="exact"/>
                    <w:jc w:val="center"/>
                    <w:rPr>
                      <w:color w:val="auto"/>
                      <w:szCs w:val="21"/>
                    </w:rPr>
                  </w:pPr>
                </w:p>
              </w:tc>
            </w:tr>
          </w:tbl>
          <w:p w14:paraId="00C69F16">
            <w:pPr>
              <w:pStyle w:val="57"/>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预测结果表明，项目主要噪声源在采取有效的降噪措施前提下，项目边界噪声均可满足《工业企业厂界环境噪声排放标准》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4EF09AFB">
            <w:pPr>
              <w:pStyle w:val="49"/>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1F372741">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75A434C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61" w:name="_Toc31999"/>
            <w:bookmarkStart w:id="162" w:name="_Toc8846"/>
            <w:bookmarkStart w:id="163" w:name="_Toc3522"/>
            <w:r>
              <w:rPr>
                <w:rFonts w:hint="default"/>
                <w:b/>
                <w:color w:val="262626"/>
                <w:kern w:val="0"/>
                <w:sz w:val="24"/>
                <w:lang w:val="en-US" w:eastAsia="zh-CN"/>
              </w:rPr>
              <w:t>4.3.3</w:t>
            </w:r>
            <w:r>
              <w:rPr>
                <w:rFonts w:hint="default"/>
                <w:b/>
                <w:color w:val="262626"/>
                <w:kern w:val="0"/>
                <w:sz w:val="24"/>
                <w:lang w:val="zh-CN" w:eastAsia="zh-CN"/>
              </w:rPr>
              <w:t>噪声污染控制措施</w:t>
            </w:r>
            <w:bookmarkEnd w:id="161"/>
            <w:bookmarkEnd w:id="162"/>
            <w:bookmarkEnd w:id="163"/>
          </w:p>
          <w:p w14:paraId="4C948660">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 12348-2008</w:t>
            </w:r>
            <w:r>
              <w:rPr>
                <w:rFonts w:hint="eastAsia"/>
                <w:color w:val="000000"/>
                <w:sz w:val="24"/>
                <w:lang w:val="zh-CN"/>
              </w:rPr>
              <w:t>）</w:t>
            </w:r>
            <w:r>
              <w:rPr>
                <w:color w:val="000000"/>
                <w:sz w:val="24"/>
                <w:lang w:val="zh-CN"/>
              </w:rPr>
              <w:t>中3类标准，本报告建议采用以下降噪措施：</w:t>
            </w:r>
          </w:p>
          <w:p w14:paraId="1A0CD3B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0E20EC8">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80EA48">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4F3F574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6CC2B4F6">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597C0BF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7FEDEB4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626BD7B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6E49CEE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2E67B531">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64" w:name="_Toc7123"/>
            <w:bookmarkStart w:id="165" w:name="_Toc8658"/>
            <w:r>
              <w:rPr>
                <w:rFonts w:hint="eastAsia" w:ascii="Times New Roman" w:hAnsi="Times New Roman" w:eastAsia="宋体" w:cs="Times New Roman"/>
                <w:color w:val="auto"/>
                <w:sz w:val="28"/>
                <w:szCs w:val="28"/>
                <w:u w:val="none"/>
                <w:lang w:val="en-US" w:eastAsia="zh-CN"/>
              </w:rPr>
              <w:t>4.4固体废物环境影响分析和污染防治措施</w:t>
            </w:r>
            <w:bookmarkEnd w:id="164"/>
            <w:bookmarkEnd w:id="165"/>
          </w:p>
          <w:p w14:paraId="5A780EC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zh-CN" w:eastAsia="zh-CN"/>
              </w:rPr>
            </w:pPr>
            <w:bookmarkStart w:id="166" w:name="_Toc21337"/>
            <w:bookmarkStart w:id="167" w:name="_Toc18882"/>
            <w:r>
              <w:rPr>
                <w:rFonts w:hint="default"/>
                <w:b/>
                <w:color w:val="auto"/>
                <w:kern w:val="0"/>
                <w:sz w:val="24"/>
                <w:lang w:val="zh-CN" w:eastAsia="zh-CN"/>
              </w:rPr>
              <w:t>4.4.1 固体废物</w:t>
            </w:r>
            <w:r>
              <w:rPr>
                <w:rFonts w:hint="eastAsia"/>
                <w:b/>
                <w:color w:val="auto"/>
                <w:kern w:val="0"/>
                <w:sz w:val="24"/>
                <w:lang w:val="en-US" w:eastAsia="zh-CN"/>
              </w:rPr>
              <w:t>污染源</w:t>
            </w:r>
            <w:r>
              <w:rPr>
                <w:rFonts w:hint="default"/>
                <w:b/>
                <w:color w:val="auto"/>
                <w:kern w:val="0"/>
                <w:sz w:val="24"/>
                <w:lang w:val="zh-CN" w:eastAsia="zh-CN"/>
              </w:rPr>
              <w:t>分析</w:t>
            </w:r>
            <w:bookmarkEnd w:id="166"/>
            <w:bookmarkEnd w:id="167"/>
          </w:p>
          <w:p w14:paraId="36164E68">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olor w:val="000000"/>
                <w:sz w:val="24"/>
                <w:lang w:val="en-US" w:eastAsia="zh-CN"/>
              </w:rPr>
              <w:t>本项目运营期内熔融过程产生的炉渣（不沾染油）、不合格产品、切边、钻孔及攻牙机等加工工序产生的废边角料、碎屑，生产工序中通过布袋除尘器收集到的金属粉尘、废布袋、废包装纸箱、包装袋属于一般工业固体废物，收集后暂存于一般固废间。电阻炉炉渣（沾染油）、压铸脱模工序使用脱模剂后产生的废空桶，机加工过程中产生的废切削液及金属渣、废气处理设施产生的废活性炭、设备维护保养时产生的废液压油、机油、循环水处理设施产生的污泥为危险废物</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1CD97209">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09BEC9F4">
            <w:pPr>
              <w:spacing w:line="360" w:lineRule="auto"/>
              <w:ind w:firstLine="480"/>
              <w:rPr>
                <w:color w:val="000000"/>
                <w:sz w:val="24"/>
                <w:lang w:val="zh-CN"/>
              </w:rPr>
            </w:pPr>
            <w:r>
              <w:rPr>
                <w:rFonts w:hint="eastAsia"/>
                <w:color w:val="000000"/>
                <w:sz w:val="24"/>
              </w:rPr>
              <w:t xml:space="preserve">根据我国生活垃圾排放系数，不住厂职工生活垃圾排放系数取 </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30</w:t>
            </w:r>
            <w:r>
              <w:rPr>
                <w:rFonts w:hint="eastAsia"/>
                <w:color w:val="000000"/>
                <w:sz w:val="24"/>
              </w:rPr>
              <w:t>人，按</w:t>
            </w:r>
            <w:r>
              <w:rPr>
                <w:color w:val="000000"/>
                <w:sz w:val="24"/>
              </w:rPr>
              <w:t>300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4.5</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3734E33D">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7B42EEFF">
            <w:pPr>
              <w:adjustRightInd w:val="0"/>
              <w:snapToGrid w:val="0"/>
              <w:spacing w:line="360" w:lineRule="auto"/>
              <w:ind w:firstLine="480" w:firstLineChars="200"/>
              <w:rPr>
                <w:rFonts w:hint="eastAsia"/>
                <w:color w:val="000000"/>
                <w:sz w:val="24"/>
                <w:lang w:val="en-US" w:eastAsia="zh-CN"/>
              </w:rPr>
            </w:pPr>
            <w:r>
              <w:rPr>
                <w:rFonts w:hint="eastAsia"/>
                <w:color w:val="000000"/>
                <w:sz w:val="24"/>
                <w:lang w:val="en-US" w:eastAsia="zh-CN"/>
              </w:rPr>
              <w:t>①熔融炉渣（不沾染油）</w:t>
            </w:r>
          </w:p>
          <w:p w14:paraId="1A9072A0">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项目在压铸生产车间进行压铸件生产过程中，压铸电阻炉进行铝锭熔化过程中会产生熔化渣，在进行压铸件机械加工过程中会产生一定边角废料和金属屑，根据业主提供生产数据，生产过程中原料损耗率为1%，项目压铸过程中原料用量为730t/a，原料损耗量为7.3t/a，根据前面分析可知，其中0.3593t/a形成烟尘、3.135t/a形成打磨抛光粉尘。故压铸件生产过程中熔融炉渣（不沾染油）产生量为3.8057t/a。这部分炉渣回用价值较高，统一收集后重新进行熔融回用。</w:t>
            </w:r>
          </w:p>
          <w:p w14:paraId="00650DCB">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②不合格产品</w:t>
            </w:r>
          </w:p>
          <w:p w14:paraId="6449C305">
            <w:pPr>
              <w:spacing w:line="360" w:lineRule="auto"/>
              <w:ind w:firstLine="480"/>
              <w:rPr>
                <w:rFonts w:hint="eastAsia"/>
                <w:color w:val="000000"/>
                <w:sz w:val="24"/>
                <w:lang w:val="en-US" w:eastAsia="zh-CN"/>
              </w:rPr>
            </w:pPr>
            <w:r>
              <w:rPr>
                <w:rFonts w:hint="eastAsia"/>
                <w:color w:val="000000"/>
                <w:sz w:val="24"/>
                <w:lang w:val="en-US" w:eastAsia="zh-CN"/>
              </w:rPr>
              <w:t>根据业主提供资料项目压铸工序产生时产品合格率为95%，则不合格产品的产生量约为730t/a×（1-95%）=36.5t/a，属于一般固体废物且回收价值高，经收集后重新进行熔融回用于生产。</w:t>
            </w:r>
          </w:p>
          <w:p w14:paraId="05E536DB">
            <w:pPr>
              <w:adjustRightInd w:val="0"/>
              <w:snapToGrid w:val="0"/>
              <w:spacing w:line="360" w:lineRule="auto"/>
              <w:ind w:firstLine="480" w:firstLineChars="200"/>
              <w:rPr>
                <w:rFonts w:hint="default"/>
                <w:color w:val="000000"/>
                <w:sz w:val="24"/>
                <w:lang w:val="en-US" w:eastAsia="zh-CN"/>
              </w:rPr>
            </w:pPr>
            <w:r>
              <w:rPr>
                <w:rFonts w:hint="eastAsia"/>
                <w:color w:val="000000"/>
                <w:sz w:val="24"/>
                <w:lang w:val="en-US" w:eastAsia="zh-CN"/>
              </w:rPr>
              <w:t>②抛光、去毛边、冲压、钻孔产生的废边角料、碎屑</w:t>
            </w:r>
          </w:p>
          <w:p w14:paraId="647774EC">
            <w:pPr>
              <w:spacing w:line="360" w:lineRule="auto"/>
              <w:ind w:firstLine="480"/>
              <w:rPr>
                <w:rFonts w:hint="eastAsia"/>
                <w:color w:val="000000"/>
                <w:sz w:val="24"/>
                <w:lang w:val="en-US" w:eastAsia="zh-CN"/>
              </w:rPr>
            </w:pPr>
            <w:r>
              <w:rPr>
                <w:rFonts w:hint="eastAsia"/>
                <w:color w:val="000000"/>
                <w:sz w:val="24"/>
                <w:lang w:val="en-US" w:eastAsia="zh-CN"/>
              </w:rPr>
              <w:t>参考</w:t>
            </w:r>
            <w:r>
              <w:rPr>
                <w:rFonts w:hint="eastAsia"/>
                <w:bCs/>
                <w:color w:val="000000" w:themeColor="text1"/>
                <w:sz w:val="24"/>
                <w:lang w:val="en-US" w:eastAsia="zh-CN"/>
                <w14:textFill>
                  <w14:solidFill>
                    <w14:schemeClr w14:val="tx1"/>
                  </w14:solidFill>
                </w14:textFill>
              </w:rPr>
              <w:t>《第二次全国污染源普查工业污染源产排污系数手册》中“33-37，431-434 机械行业系数手册”一般工业固体废物和危险废物产污系数核算表—33金属制品业 3392有色金属铸造，一般工业固体废物（边角料、碎屑）产物系数按为10kg/t-产品。</w:t>
            </w:r>
            <w:r>
              <w:rPr>
                <w:rFonts w:hint="eastAsia"/>
                <w:color w:val="000000"/>
                <w:sz w:val="24"/>
                <w:lang w:val="en-US" w:eastAsia="zh-CN"/>
              </w:rPr>
              <w:t>项目机加工工序所产生的废边角料、碎屑产生量约为730t/a×10kg/t=7.3t/a，</w:t>
            </w:r>
            <w:r>
              <w:rPr>
                <w:rFonts w:hint="default" w:ascii="Times New Roman" w:hAnsi="Times New Roman" w:eastAsia="宋体" w:cs="Times New Roman"/>
                <w:b w:val="0"/>
                <w:bCs w:val="0"/>
                <w:color w:val="auto"/>
                <w:sz w:val="24"/>
                <w:szCs w:val="24"/>
                <w:highlight w:val="none"/>
              </w:rPr>
              <w:t>属于一般工业固体废物</w:t>
            </w:r>
            <w:r>
              <w:rPr>
                <w:rFonts w:hint="eastAsia" w:cs="Times New Roman"/>
                <w:b w:val="0"/>
                <w:bCs w:val="0"/>
                <w:color w:val="auto"/>
                <w:sz w:val="24"/>
                <w:szCs w:val="24"/>
                <w:highlight w:val="none"/>
                <w:lang w:eastAsia="zh-CN"/>
              </w:rPr>
              <w:t>且</w:t>
            </w:r>
            <w:r>
              <w:rPr>
                <w:rFonts w:hint="default" w:ascii="Times New Roman" w:hAnsi="Times New Roman" w:eastAsia="宋体" w:cs="Times New Roman"/>
                <w:b w:val="0"/>
                <w:bCs w:val="0"/>
                <w:color w:val="auto"/>
                <w:sz w:val="24"/>
                <w:szCs w:val="24"/>
                <w:highlight w:val="none"/>
              </w:rPr>
              <w:t>回收可利用价值高</w:t>
            </w:r>
            <w:r>
              <w:rPr>
                <w:rFonts w:hint="eastAsia"/>
                <w:color w:val="000000"/>
                <w:sz w:val="24"/>
                <w:lang w:val="en-US" w:eastAsia="zh-CN"/>
              </w:rPr>
              <w:t>，经收集后重新进行熔融回用于生产。</w:t>
            </w:r>
          </w:p>
          <w:p w14:paraId="50A836F2">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③布袋除尘器收集到的金属粉尘</w:t>
            </w:r>
            <w:r>
              <w:rPr>
                <w:rFonts w:hint="eastAsia" w:cs="Times New Roman"/>
                <w:color w:val="000000"/>
                <w:sz w:val="24"/>
                <w:lang w:val="en-US" w:eastAsia="zh-CN"/>
              </w:rPr>
              <w:t>及废布袋</w:t>
            </w:r>
          </w:p>
          <w:p w14:paraId="71C9DE58">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根据4.1.1 运营期废气源强核算分析可知，项目布袋除尘器收集到的金属粉尘量约为</w:t>
            </w:r>
            <w:r>
              <w:rPr>
                <w:rFonts w:hint="eastAsia" w:cs="Times New Roman"/>
                <w:color w:val="000000"/>
                <w:sz w:val="24"/>
                <w:lang w:val="en-US" w:eastAsia="zh-CN"/>
              </w:rPr>
              <w:t>1.4999</w:t>
            </w:r>
            <w:r>
              <w:rPr>
                <w:rFonts w:hint="eastAsia" w:ascii="Times New Roman" w:hAnsi="Times New Roman" w:eastAsia="宋体" w:cs="Times New Roman"/>
                <w:color w:val="000000"/>
                <w:sz w:val="24"/>
                <w:lang w:val="en-US" w:eastAsia="zh-CN"/>
              </w:rPr>
              <w:t>t/a。收集到的金属粉尘存放于一般固废贮存间，委托环卫部门定期外运处置。</w:t>
            </w:r>
          </w:p>
          <w:p w14:paraId="3BFB785A">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④其他废包装材料</w:t>
            </w:r>
          </w:p>
          <w:p w14:paraId="0B72DD53">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根据</w:t>
            </w:r>
            <w:r>
              <w:rPr>
                <w:rFonts w:hint="eastAsia" w:ascii="Times New Roman" w:hAnsi="Times New Roman" w:eastAsia="宋体" w:cs="Times New Roman"/>
                <w:color w:val="000000"/>
                <w:sz w:val="24"/>
                <w:lang w:val="en-US" w:eastAsia="zh-CN"/>
              </w:rPr>
              <w:t>类别同类型</w:t>
            </w:r>
            <w:r>
              <w:rPr>
                <w:rFonts w:hint="default" w:ascii="Times New Roman" w:hAnsi="Times New Roman" w:eastAsia="宋体" w:cs="Times New Roman"/>
                <w:color w:val="000000"/>
                <w:sz w:val="24"/>
                <w:lang w:val="en-US" w:eastAsia="zh-CN"/>
              </w:rPr>
              <w:t>项目</w:t>
            </w:r>
            <w:r>
              <w:rPr>
                <w:rFonts w:hint="eastAsia" w:ascii="Times New Roman" w:hAnsi="Times New Roman" w:eastAsia="宋体" w:cs="Times New Roman"/>
                <w:color w:val="000000"/>
                <w:sz w:val="24"/>
                <w:lang w:val="en-US" w:eastAsia="zh-CN"/>
              </w:rPr>
              <w:t>产品包装、原料拆装</w:t>
            </w:r>
            <w:r>
              <w:rPr>
                <w:rFonts w:hint="default" w:ascii="Times New Roman" w:hAnsi="Times New Roman" w:eastAsia="宋体" w:cs="Times New Roman"/>
                <w:color w:val="000000"/>
                <w:sz w:val="24"/>
                <w:lang w:val="en-US" w:eastAsia="zh-CN"/>
              </w:rPr>
              <w:t>过程产生的废包装材料年产生量约</w:t>
            </w:r>
            <w:r>
              <w:rPr>
                <w:rFonts w:hint="eastAsia" w:ascii="Times New Roman" w:hAnsi="Times New Roman" w:eastAsia="宋体" w:cs="Times New Roman"/>
                <w:color w:val="000000"/>
                <w:sz w:val="24"/>
                <w:lang w:val="en-US" w:eastAsia="zh-CN"/>
              </w:rPr>
              <w:t>0.2</w:t>
            </w:r>
            <w:r>
              <w:rPr>
                <w:rFonts w:hint="default" w:ascii="Times New Roman" w:hAnsi="Times New Roman" w:eastAsia="宋体" w:cs="Times New Roman"/>
                <w:color w:val="000000"/>
                <w:sz w:val="24"/>
                <w:lang w:val="en-US" w:eastAsia="zh-CN"/>
              </w:rPr>
              <w:t>t/a</w:t>
            </w:r>
            <w:r>
              <w:rPr>
                <w:rFonts w:hint="eastAsia" w:ascii="Times New Roman" w:hAnsi="Times New Roman" w:eastAsia="宋体" w:cs="Times New Roman"/>
                <w:color w:val="000000"/>
                <w:sz w:val="24"/>
                <w:lang w:val="en-US" w:eastAsia="zh-CN"/>
              </w:rPr>
              <w:t>，</w:t>
            </w:r>
            <w:r>
              <w:rPr>
                <w:rFonts w:hint="default" w:ascii="Times New Roman" w:hAnsi="Times New Roman" w:eastAsia="宋体" w:cs="Times New Roman"/>
                <w:color w:val="000000"/>
                <w:sz w:val="24"/>
                <w:lang w:val="en-US" w:eastAsia="zh-CN"/>
              </w:rPr>
              <w:t>属于一般工业固体废物</w:t>
            </w:r>
            <w:r>
              <w:rPr>
                <w:rFonts w:hint="eastAsia" w:cs="Times New Roman"/>
                <w:color w:val="000000"/>
                <w:sz w:val="24"/>
                <w:lang w:val="en-US" w:eastAsia="zh-CN"/>
              </w:rPr>
              <w:t>且</w:t>
            </w:r>
            <w:r>
              <w:rPr>
                <w:rFonts w:hint="default" w:ascii="Times New Roman" w:hAnsi="Times New Roman" w:eastAsia="宋体" w:cs="Times New Roman"/>
                <w:color w:val="000000"/>
                <w:sz w:val="24"/>
                <w:lang w:val="en-US" w:eastAsia="zh-CN"/>
              </w:rPr>
              <w:t>回收可利用价值高，经收集后出售给回收企业回收利用。</w:t>
            </w:r>
          </w:p>
          <w:p w14:paraId="4FF40B03">
            <w:pPr>
              <w:adjustRightInd w:val="0"/>
              <w:snapToGrid w:val="0"/>
              <w:spacing w:line="360" w:lineRule="auto"/>
              <w:ind w:firstLine="480" w:firstLineChars="200"/>
              <w:rPr>
                <w:rFonts w:hint="eastAsia" w:ascii="Times New Roman" w:hAnsi="Times New Roman" w:eastAsia="宋体" w:cs="Times New Roman"/>
                <w:strike w:val="0"/>
                <w:dstrike w:val="0"/>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（3）危险废物</w:t>
            </w:r>
            <w:bookmarkEnd w:id="150"/>
            <w:bookmarkEnd w:id="151"/>
            <w:bookmarkEnd w:id="152"/>
          </w:p>
          <w:p w14:paraId="473945D3">
            <w:pPr>
              <w:widowControl/>
              <w:spacing w:line="360" w:lineRule="auto"/>
              <w:ind w:firstLine="480" w:firstLineChars="200"/>
              <w:jc w:val="left"/>
              <w:rPr>
                <w:rFonts w:hint="eastAsia"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①熔融炉渣（沾染油）</w:t>
            </w:r>
          </w:p>
          <w:p w14:paraId="3DA8D8EF">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s="Times New Roman"/>
                <w:color w:val="auto"/>
                <w:kern w:val="0"/>
                <w:sz w:val="24"/>
                <w:highlight w:val="none"/>
                <w:lang w:val="en-US" w:eastAsia="zh-CN" w:bidi="ar"/>
              </w:rPr>
              <w:t>在生产过程中部分炉渣（沾染油）。属于危险废物。</w:t>
            </w:r>
            <w:r>
              <w:rPr>
                <w:rFonts w:hint="eastAsia" w:ascii="Times New Roman" w:hAnsi="Times New Roman" w:cs="Times New Roman"/>
                <w:color w:val="auto"/>
                <w:kern w:val="0"/>
                <w:sz w:val="24"/>
                <w:highlight w:val="none"/>
                <w:lang w:bidi="ar"/>
              </w:rPr>
              <w:t>炉渣</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沾染油</w:t>
            </w:r>
            <w:r>
              <w:rPr>
                <w:rFonts w:hint="eastAsia" w:cs="Times New Roman"/>
                <w:color w:val="auto"/>
                <w:kern w:val="0"/>
                <w:sz w:val="24"/>
                <w:highlight w:val="none"/>
                <w:lang w:eastAsia="zh-CN" w:bidi="ar"/>
              </w:rPr>
              <w:t>）的</w:t>
            </w:r>
            <w:r>
              <w:rPr>
                <w:rFonts w:hint="eastAsia" w:cs="Times New Roman"/>
                <w:color w:val="auto"/>
                <w:kern w:val="0"/>
                <w:sz w:val="24"/>
                <w:highlight w:val="none"/>
                <w:lang w:val="en-US" w:eastAsia="zh-CN" w:bidi="ar"/>
              </w:rPr>
              <w:t>产生量按照炉渣（不沾染油）的3%进行计算</w:t>
            </w:r>
            <w:r>
              <w:rPr>
                <w:rFonts w:hint="eastAsia" w:ascii="Times New Roman" w:hAnsi="Times New Roman" w:cs="Times New Roman"/>
                <w:color w:val="auto"/>
                <w:kern w:val="0"/>
                <w:sz w:val="24"/>
                <w:highlight w:val="none"/>
                <w:lang w:bidi="ar"/>
              </w:rPr>
              <w:t>，则炉渣</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沾染油</w:t>
            </w:r>
            <w:r>
              <w:rPr>
                <w:rFonts w:hint="eastAsia" w:cs="Times New Roman"/>
                <w:color w:val="auto"/>
                <w:kern w:val="0"/>
                <w:sz w:val="24"/>
                <w:highlight w:val="none"/>
                <w:lang w:eastAsia="zh-CN" w:bidi="ar"/>
              </w:rPr>
              <w:t>）</w:t>
            </w:r>
            <w:r>
              <w:rPr>
                <w:rFonts w:hint="eastAsia" w:ascii="Times New Roman" w:hAnsi="Times New Roman" w:cs="Times New Roman"/>
                <w:color w:val="auto"/>
                <w:kern w:val="0"/>
                <w:sz w:val="24"/>
                <w:highlight w:val="none"/>
                <w:lang w:bidi="ar"/>
              </w:rPr>
              <w:t>产生量为</w:t>
            </w:r>
            <w:r>
              <w:rPr>
                <w:rFonts w:hint="eastAsia" w:cs="Times New Roman"/>
                <w:color w:val="auto"/>
                <w:kern w:val="0"/>
                <w:sz w:val="24"/>
                <w:highlight w:val="none"/>
                <w:lang w:val="en-US" w:eastAsia="zh-CN" w:bidi="ar"/>
              </w:rPr>
              <w:t>3.8057t/a×3%=0.1142</w:t>
            </w:r>
            <w:r>
              <w:rPr>
                <w:rFonts w:hint="eastAsia" w:ascii="Times New Roman" w:hAnsi="Times New Roman" w:cs="Times New Roman"/>
                <w:color w:val="auto"/>
                <w:kern w:val="0"/>
                <w:sz w:val="24"/>
                <w:highlight w:val="none"/>
                <w:lang w:bidi="ar"/>
              </w:rPr>
              <w:t>t/a</w:t>
            </w:r>
            <w:r>
              <w:rPr>
                <w:rFonts w:ascii="Times New Roman" w:hAnsi="Times New Roman" w:cs="Times New Roman"/>
                <w:color w:val="auto"/>
                <w:kern w:val="0"/>
                <w:sz w:val="24"/>
                <w:highlight w:val="none"/>
                <w:lang w:bidi="ar"/>
              </w:rPr>
              <w:t>，根据《国家危险废物名录》</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5</w:t>
            </w:r>
            <w:r>
              <w:rPr>
                <w:rFonts w:ascii="Times New Roman" w:hAnsi="Times New Roman" w:cs="Times New Roman"/>
                <w:color w:val="auto"/>
                <w:kern w:val="0"/>
                <w:sz w:val="24"/>
                <w:highlight w:val="none"/>
                <w:lang w:bidi="ar"/>
              </w:rPr>
              <w:t>年版</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w:t>
            </w:r>
            <w:r>
              <w:rPr>
                <w:rFonts w:hint="eastAsia" w:ascii="Times New Roman" w:hAnsi="Times New Roman" w:cs="Times New Roman"/>
                <w:color w:val="auto"/>
                <w:kern w:val="0"/>
                <w:sz w:val="24"/>
                <w:highlight w:val="none"/>
                <w:lang w:eastAsia="zh-CN" w:bidi="ar"/>
              </w:rPr>
              <w:t>铝浮渣</w:t>
            </w:r>
            <w:r>
              <w:rPr>
                <w:rFonts w:hint="eastAsia" w:cs="Times New Roman"/>
                <w:color w:val="auto"/>
                <w:kern w:val="0"/>
                <w:sz w:val="24"/>
                <w:highlight w:val="none"/>
                <w:lang w:eastAsia="zh-CN" w:bidi="ar"/>
              </w:rPr>
              <w:t>属于</w:t>
            </w:r>
            <w:r>
              <w:rPr>
                <w:rFonts w:hint="default" w:ascii="Times New Roman" w:hAnsi="Times New Roman" w:cs="Times New Roman"/>
                <w:color w:val="000000"/>
                <w:sz w:val="24"/>
                <w:szCs w:val="24"/>
                <w:lang w:val="en-US" w:eastAsia="zh-CN" w:bidi="ar"/>
              </w:rPr>
              <w:t>危险废物，废物类别为</w:t>
            </w:r>
            <w:r>
              <w:rPr>
                <w:rFonts w:hint="default" w:ascii="Times New Roman" w:hAnsi="Times New Roman" w:cs="Times New Roman"/>
                <w:b w:val="0"/>
                <w:bCs w:val="0"/>
                <w:color w:val="000000"/>
                <w:sz w:val="24"/>
                <w:szCs w:val="24"/>
                <w:lang w:val="en-US" w:eastAsia="zh-CN" w:bidi="ar"/>
              </w:rPr>
              <w:t>HW48</w:t>
            </w:r>
            <w:r>
              <w:rPr>
                <w:rFonts w:hint="eastAsia" w:ascii="Times New Roman" w:hAnsi="Times New Roman" w:cs="Times New Roman"/>
                <w:color w:val="000000"/>
                <w:sz w:val="24"/>
                <w:szCs w:val="24"/>
                <w:lang w:val="en-US" w:eastAsia="zh-CN" w:bidi="ar"/>
              </w:rPr>
              <w:t>有色金属冶炼废物</w:t>
            </w:r>
            <w:r>
              <w:rPr>
                <w:rFonts w:hint="default" w:ascii="Times New Roman" w:hAnsi="Times New Roman" w:cs="Times New Roman"/>
                <w:color w:val="000000"/>
                <w:sz w:val="24"/>
                <w:szCs w:val="24"/>
                <w:lang w:val="en-US" w:eastAsia="zh-CN" w:bidi="ar"/>
              </w:rPr>
              <w:t>，</w:t>
            </w:r>
            <w:r>
              <w:rPr>
                <w:rFonts w:hint="default" w:ascii="Times New Roman" w:hAnsi="Times New Roman" w:cs="Times New Roman"/>
                <w:b w:val="0"/>
                <w:bCs w:val="0"/>
                <w:color w:val="000000"/>
                <w:sz w:val="24"/>
                <w:szCs w:val="24"/>
                <w:lang w:val="en-US" w:eastAsia="zh-CN" w:bidi="ar"/>
              </w:rPr>
              <w:t>废物代码321-026-48。</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014255D4">
            <w:pPr>
              <w:widowControl/>
              <w:spacing w:line="360" w:lineRule="auto"/>
              <w:ind w:firstLine="480" w:firstLineChars="200"/>
              <w:jc w:val="left"/>
              <w:rPr>
                <w:rFonts w:hint="eastAsia"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②脱模剂废包装桶</w:t>
            </w:r>
          </w:p>
          <w:p w14:paraId="5BD89B9F">
            <w:pPr>
              <w:widowControl/>
              <w:spacing w:line="360" w:lineRule="auto"/>
              <w:ind w:firstLine="480" w:firstLineChars="200"/>
              <w:jc w:val="left"/>
              <w:rPr>
                <w:rFonts w:hint="eastAsia"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项目使用脱模剂，会产生脱模剂废包装桶，产生量约</w:t>
            </w:r>
            <w:r>
              <w:rPr>
                <w:rFonts w:hint="default" w:cs="Times New Roman"/>
                <w:strike w:val="0"/>
                <w:dstrike w:val="0"/>
                <w:color w:val="000000" w:themeColor="text1"/>
                <w:sz w:val="24"/>
                <w:lang w:val="en-US" w:eastAsia="zh-CN"/>
                <w14:textFill>
                  <w14:solidFill>
                    <w14:schemeClr w14:val="tx1"/>
                  </w14:solidFill>
                </w14:textFill>
              </w:rPr>
              <w:t>0.</w:t>
            </w:r>
            <w:r>
              <w:rPr>
                <w:rFonts w:hint="eastAsia" w:cs="Times New Roman"/>
                <w:strike w:val="0"/>
                <w:dstrike w:val="0"/>
                <w:color w:val="000000" w:themeColor="text1"/>
                <w:sz w:val="24"/>
                <w:lang w:val="en-US" w:eastAsia="zh-CN"/>
                <w14:textFill>
                  <w14:solidFill>
                    <w14:schemeClr w14:val="tx1"/>
                  </w14:solidFill>
                </w14:textFill>
              </w:rPr>
              <w:t>05</w:t>
            </w:r>
            <w:r>
              <w:rPr>
                <w:rFonts w:hint="default" w:cs="Times New Roman"/>
                <w:strike w:val="0"/>
                <w:dstrike w:val="0"/>
                <w:color w:val="000000" w:themeColor="text1"/>
                <w:sz w:val="24"/>
                <w:lang w:val="en-US" w:eastAsia="zh-CN"/>
                <w14:textFill>
                  <w14:solidFill>
                    <w14:schemeClr w14:val="tx1"/>
                  </w14:solidFill>
                </w14:textFill>
              </w:rPr>
              <w:t>t/a</w:t>
            </w:r>
            <w:r>
              <w:rPr>
                <w:rFonts w:hint="eastAsia" w:cs="Times New Roman"/>
                <w:strike w:val="0"/>
                <w:dstrike w:val="0"/>
                <w:color w:val="000000" w:themeColor="text1"/>
                <w:sz w:val="24"/>
                <w:lang w:val="en-US" w:eastAsia="zh-CN"/>
                <w14:textFill>
                  <w14:solidFill>
                    <w14:schemeClr w14:val="tx1"/>
                  </w14:solidFill>
                </w14:textFill>
              </w:rPr>
              <w:t>，</w:t>
            </w:r>
            <w:r>
              <w:rPr>
                <w:rFonts w:ascii="Times New Roman" w:hAnsi="Times New Roman" w:cs="Times New Roman"/>
                <w:color w:val="auto"/>
                <w:kern w:val="0"/>
                <w:sz w:val="24"/>
                <w:highlight w:val="none"/>
                <w:lang w:bidi="ar"/>
              </w:rPr>
              <w:t>根据《国家危险废物名录》</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5</w:t>
            </w:r>
            <w:r>
              <w:rPr>
                <w:rFonts w:ascii="Times New Roman" w:hAnsi="Times New Roman" w:cs="Times New Roman"/>
                <w:color w:val="auto"/>
                <w:kern w:val="0"/>
                <w:sz w:val="24"/>
                <w:highlight w:val="none"/>
                <w:lang w:bidi="ar"/>
              </w:rPr>
              <w:t>年版</w:t>
            </w:r>
            <w:r>
              <w:rPr>
                <w:rFonts w:hint="eastAsia" w:cs="Times New Roman"/>
                <w:color w:val="auto"/>
                <w:kern w:val="0"/>
                <w:sz w:val="24"/>
                <w:highlight w:val="none"/>
                <w:lang w:eastAsia="zh-CN" w:bidi="ar"/>
              </w:rPr>
              <w:t>）</w:t>
            </w:r>
            <w:r>
              <w:rPr>
                <w:rFonts w:hint="eastAsia" w:cs="Times New Roman"/>
                <w:strike w:val="0"/>
                <w:dstrike w:val="0"/>
                <w:color w:val="000000" w:themeColor="text1"/>
                <w:sz w:val="24"/>
                <w:lang w:val="en-US" w:eastAsia="zh-CN"/>
                <w14:textFill>
                  <w14:solidFill>
                    <w14:schemeClr w14:val="tx1"/>
                  </w14:solidFill>
                </w14:textFill>
              </w:rPr>
              <w:t>，脱模剂废包装桶属于危险废物，危废类别为</w:t>
            </w:r>
            <w:r>
              <w:rPr>
                <w:rFonts w:hint="default" w:cs="Times New Roman"/>
                <w:strike w:val="0"/>
                <w:dstrike w:val="0"/>
                <w:color w:val="000000" w:themeColor="text1"/>
                <w:sz w:val="24"/>
                <w:lang w:val="en-US" w:eastAsia="zh-CN"/>
                <w14:textFill>
                  <w14:solidFill>
                    <w14:schemeClr w14:val="tx1"/>
                  </w14:solidFill>
                </w14:textFill>
              </w:rPr>
              <w:t>HW49</w:t>
            </w:r>
            <w:r>
              <w:rPr>
                <w:rFonts w:hint="eastAsia" w:cs="Times New Roman"/>
                <w:strike w:val="0"/>
                <w:dstrike w:val="0"/>
                <w:color w:val="000000" w:themeColor="text1"/>
                <w:sz w:val="24"/>
                <w:lang w:val="en-US" w:eastAsia="zh-CN"/>
                <w14:textFill>
                  <w14:solidFill>
                    <w14:schemeClr w14:val="tx1"/>
                  </w14:solidFill>
                </w14:textFill>
              </w:rPr>
              <w:t xml:space="preserve">其他废物，危废代码 </w:t>
            </w:r>
            <w:r>
              <w:rPr>
                <w:rFonts w:hint="default" w:cs="Times New Roman"/>
                <w:strike w:val="0"/>
                <w:dstrike w:val="0"/>
                <w:color w:val="000000" w:themeColor="text1"/>
                <w:sz w:val="24"/>
                <w:lang w:val="en-US" w:eastAsia="zh-CN"/>
                <w14:textFill>
                  <w14:solidFill>
                    <w14:schemeClr w14:val="tx1"/>
                  </w14:solidFill>
                </w14:textFill>
              </w:rPr>
              <w:t>900-041-49</w:t>
            </w:r>
            <w:r>
              <w:rPr>
                <w:rFonts w:hint="eastAsia" w:cs="Times New Roman"/>
                <w:strike w:val="0"/>
                <w:dstrike w:val="0"/>
                <w:color w:val="000000" w:themeColor="text1"/>
                <w:sz w:val="24"/>
                <w:lang w:val="en-US" w:eastAsia="zh-CN"/>
                <w14:textFill>
                  <w14:solidFill>
                    <w14:schemeClr w14:val="tx1"/>
                  </w14:solidFill>
                </w14:textFill>
              </w:rPr>
              <w:t>。收集后暂存于危险废物贮存库，委托有危废资质单位回收处置。</w:t>
            </w:r>
          </w:p>
          <w:p w14:paraId="72515F15">
            <w:pPr>
              <w:widowControl/>
              <w:spacing w:line="360" w:lineRule="auto"/>
              <w:ind w:firstLine="480" w:firstLineChars="200"/>
              <w:jc w:val="left"/>
              <w:rPr>
                <w:rFonts w:hint="default"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③废切削液及金属渣</w:t>
            </w:r>
          </w:p>
          <w:p w14:paraId="47565FE5">
            <w:pPr>
              <w:widowControl/>
              <w:spacing w:line="360" w:lineRule="auto"/>
              <w:ind w:firstLine="480" w:firstLineChars="200"/>
              <w:jc w:val="left"/>
              <w:rPr>
                <w:rFonts w:hint="default"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机加工设备润滑、冷却使用水基切削液，长期使用会沾染粉尘等杂质，需要定期进行更换，产生的废切削液约为原料的</w:t>
            </w:r>
            <w:r>
              <w:rPr>
                <w:rFonts w:hint="default" w:cs="Times New Roman"/>
                <w:strike w:val="0"/>
                <w:dstrike w:val="0"/>
                <w:color w:val="000000" w:themeColor="text1"/>
                <w:sz w:val="24"/>
                <w:lang w:val="en-US" w:eastAsia="zh-CN"/>
                <w14:textFill>
                  <w14:solidFill>
                    <w14:schemeClr w14:val="tx1"/>
                  </w14:solidFill>
                </w14:textFill>
              </w:rPr>
              <w:t>40%</w:t>
            </w:r>
            <w:r>
              <w:rPr>
                <w:rFonts w:hint="eastAsia" w:cs="Times New Roman"/>
                <w:strike w:val="0"/>
                <w:dstrike w:val="0"/>
                <w:color w:val="000000" w:themeColor="text1"/>
                <w:sz w:val="24"/>
                <w:lang w:val="en-US" w:eastAsia="zh-CN"/>
                <w14:textFill>
                  <w14:solidFill>
                    <w14:schemeClr w14:val="tx1"/>
                  </w14:solidFill>
                </w14:textFill>
              </w:rPr>
              <w:t>，本项目</w:t>
            </w:r>
            <w:r>
              <w:rPr>
                <w:rFonts w:hint="eastAsia" w:cs="Times New Roman"/>
                <w:strike w:val="0"/>
                <w:dstrike w:val="0"/>
                <w:color w:val="000000" w:themeColor="text1"/>
                <w:sz w:val="24"/>
                <w:highlight w:val="none"/>
                <w:lang w:val="en-US" w:eastAsia="zh-CN"/>
                <w14:textFill>
                  <w14:solidFill>
                    <w14:schemeClr w14:val="tx1"/>
                  </w14:solidFill>
                </w14:textFill>
              </w:rPr>
              <w:t>水基切削液</w:t>
            </w:r>
            <w:r>
              <w:rPr>
                <w:rFonts w:hint="eastAsia" w:cs="Times New Roman"/>
                <w:strike w:val="0"/>
                <w:dstrike w:val="0"/>
                <w:color w:val="000000" w:themeColor="text1"/>
                <w:sz w:val="24"/>
                <w:lang w:val="en-US" w:eastAsia="zh-CN"/>
                <w14:textFill>
                  <w14:solidFill>
                    <w14:schemeClr w14:val="tx1"/>
                  </w14:solidFill>
                </w14:textFill>
              </w:rPr>
              <w:t>用量为</w:t>
            </w:r>
            <w:r>
              <w:rPr>
                <w:rFonts w:hint="default" w:cs="Times New Roman"/>
                <w:strike w:val="0"/>
                <w:dstrike w:val="0"/>
                <w:color w:val="000000" w:themeColor="text1"/>
                <w:sz w:val="24"/>
                <w:highlight w:val="none"/>
                <w:lang w:val="en-US" w:eastAsia="zh-CN"/>
                <w14:textFill>
                  <w14:solidFill>
                    <w14:schemeClr w14:val="tx1"/>
                  </w14:solidFill>
                </w14:textFill>
              </w:rPr>
              <w:t>0.5t/a</w:t>
            </w:r>
            <w:r>
              <w:rPr>
                <w:rFonts w:hint="eastAsia" w:cs="Times New Roman"/>
                <w:strike w:val="0"/>
                <w:dstrike w:val="0"/>
                <w:color w:val="000000" w:themeColor="text1"/>
                <w:sz w:val="24"/>
                <w:lang w:val="en-US" w:eastAsia="zh-CN"/>
                <w14:textFill>
                  <w14:solidFill>
                    <w14:schemeClr w14:val="tx1"/>
                  </w14:solidFill>
                </w14:textFill>
              </w:rPr>
              <w:t>，则废切削液及金属渣产生量约</w:t>
            </w:r>
            <w:r>
              <w:rPr>
                <w:rFonts w:hint="default" w:cs="Times New Roman"/>
                <w:strike w:val="0"/>
                <w:dstrike w:val="0"/>
                <w:color w:val="000000" w:themeColor="text1"/>
                <w:sz w:val="24"/>
                <w:lang w:val="en-US" w:eastAsia="zh-CN"/>
                <w14:textFill>
                  <w14:solidFill>
                    <w14:schemeClr w14:val="tx1"/>
                  </w14:solidFill>
                </w14:textFill>
              </w:rPr>
              <w:t>0.</w:t>
            </w:r>
            <w:r>
              <w:rPr>
                <w:rFonts w:hint="eastAsia" w:cs="Times New Roman"/>
                <w:strike w:val="0"/>
                <w:dstrike w:val="0"/>
                <w:color w:val="000000" w:themeColor="text1"/>
                <w:sz w:val="24"/>
                <w:lang w:val="en-US" w:eastAsia="zh-CN"/>
                <w14:textFill>
                  <w14:solidFill>
                    <w14:schemeClr w14:val="tx1"/>
                  </w14:solidFill>
                </w14:textFill>
              </w:rPr>
              <w:t>2</w:t>
            </w:r>
            <w:r>
              <w:rPr>
                <w:rFonts w:hint="default" w:cs="Times New Roman"/>
                <w:strike w:val="0"/>
                <w:dstrike w:val="0"/>
                <w:color w:val="000000" w:themeColor="text1"/>
                <w:sz w:val="24"/>
                <w:lang w:val="en-US" w:eastAsia="zh-CN"/>
                <w14:textFill>
                  <w14:solidFill>
                    <w14:schemeClr w14:val="tx1"/>
                  </w14:solidFill>
                </w14:textFill>
              </w:rPr>
              <w:t>t/a</w:t>
            </w:r>
            <w:r>
              <w:rPr>
                <w:rFonts w:hint="eastAsia" w:cs="Times New Roman"/>
                <w:strike w:val="0"/>
                <w:dstrike w:val="0"/>
                <w:color w:val="000000" w:themeColor="text1"/>
                <w:sz w:val="24"/>
                <w:lang w:val="en-US" w:eastAsia="zh-CN"/>
                <w14:textFill>
                  <w14:solidFill>
                    <w14:schemeClr w14:val="tx1"/>
                  </w14:solidFill>
                </w14:textFill>
              </w:rPr>
              <w:t>。</w:t>
            </w:r>
            <w:r>
              <w:rPr>
                <w:rFonts w:ascii="Times New Roman" w:hAnsi="Times New Roman" w:cs="Times New Roman"/>
                <w:color w:val="auto"/>
                <w:kern w:val="0"/>
                <w:sz w:val="24"/>
                <w:highlight w:val="none"/>
                <w:lang w:bidi="ar"/>
              </w:rPr>
              <w:t>根据《国家危险废物名录》</w:t>
            </w:r>
            <w:r>
              <w:rPr>
                <w:rFonts w:hint="eastAsia" w:cs="Times New Roman"/>
                <w:color w:val="auto"/>
                <w:kern w:val="0"/>
                <w:sz w:val="24"/>
                <w:highlight w:val="none"/>
                <w:lang w:eastAsia="zh-CN" w:bidi="ar"/>
              </w:rPr>
              <w:t>（</w:t>
            </w:r>
            <w:r>
              <w:rPr>
                <w:rFonts w:ascii="Times New Roman" w:hAnsi="Times New Roman" w:cs="Times New Roman"/>
                <w:color w:val="auto"/>
                <w:kern w:val="0"/>
                <w:sz w:val="24"/>
                <w:highlight w:val="none"/>
                <w:lang w:bidi="ar"/>
              </w:rPr>
              <w:t>202</w:t>
            </w:r>
            <w:r>
              <w:rPr>
                <w:rFonts w:hint="eastAsia" w:cs="Times New Roman"/>
                <w:color w:val="auto"/>
                <w:kern w:val="0"/>
                <w:sz w:val="24"/>
                <w:highlight w:val="none"/>
                <w:lang w:val="en-US" w:eastAsia="zh-CN" w:bidi="ar"/>
              </w:rPr>
              <w:t>5</w:t>
            </w:r>
            <w:r>
              <w:rPr>
                <w:rFonts w:ascii="Times New Roman" w:hAnsi="Times New Roman" w:cs="Times New Roman"/>
                <w:color w:val="auto"/>
                <w:kern w:val="0"/>
                <w:sz w:val="24"/>
                <w:highlight w:val="none"/>
                <w:lang w:bidi="ar"/>
              </w:rPr>
              <w:t>年版</w:t>
            </w:r>
            <w:r>
              <w:rPr>
                <w:rFonts w:hint="eastAsia" w:cs="Times New Roman"/>
                <w:color w:val="auto"/>
                <w:kern w:val="0"/>
                <w:sz w:val="24"/>
                <w:highlight w:val="none"/>
                <w:lang w:eastAsia="zh-CN" w:bidi="ar"/>
              </w:rPr>
              <w:t>）</w:t>
            </w:r>
            <w:r>
              <w:rPr>
                <w:rFonts w:hint="eastAsia" w:cs="Times New Roman"/>
                <w:strike w:val="0"/>
                <w:dstrike w:val="0"/>
                <w:color w:val="000000" w:themeColor="text1"/>
                <w:sz w:val="24"/>
                <w:lang w:val="en-US" w:eastAsia="zh-CN"/>
                <w14:textFill>
                  <w14:solidFill>
                    <w14:schemeClr w14:val="tx1"/>
                  </w14:solidFill>
                </w14:textFill>
              </w:rPr>
              <w:t>，废切削液属于危险废物，危废类别为</w:t>
            </w:r>
            <w:r>
              <w:rPr>
                <w:rFonts w:hint="default" w:cs="Times New Roman"/>
                <w:strike w:val="0"/>
                <w:dstrike w:val="0"/>
                <w:color w:val="000000" w:themeColor="text1"/>
                <w:sz w:val="24"/>
                <w:lang w:val="en-US" w:eastAsia="zh-CN"/>
                <w14:textFill>
                  <w14:solidFill>
                    <w14:schemeClr w14:val="tx1"/>
                  </w14:solidFill>
                </w14:textFill>
              </w:rPr>
              <w:t xml:space="preserve">HW09 </w:t>
            </w:r>
            <w:r>
              <w:rPr>
                <w:rFonts w:hint="eastAsia" w:cs="Times New Roman"/>
                <w:strike w:val="0"/>
                <w:dstrike w:val="0"/>
                <w:color w:val="000000" w:themeColor="text1"/>
                <w:sz w:val="24"/>
                <w:lang w:val="en-US" w:eastAsia="zh-CN"/>
                <w14:textFill>
                  <w14:solidFill>
                    <w14:schemeClr w14:val="tx1"/>
                  </w14:solidFill>
                </w14:textFill>
              </w:rPr>
              <w:t>油</w:t>
            </w:r>
            <w:r>
              <w:rPr>
                <w:rFonts w:hint="default" w:cs="Times New Roman"/>
                <w:strike w:val="0"/>
                <w:dstrike w:val="0"/>
                <w:color w:val="000000" w:themeColor="text1"/>
                <w:sz w:val="24"/>
                <w:lang w:val="en-US" w:eastAsia="zh-CN"/>
                <w14:textFill>
                  <w14:solidFill>
                    <w14:schemeClr w14:val="tx1"/>
                  </w14:solidFill>
                </w14:textFill>
              </w:rPr>
              <w:t>/</w:t>
            </w:r>
            <w:r>
              <w:rPr>
                <w:rFonts w:hint="eastAsia" w:cs="Times New Roman"/>
                <w:strike w:val="0"/>
                <w:dstrike w:val="0"/>
                <w:color w:val="000000" w:themeColor="text1"/>
                <w:sz w:val="24"/>
                <w:lang w:val="en-US" w:eastAsia="zh-CN"/>
                <w14:textFill>
                  <w14:solidFill>
                    <w14:schemeClr w14:val="tx1"/>
                  </w14:solidFill>
                </w14:textFill>
              </w:rPr>
              <w:t>水、烃</w:t>
            </w:r>
            <w:r>
              <w:rPr>
                <w:rFonts w:hint="default" w:cs="Times New Roman"/>
                <w:strike w:val="0"/>
                <w:dstrike w:val="0"/>
                <w:color w:val="000000" w:themeColor="text1"/>
                <w:sz w:val="24"/>
                <w:lang w:val="en-US" w:eastAsia="zh-CN"/>
                <w14:textFill>
                  <w14:solidFill>
                    <w14:schemeClr w14:val="tx1"/>
                  </w14:solidFill>
                </w14:textFill>
              </w:rPr>
              <w:t>/</w:t>
            </w:r>
            <w:r>
              <w:rPr>
                <w:rFonts w:hint="eastAsia" w:cs="Times New Roman"/>
                <w:strike w:val="0"/>
                <w:dstrike w:val="0"/>
                <w:color w:val="000000" w:themeColor="text1"/>
                <w:sz w:val="24"/>
                <w:lang w:val="en-US" w:eastAsia="zh-CN"/>
                <w14:textFill>
                  <w14:solidFill>
                    <w14:schemeClr w14:val="tx1"/>
                  </w14:solidFill>
                </w14:textFill>
              </w:rPr>
              <w:t>水混合物或乳化液，危废代码为</w:t>
            </w:r>
            <w:r>
              <w:rPr>
                <w:rFonts w:hint="default" w:cs="Times New Roman"/>
                <w:strike w:val="0"/>
                <w:dstrike w:val="0"/>
                <w:color w:val="000000" w:themeColor="text1"/>
                <w:sz w:val="24"/>
                <w:lang w:val="en-US" w:eastAsia="zh-CN"/>
                <w14:textFill>
                  <w14:solidFill>
                    <w14:schemeClr w14:val="tx1"/>
                  </w14:solidFill>
                </w14:textFill>
              </w:rPr>
              <w:t>900-006-09</w:t>
            </w:r>
            <w:r>
              <w:rPr>
                <w:rFonts w:hint="eastAsia" w:cs="Times New Roman"/>
                <w:strike w:val="0"/>
                <w:dstrike w:val="0"/>
                <w:color w:val="000000" w:themeColor="text1"/>
                <w:sz w:val="24"/>
                <w:lang w:val="en-US" w:eastAsia="zh-CN"/>
                <w14:textFill>
                  <w14:solidFill>
                    <w14:schemeClr w14:val="tx1"/>
                  </w14:solidFill>
                </w14:textFill>
              </w:rPr>
              <w:t>，由原料空桶进行密封储存并暂存于危险废物贮存库，委托有危废资质单位回收处置。</w:t>
            </w:r>
          </w:p>
          <w:p w14:paraId="1A0BE328">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④</w:t>
            </w:r>
            <w:r>
              <w:rPr>
                <w:rFonts w:hint="default" w:ascii="Times New Roman" w:hAnsi="Times New Roman" w:eastAsia="宋体" w:cs="Times New Roman"/>
                <w:strike w:val="0"/>
                <w:dstrike w:val="0"/>
                <w:color w:val="000000" w:themeColor="text1"/>
                <w:sz w:val="24"/>
                <w14:textFill>
                  <w14:solidFill>
                    <w14:schemeClr w14:val="tx1"/>
                  </w14:solidFill>
                </w14:textFill>
              </w:rPr>
              <w:t>废活性炭</w:t>
            </w:r>
          </w:p>
          <w:p w14:paraId="32A249D2">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根据中国建筑出版社</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1997</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出版的《简明通风设计手册》第十章中关于活性吸附处理治理废气的方法中提供的数据：每1.0kg活性炭吸附</w:t>
            </w:r>
            <w:r>
              <w:rPr>
                <w:rFonts w:hint="eastAsia" w:cs="Times New Roman"/>
                <w:strike w:val="0"/>
                <w:dstrike w:val="0"/>
                <w:color w:val="000000" w:themeColor="text1"/>
                <w:sz w:val="24"/>
                <w:lang w:val="en-US" w:eastAsia="zh-CN"/>
                <w14:textFill>
                  <w14:solidFill>
                    <w14:schemeClr w14:val="tx1"/>
                  </w14:solidFill>
                </w14:textFill>
              </w:rPr>
              <w:t>生产</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废气的平衡量为0.43～0.61kg，本项目按1t活性炭吸附</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0.3</w:t>
            </w:r>
            <w:r>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t>t有机废气计算，</w:t>
            </w:r>
            <w:r>
              <w:rPr>
                <w:rFonts w:hint="default" w:ascii="Times New Roman" w:hAnsi="Times New Roman" w:eastAsia="宋体" w:cs="Times New Roman"/>
                <w:strike w:val="0"/>
                <w:dstrike w:val="0"/>
                <w:color w:val="000000" w:themeColor="text1"/>
                <w:sz w:val="24"/>
                <w:lang w:val="zh-CN" w:eastAsia="zh-CN"/>
                <w14:textFill>
                  <w14:solidFill>
                    <w14:schemeClr w14:val="tx1"/>
                  </w14:solidFill>
                </w14:textFill>
              </w:rPr>
              <w:t>根据前文产排污分</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析可知，项目有组织</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净化了</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06075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，本项目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废气采用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活性炭吸附装置</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净化处理，则预计项目年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量为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06075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t/a÷0.3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+0.</w:t>
            </w:r>
            <w:r>
              <w:rPr>
                <w:rFonts w:hint="eastAsia" w:cs="Times New Roman"/>
                <w:bCs/>
                <w:color w:val="000000" w:themeColor="text1"/>
                <w:sz w:val="24"/>
                <w:highlight w:val="none"/>
                <w:lang w:val="en-US" w:eastAsia="zh-CN"/>
                <w14:textFill>
                  <w14:solidFill>
                    <w14:schemeClr w14:val="tx1"/>
                  </w14:solidFill>
                </w14:textFill>
              </w:rPr>
              <w:t>06075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0.2633</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活性炭的填充量为</w:t>
            </w:r>
            <w:r>
              <w:rPr>
                <w:rFonts w:hint="eastAsia" w:cs="Times New Roman"/>
                <w:bCs/>
                <w:color w:val="000000" w:themeColor="text1"/>
                <w:sz w:val="24"/>
                <w:highlight w:val="none"/>
                <w:lang w:val="en-US" w:eastAsia="zh-CN"/>
                <w14:textFill>
                  <w14:solidFill>
                    <w14:schemeClr w14:val="tx1"/>
                  </w14:solidFill>
                </w14:textFill>
              </w:rPr>
              <w:t>0.4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，项目计划</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每</w:t>
            </w:r>
            <w:r>
              <w:rPr>
                <w:rFonts w:hint="eastAsia" w:cs="Times New Roman"/>
                <w:bCs/>
                <w:color w:val="000000" w:themeColor="text1"/>
                <w:sz w:val="24"/>
                <w:highlight w:val="none"/>
                <w:lang w:val="en-US" w:eastAsia="zh-CN"/>
                <w14:textFill>
                  <w14:solidFill>
                    <w14:schemeClr w14:val="tx1"/>
                  </w14:solidFill>
                </w14:textFill>
              </w:rPr>
              <w:t>六</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个月更换一次活性炭吸附填料，确保项目</w:t>
            </w:r>
            <w:r>
              <w:rPr>
                <w:rFonts w:hint="eastAsia" w:cs="Times New Roman"/>
                <w:bCs/>
                <w:color w:val="000000" w:themeColor="text1"/>
                <w:sz w:val="24"/>
                <w:highlight w:val="no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4"/>
                <w:highlight w:val="none"/>
                <w:lang w:val="zh-CN" w:eastAsia="zh-CN"/>
                <w14:textFill>
                  <w14:solidFill>
                    <w14:schemeClr w14:val="tx1"/>
                  </w14:solidFill>
                </w14:textFill>
              </w:rPr>
              <w:t>废气达标排放</w:t>
            </w:r>
            <w:r>
              <w:rPr>
                <w:rFonts w:hint="eastAsia" w:ascii="Times New Roman" w:hAnsi="Times New Roman" w:eastAsia="宋体" w:cs="Times New Roman"/>
                <w:bCs/>
                <w:color w:val="000000" w:themeColor="text1"/>
                <w:sz w:val="24"/>
                <w:highlight w:val="none"/>
                <w:lang w:val="zh-CN"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根据《国家危险废物名录》</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年版</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，废活性炭属于危险废物，废物类别为HW49其他废物，废物代码900-039-49</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妥善收集后</w:t>
            </w:r>
            <w:r>
              <w:rPr>
                <w:rFonts w:hint="eastAsia" w:ascii="Times New Roman" w:hAnsi="Times New Roman" w:eastAsia="宋体" w:cs="Times New Roman"/>
                <w:bCs/>
                <w:color w:val="000000" w:themeColor="text1"/>
                <w:sz w:val="24"/>
                <w:highlight w:val="none"/>
                <w14:textFill>
                  <w14:solidFill>
                    <w14:schemeClr w14:val="tx1"/>
                  </w14:solidFill>
                </w14:textFill>
              </w:rPr>
              <w:t>暂存于危险废物</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贮存库，定期委托有资质单位处置。</w:t>
            </w:r>
          </w:p>
          <w:p w14:paraId="4FDBCCC3">
            <w:pPr>
              <w:widowControl/>
              <w:spacing w:line="360" w:lineRule="auto"/>
              <w:ind w:firstLine="480" w:firstLineChars="200"/>
              <w:jc w:val="left"/>
              <w:rPr>
                <w:rFonts w:hint="default" w:ascii="Times New Roman" w:hAnsi="Times New Roman" w:eastAsia="宋体" w:cs="Times New Roman"/>
                <w:strike w:val="0"/>
                <w:dstrike w:val="0"/>
                <w:color w:val="000000" w:themeColor="text1"/>
                <w:sz w:val="24"/>
                <w:lang w:val="en-US" w:eastAsia="zh-CN"/>
                <w14:textFill>
                  <w14:solidFill>
                    <w14:schemeClr w14:val="tx1"/>
                  </w14:solidFill>
                </w14:textFill>
              </w:rPr>
            </w:pPr>
            <w:r>
              <w:rPr>
                <w:rFonts w:hint="eastAsia" w:cs="Times New Roman"/>
                <w:strike w:val="0"/>
                <w:dstrike w:val="0"/>
                <w:color w:val="000000" w:themeColor="text1"/>
                <w:sz w:val="24"/>
                <w:lang w:val="en-US" w:eastAsia="zh-CN"/>
                <w14:textFill>
                  <w14:solidFill>
                    <w14:schemeClr w14:val="tx1"/>
                  </w14:solidFill>
                </w14:textFill>
              </w:rPr>
              <w:t>⑤</w:t>
            </w:r>
            <w:r>
              <w:rPr>
                <w:rFonts w:hint="eastAsia" w:ascii="Times New Roman" w:hAnsi="Times New Roman" w:eastAsia="宋体" w:cs="Times New Roman"/>
                <w:strike w:val="0"/>
                <w:dstrike w:val="0"/>
                <w:color w:val="000000" w:themeColor="text1"/>
                <w:sz w:val="24"/>
                <w:lang w:val="en-US" w:eastAsia="zh-CN"/>
                <w14:textFill>
                  <w14:solidFill>
                    <w14:schemeClr w14:val="tx1"/>
                  </w14:solidFill>
                </w14:textFill>
              </w:rPr>
              <w:t>废机油</w:t>
            </w:r>
            <w:r>
              <w:rPr>
                <w:rFonts w:hint="eastAsia" w:cs="Times New Roman"/>
                <w:strike w:val="0"/>
                <w:dstrike w:val="0"/>
                <w:color w:val="000000" w:themeColor="text1"/>
                <w:sz w:val="24"/>
                <w:lang w:val="en-US" w:eastAsia="zh-CN"/>
                <w14:textFill>
                  <w14:solidFill>
                    <w14:schemeClr w14:val="tx1"/>
                  </w14:solidFill>
                </w14:textFill>
              </w:rPr>
              <w:t>、废液压油</w:t>
            </w:r>
          </w:p>
          <w:p w14:paraId="7013C0E9">
            <w:pPr>
              <w:widowControl/>
              <w:spacing w:line="360" w:lineRule="auto"/>
              <w:ind w:firstLine="480" w:firstLineChars="200"/>
              <w:jc w:val="left"/>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本项目在设备检修维护过程会产生少量废机油，</w:t>
            </w:r>
            <w:r>
              <w:rPr>
                <w:rFonts w:hint="eastAsia" w:cs="Times New Roman"/>
                <w:bCs/>
                <w:color w:val="000000" w:themeColor="text1"/>
                <w:sz w:val="24"/>
                <w:highlight w:val="none"/>
                <w:lang w:val="en-US" w:eastAsia="zh-CN"/>
                <w14:textFill>
                  <w14:solidFill>
                    <w14:schemeClr w14:val="tx1"/>
                  </w14:solidFill>
                </w14:textFill>
              </w:rPr>
              <w:t>本项目年使用</w:t>
            </w:r>
            <w:r>
              <w:rPr>
                <w:rFonts w:hint="eastAsia" w:ascii="Times New Roman" w:hAnsi="Times New Roman" w:cs="Times New Roman"/>
                <w:color w:val="auto"/>
                <w:kern w:val="0"/>
                <w:sz w:val="24"/>
                <w:highlight w:val="none"/>
                <w:lang w:bidi="ar"/>
              </w:rPr>
              <w:t>压铸机液压油每年更换一次，每次更换量约为</w:t>
            </w:r>
            <w:r>
              <w:rPr>
                <w:rFonts w:hint="eastAsia" w:cs="Times New Roman"/>
                <w:color w:val="auto"/>
                <w:kern w:val="0"/>
                <w:sz w:val="24"/>
                <w:highlight w:val="none"/>
                <w:lang w:val="en-US" w:eastAsia="zh-CN" w:bidi="ar"/>
              </w:rPr>
              <w:t>0.3</w:t>
            </w:r>
            <w:r>
              <w:rPr>
                <w:rFonts w:hint="eastAsia" w:ascii="Times New Roman" w:hAnsi="Times New Roman" w:cs="Times New Roman"/>
                <w:color w:val="auto"/>
                <w:kern w:val="0"/>
                <w:sz w:val="24"/>
                <w:highlight w:val="none"/>
                <w:lang w:bidi="ar"/>
              </w:rPr>
              <w:t>t</w:t>
            </w:r>
            <w:r>
              <w:rPr>
                <w:rFonts w:hint="eastAsia" w:cs="Times New Roman"/>
                <w:bCs/>
                <w:color w:val="000000" w:themeColor="text1"/>
                <w:sz w:val="24"/>
                <w:highlight w:val="none"/>
                <w:lang w:val="en-US" w:eastAsia="zh-CN"/>
                <w14:textFill>
                  <w14:solidFill>
                    <w14:schemeClr w14:val="tx1"/>
                  </w14:solidFill>
                </w14:textFill>
              </w:rPr>
              <w:t>、机油使用量约0.4t/a。为合计约为0.7t/a</w:t>
            </w:r>
            <w:r>
              <w:rPr>
                <w:rFonts w:hint="eastAsia" w:ascii="Times New Roman" w:hAnsi="Times New Roman" w:cs="Times New Roman"/>
                <w:color w:val="auto"/>
                <w:kern w:val="0"/>
                <w:sz w:val="24"/>
                <w:highlight w:val="none"/>
                <w:lang w:bidi="ar"/>
              </w:rPr>
              <w:t>，折合每年0.</w:t>
            </w:r>
            <w:r>
              <w:rPr>
                <w:rFonts w:hint="eastAsia" w:cs="Times New Roman"/>
                <w:color w:val="auto"/>
                <w:kern w:val="0"/>
                <w:sz w:val="24"/>
                <w:highlight w:val="none"/>
                <w:lang w:val="en-US" w:eastAsia="zh-CN" w:bidi="ar"/>
              </w:rPr>
              <w:t>25</w:t>
            </w:r>
            <w:r>
              <w:rPr>
                <w:rFonts w:hint="eastAsia" w:ascii="Times New Roman" w:hAnsi="Times New Roman" w:cs="Times New Roman"/>
                <w:color w:val="auto"/>
                <w:kern w:val="0"/>
                <w:sz w:val="24"/>
                <w:highlight w:val="none"/>
                <w:lang w:bidi="ar"/>
              </w:rPr>
              <w:t>t/a，扣除机油消耗部分（约为使用量的20%），则项目平均年产废液压油0.</w:t>
            </w:r>
            <w:r>
              <w:rPr>
                <w:rFonts w:hint="eastAsia" w:cs="Times New Roman"/>
                <w:color w:val="auto"/>
                <w:kern w:val="0"/>
                <w:sz w:val="24"/>
                <w:highlight w:val="none"/>
                <w:lang w:val="en-US" w:eastAsia="zh-CN" w:bidi="ar"/>
              </w:rPr>
              <w:t>0</w:t>
            </w:r>
            <w:r>
              <w:rPr>
                <w:rFonts w:hint="eastAsia" w:ascii="Times New Roman" w:hAnsi="Times New Roman" w:cs="Times New Roman"/>
                <w:color w:val="auto"/>
                <w:kern w:val="0"/>
                <w:sz w:val="24"/>
                <w:highlight w:val="none"/>
                <w:lang w:bidi="ar"/>
              </w:rPr>
              <w:t>4t/a</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合计本项目年产生废机油、废液压油的量为0.16t/a。</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w:t>
            </w:r>
            <w:r>
              <w:rPr>
                <w:rFonts w:hint="eastAsia" w:cs="Times New Roman"/>
                <w:bCs/>
                <w:color w:val="000000" w:themeColor="text1"/>
                <w:sz w:val="24"/>
                <w:highlight w:val="none"/>
                <w:lang w:val="en-US" w:eastAsia="zh-CN"/>
                <w14:textFill>
                  <w14:solidFill>
                    <w14:schemeClr w14:val="tx1"/>
                  </w14:solidFill>
                </w14:textFill>
              </w:rPr>
              <w:t>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油</w:t>
            </w:r>
            <w:r>
              <w:rPr>
                <w:rFonts w:hint="eastAsia" w:cs="Times New Roman"/>
                <w:bCs/>
                <w:color w:val="000000" w:themeColor="text1"/>
                <w:sz w:val="24"/>
                <w:highlight w:val="none"/>
                <w:lang w:val="en-US" w:eastAsia="zh-CN"/>
                <w14:textFill>
                  <w14:solidFill>
                    <w14:schemeClr w14:val="tx1"/>
                  </w14:solidFill>
                </w14:textFill>
              </w:rPr>
              <w:t>、废液压油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属于《国家危险废物名录》（</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年版）中的</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类危废（</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900-217-08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HW08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废矿物油与含矿物油废物：</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900-21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-08</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车辆、轮船及其它机械维修过程中产生的废发动机油、制动器油、自动变速器油、齿轮油等废润滑油”。废机油统一收集后暂存于危险废物贮存库，后交由有资质单位进行处置。</w:t>
            </w:r>
          </w:p>
          <w:p w14:paraId="65A772FA">
            <w:pPr>
              <w:spacing w:line="360" w:lineRule="auto"/>
              <w:ind w:firstLine="480"/>
              <w:rPr>
                <w:rFonts w:hint="eastAsia"/>
                <w:color w:val="000000"/>
                <w:sz w:val="24"/>
                <w:lang w:val="en-US" w:eastAsia="zh-CN"/>
              </w:rPr>
            </w:pPr>
            <w:r>
              <w:rPr>
                <w:rFonts w:hint="eastAsia"/>
                <w:color w:val="000000"/>
                <w:sz w:val="24"/>
                <w:lang w:val="en-US" w:eastAsia="zh-CN"/>
              </w:rPr>
              <w:t>⑥循环水处理设施产生的污泥</w:t>
            </w:r>
          </w:p>
          <w:p w14:paraId="76846B91">
            <w:pPr>
              <w:spacing w:line="360" w:lineRule="auto"/>
              <w:ind w:firstLine="48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auto"/>
                <w:sz w:val="24"/>
                <w:szCs w:val="24"/>
                <w:highlight w:val="none"/>
                <w:lang w:val="en-US" w:eastAsia="zh-CN"/>
              </w:rPr>
              <w:t>根据4.2.1运营期废水源强分析</w:t>
            </w:r>
            <w:r>
              <w:rPr>
                <w:rFonts w:hint="eastAsia" w:cs="Times New Roman"/>
                <w:b w:val="0"/>
                <w:bCs w:val="0"/>
                <w:color w:val="auto"/>
                <w:sz w:val="24"/>
                <w:szCs w:val="24"/>
                <w:highlight w:val="none"/>
                <w:lang w:val="en-US" w:eastAsia="zh-CN"/>
              </w:rPr>
              <w:t>，本项目产品清洗与研磨工序所产生的废水需进行循环水处理设施处理后回用，则循环水处理设施处理量为0.25t/d（75t/a），污泥产生量按照废水处理量的0.2%进行计算，则本项目水循环处理设施污泥产生量为0.15t/a。</w:t>
            </w:r>
          </w:p>
          <w:p w14:paraId="5D9D274F">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综上分析，项目运营期各类固体废物产生及处置情况详见表</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w:t>
            </w:r>
            <w:r>
              <w:rPr>
                <w:rFonts w:hint="eastAsia" w:eastAsia="宋体"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ascii="Times New Roman" w:hAnsi="Times New Roman" w:eastAsia="宋体" w:cs="Times New Roman"/>
                <w:bCs/>
                <w:color w:val="000000" w:themeColor="text1"/>
                <w:sz w:val="24"/>
                <w:highlight w:val="none"/>
                <w14:textFill>
                  <w14:solidFill>
                    <w14:schemeClr w14:val="tx1"/>
                  </w14:solidFill>
                </w14:textFill>
              </w:rPr>
              <w:t>。</w:t>
            </w:r>
          </w:p>
          <w:p w14:paraId="57B5714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Times New Roman" w:cs="Times New Roman"/>
                <w:b/>
                <w:bCs/>
                <w:color w:val="000000" w:themeColor="text1"/>
                <w:sz w:val="24"/>
                <w:highlight w:val="none"/>
                <w:lang w:val="zh-CN"/>
                <w14:textFill>
                  <w14:solidFill>
                    <w14:schemeClr w14:val="tx1"/>
                  </w14:solidFill>
                </w14:textFill>
              </w:rPr>
              <w:t>表</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项目</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固废产生及处置</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情况汇总表</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529"/>
              <w:gridCol w:w="1044"/>
              <w:gridCol w:w="948"/>
              <w:gridCol w:w="896"/>
              <w:gridCol w:w="844"/>
              <w:gridCol w:w="750"/>
              <w:gridCol w:w="465"/>
              <w:gridCol w:w="675"/>
              <w:gridCol w:w="690"/>
              <w:gridCol w:w="1328"/>
            </w:tblGrid>
            <w:tr w14:paraId="7CB8F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242" w:type="pct"/>
                  <w:tcBorders>
                    <w:tl2br w:val="nil"/>
                    <w:tr2bl w:val="nil"/>
                  </w:tcBorders>
                  <w:noWrap w:val="0"/>
                  <w:vAlign w:val="center"/>
                </w:tcPr>
                <w:p w14:paraId="6D11DC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308" w:type="pct"/>
                  <w:tcBorders>
                    <w:tl2br w:val="nil"/>
                    <w:tr2bl w:val="nil"/>
                  </w:tcBorders>
                  <w:noWrap w:val="0"/>
                  <w:vAlign w:val="center"/>
                </w:tcPr>
                <w:p w14:paraId="0E3A77A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p>
              </w:tc>
              <w:tc>
                <w:tcPr>
                  <w:tcW w:w="608" w:type="pct"/>
                  <w:tcBorders>
                    <w:tl2br w:val="nil"/>
                    <w:tr2bl w:val="nil"/>
                  </w:tcBorders>
                  <w:noWrap w:val="0"/>
                  <w:vAlign w:val="center"/>
                </w:tcPr>
                <w:p w14:paraId="413762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固废名称</w:t>
                  </w:r>
                </w:p>
              </w:tc>
              <w:tc>
                <w:tcPr>
                  <w:tcW w:w="552" w:type="pct"/>
                  <w:tcBorders>
                    <w:tl2br w:val="nil"/>
                    <w:tr2bl w:val="nil"/>
                  </w:tcBorders>
                  <w:noWrap w:val="0"/>
                  <w:vAlign w:val="center"/>
                </w:tcPr>
                <w:p w14:paraId="1827C08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521" w:type="pct"/>
                  <w:tcBorders>
                    <w:tl2br w:val="nil"/>
                    <w:tr2bl w:val="nil"/>
                  </w:tcBorders>
                  <w:noWrap w:val="0"/>
                  <w:vAlign w:val="center"/>
                </w:tcPr>
                <w:p w14:paraId="782EDD4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废物代码</w:t>
                  </w:r>
                </w:p>
              </w:tc>
              <w:tc>
                <w:tcPr>
                  <w:tcW w:w="491" w:type="pct"/>
                  <w:tcBorders>
                    <w:tl2br w:val="nil"/>
                    <w:tr2bl w:val="nil"/>
                  </w:tcBorders>
                  <w:noWrap w:val="0"/>
                  <w:vAlign w:val="center"/>
                </w:tcPr>
                <w:p w14:paraId="4591C45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产生量t/a</w:t>
                  </w:r>
                </w:p>
              </w:tc>
              <w:tc>
                <w:tcPr>
                  <w:tcW w:w="436" w:type="pct"/>
                  <w:tcBorders>
                    <w:tl2br w:val="nil"/>
                    <w:tr2bl w:val="nil"/>
                  </w:tcBorders>
                  <w:noWrap w:val="0"/>
                  <w:vAlign w:val="center"/>
                </w:tcPr>
                <w:p w14:paraId="39551D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产生环节</w:t>
                  </w:r>
                </w:p>
              </w:tc>
              <w:tc>
                <w:tcPr>
                  <w:tcW w:w="270" w:type="pct"/>
                  <w:tcBorders>
                    <w:tl2br w:val="nil"/>
                    <w:tr2bl w:val="nil"/>
                  </w:tcBorders>
                  <w:noWrap w:val="0"/>
                  <w:vAlign w:val="center"/>
                </w:tcPr>
                <w:p w14:paraId="772D9E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形态</w:t>
                  </w:r>
                </w:p>
              </w:tc>
              <w:tc>
                <w:tcPr>
                  <w:tcW w:w="393" w:type="pct"/>
                  <w:tcBorders>
                    <w:tl2br w:val="nil"/>
                    <w:tr2bl w:val="nil"/>
                  </w:tcBorders>
                  <w:noWrap w:val="0"/>
                  <w:vAlign w:val="center"/>
                </w:tcPr>
                <w:p w14:paraId="681713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主要成分</w:t>
                  </w:r>
                </w:p>
              </w:tc>
              <w:tc>
                <w:tcPr>
                  <w:tcW w:w="401" w:type="pct"/>
                  <w:tcBorders>
                    <w:tl2br w:val="nil"/>
                    <w:tr2bl w:val="nil"/>
                  </w:tcBorders>
                  <w:noWrap w:val="0"/>
                  <w:vAlign w:val="center"/>
                </w:tcPr>
                <w:p w14:paraId="53E1420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有害成分</w:t>
                  </w:r>
                </w:p>
              </w:tc>
              <w:tc>
                <w:tcPr>
                  <w:tcW w:w="773" w:type="pct"/>
                  <w:tcBorders>
                    <w:tl2br w:val="nil"/>
                    <w:tr2bl w:val="nil"/>
                  </w:tcBorders>
                  <w:noWrap w:val="0"/>
                  <w:vAlign w:val="center"/>
                </w:tcPr>
                <w:p w14:paraId="546174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处置方式</w:t>
                  </w:r>
                </w:p>
              </w:tc>
            </w:tr>
            <w:tr w14:paraId="3DE22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242" w:type="pct"/>
                  <w:tcBorders>
                    <w:tl2br w:val="nil"/>
                    <w:tr2bl w:val="nil"/>
                  </w:tcBorders>
                  <w:shd w:val="clear" w:color="auto" w:fill="auto"/>
                  <w:noWrap w:val="0"/>
                  <w:vAlign w:val="center"/>
                </w:tcPr>
                <w:p w14:paraId="201950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08" w:type="pct"/>
                  <w:tcBorders>
                    <w:tl2br w:val="nil"/>
                    <w:tr2bl w:val="nil"/>
                  </w:tcBorders>
                  <w:shd w:val="clear" w:color="auto" w:fill="auto"/>
                  <w:noWrap w:val="0"/>
                  <w:vAlign w:val="center"/>
                </w:tcPr>
                <w:p w14:paraId="01D32F6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w:t>
                  </w:r>
                </w:p>
              </w:tc>
              <w:tc>
                <w:tcPr>
                  <w:tcW w:w="608" w:type="pct"/>
                  <w:tcBorders>
                    <w:tl2br w:val="nil"/>
                    <w:tr2bl w:val="nil"/>
                  </w:tcBorders>
                  <w:shd w:val="clear" w:color="auto" w:fill="auto"/>
                  <w:noWrap w:val="0"/>
                  <w:vAlign w:val="center"/>
                </w:tcPr>
                <w:p w14:paraId="01EFA3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办公、生活等</w:t>
                  </w:r>
                </w:p>
              </w:tc>
              <w:tc>
                <w:tcPr>
                  <w:tcW w:w="552" w:type="pct"/>
                  <w:tcBorders>
                    <w:tl2br w:val="nil"/>
                    <w:tr2bl w:val="nil"/>
                  </w:tcBorders>
                  <w:shd w:val="clear" w:color="auto" w:fill="auto"/>
                  <w:noWrap w:val="0"/>
                  <w:vAlign w:val="center"/>
                </w:tcPr>
                <w:p w14:paraId="2F6031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SW64其他垃圾</w:t>
                  </w:r>
                </w:p>
              </w:tc>
              <w:tc>
                <w:tcPr>
                  <w:tcW w:w="521" w:type="pct"/>
                  <w:tcBorders>
                    <w:tl2br w:val="nil"/>
                    <w:tr2bl w:val="nil"/>
                  </w:tcBorders>
                  <w:shd w:val="clear" w:color="auto" w:fill="auto"/>
                  <w:noWrap w:val="0"/>
                  <w:vAlign w:val="center"/>
                </w:tcPr>
                <w:p w14:paraId="0BD9CA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900-099-S64</w:t>
                  </w:r>
                </w:p>
              </w:tc>
              <w:tc>
                <w:tcPr>
                  <w:tcW w:w="491" w:type="pct"/>
                  <w:tcBorders>
                    <w:tl2br w:val="nil"/>
                    <w:tr2bl w:val="nil"/>
                  </w:tcBorders>
                  <w:shd w:val="clear" w:color="auto" w:fill="auto"/>
                  <w:noWrap w:val="0"/>
                  <w:vAlign w:val="center"/>
                </w:tcPr>
                <w:p w14:paraId="5500BB7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c>
                <w:tcPr>
                  <w:tcW w:w="436" w:type="pct"/>
                  <w:tcBorders>
                    <w:tl2br w:val="nil"/>
                    <w:tr2bl w:val="nil"/>
                  </w:tcBorders>
                  <w:shd w:val="clear" w:color="auto" w:fill="auto"/>
                  <w:noWrap w:val="0"/>
                  <w:vAlign w:val="center"/>
                </w:tcPr>
                <w:p w14:paraId="25E530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职工日常生活</w:t>
                  </w:r>
                </w:p>
              </w:tc>
              <w:tc>
                <w:tcPr>
                  <w:tcW w:w="270" w:type="pct"/>
                  <w:tcBorders>
                    <w:tl2br w:val="nil"/>
                    <w:tr2bl w:val="nil"/>
                  </w:tcBorders>
                  <w:shd w:val="clear" w:color="auto" w:fill="auto"/>
                  <w:noWrap w:val="0"/>
                  <w:vAlign w:val="center"/>
                </w:tcPr>
                <w:p w14:paraId="658DE75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93" w:type="pct"/>
                  <w:tcBorders>
                    <w:tl2br w:val="nil"/>
                    <w:tr2bl w:val="nil"/>
                  </w:tcBorders>
                  <w:shd w:val="clear" w:color="auto" w:fill="auto"/>
                  <w:noWrap w:val="0"/>
                  <w:vAlign w:val="center"/>
                </w:tcPr>
                <w:p w14:paraId="65BA94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1" w:type="pct"/>
                  <w:tcBorders>
                    <w:tl2br w:val="nil"/>
                    <w:tr2bl w:val="nil"/>
                  </w:tcBorders>
                  <w:shd w:val="clear" w:color="auto" w:fill="auto"/>
                  <w:noWrap w:val="0"/>
                  <w:vAlign w:val="center"/>
                </w:tcPr>
                <w:p w14:paraId="6006289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73" w:type="pct"/>
                  <w:tcBorders>
                    <w:tl2br w:val="nil"/>
                    <w:tr2bl w:val="nil"/>
                  </w:tcBorders>
                  <w:shd w:val="clear" w:color="auto" w:fill="auto"/>
                  <w:noWrap w:val="0"/>
                  <w:vAlign w:val="center"/>
                </w:tcPr>
                <w:p w14:paraId="43AECF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14:textFill>
                        <w14:solidFill>
                          <w14:schemeClr w14:val="tx1"/>
                        </w14:solidFill>
                      </w14:textFill>
                    </w:rPr>
                    <w:t>收集后交由环卫部门统一清运处置</w:t>
                  </w:r>
                </w:p>
              </w:tc>
            </w:tr>
            <w:tr w14:paraId="0DB48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restart"/>
                  <w:tcBorders>
                    <w:tl2br w:val="nil"/>
                    <w:tr2bl w:val="nil"/>
                  </w:tcBorders>
                  <w:noWrap w:val="0"/>
                  <w:vAlign w:val="center"/>
                </w:tcPr>
                <w:p w14:paraId="70BDEAB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308" w:type="pct"/>
                  <w:vMerge w:val="restart"/>
                  <w:tcBorders>
                    <w:tl2br w:val="nil"/>
                    <w:tr2bl w:val="nil"/>
                  </w:tcBorders>
                  <w:noWrap w:val="0"/>
                  <w:vAlign w:val="center"/>
                </w:tcPr>
                <w:p w14:paraId="2EF1D4C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一般工业固废</w:t>
                  </w:r>
                </w:p>
              </w:tc>
              <w:tc>
                <w:tcPr>
                  <w:tcW w:w="608" w:type="pct"/>
                  <w:tcBorders>
                    <w:tl2br w:val="nil"/>
                    <w:tr2bl w:val="nil"/>
                  </w:tcBorders>
                  <w:noWrap w:val="0"/>
                  <w:vAlign w:val="center"/>
                </w:tcPr>
                <w:p w14:paraId="412092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熔</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炉渣（不沾染油）</w:t>
                  </w:r>
                </w:p>
              </w:tc>
              <w:tc>
                <w:tcPr>
                  <w:tcW w:w="552" w:type="pct"/>
                  <w:tcBorders>
                    <w:tl2br w:val="nil"/>
                    <w:tr2bl w:val="nil"/>
                  </w:tcBorders>
                  <w:shd w:val="clear" w:color="auto" w:fill="auto"/>
                  <w:noWrap w:val="0"/>
                  <w:vAlign w:val="center"/>
                </w:tcPr>
                <w:p w14:paraId="1748B6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shd w:val="clear" w:color="auto" w:fill="auto"/>
                  <w:noWrap w:val="0"/>
                  <w:vAlign w:val="center"/>
                </w:tcPr>
                <w:p w14:paraId="39E30F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491" w:type="pct"/>
                  <w:tcBorders>
                    <w:tl2br w:val="nil"/>
                    <w:tr2bl w:val="nil"/>
                  </w:tcBorders>
                  <w:noWrap w:val="0"/>
                  <w:vAlign w:val="center"/>
                </w:tcPr>
                <w:p w14:paraId="763DD2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3.8</w:t>
                  </w:r>
                  <w:r>
                    <w:rPr>
                      <w:rFonts w:hint="eastAsia" w:cs="Times New Roman"/>
                      <w:color w:val="000000" w:themeColor="text1"/>
                      <w:kern w:val="2"/>
                      <w:sz w:val="21"/>
                      <w:szCs w:val="21"/>
                      <w:highlight w:val="none"/>
                      <w:lang w:val="en-US" w:eastAsia="zh-CN" w:bidi="ar-SA"/>
                      <w14:textFill>
                        <w14:solidFill>
                          <w14:schemeClr w14:val="tx1"/>
                        </w14:solidFill>
                      </w14:textFill>
                    </w:rPr>
                    <w:t>057</w:t>
                  </w:r>
                </w:p>
              </w:tc>
              <w:tc>
                <w:tcPr>
                  <w:tcW w:w="436" w:type="pct"/>
                  <w:tcBorders>
                    <w:tl2br w:val="nil"/>
                    <w:tr2bl w:val="nil"/>
                  </w:tcBorders>
                  <w:noWrap w:val="0"/>
                  <w:vAlign w:val="center"/>
                </w:tcPr>
                <w:p w14:paraId="5EF6C7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熔融</w:t>
                  </w:r>
                </w:p>
              </w:tc>
              <w:tc>
                <w:tcPr>
                  <w:tcW w:w="270" w:type="pct"/>
                  <w:tcBorders>
                    <w:tl2br w:val="nil"/>
                    <w:tr2bl w:val="nil"/>
                  </w:tcBorders>
                  <w:noWrap w:val="0"/>
                  <w:vAlign w:val="center"/>
                </w:tcPr>
                <w:p w14:paraId="42FCB33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1F7EDE7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铝</w:t>
                  </w:r>
                </w:p>
              </w:tc>
              <w:tc>
                <w:tcPr>
                  <w:tcW w:w="401" w:type="pct"/>
                  <w:tcBorders>
                    <w:tl2br w:val="nil"/>
                    <w:tr2bl w:val="nil"/>
                  </w:tcBorders>
                  <w:noWrap w:val="0"/>
                  <w:vAlign w:val="center"/>
                </w:tcPr>
                <w:p w14:paraId="76CC7E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vMerge w:val="restart"/>
                  <w:tcBorders>
                    <w:tl2br w:val="nil"/>
                    <w:tr2bl w:val="nil"/>
                  </w:tcBorders>
                  <w:noWrap w:val="0"/>
                  <w:vAlign w:val="center"/>
                </w:tcPr>
                <w:p w14:paraId="1E4CB6D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定期重新进行熔融回用于生产</w:t>
                  </w:r>
                </w:p>
              </w:tc>
            </w:tr>
            <w:tr w14:paraId="60D39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continue"/>
                  <w:tcBorders>
                    <w:tl2br w:val="nil"/>
                    <w:tr2bl w:val="nil"/>
                  </w:tcBorders>
                  <w:noWrap w:val="0"/>
                  <w:vAlign w:val="center"/>
                </w:tcPr>
                <w:p w14:paraId="51298C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3C4008E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640C16A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不合格产品</w:t>
                  </w:r>
                </w:p>
              </w:tc>
              <w:tc>
                <w:tcPr>
                  <w:tcW w:w="552" w:type="pct"/>
                  <w:tcBorders>
                    <w:tl2br w:val="nil"/>
                    <w:tr2bl w:val="nil"/>
                  </w:tcBorders>
                  <w:noWrap w:val="0"/>
                  <w:vAlign w:val="center"/>
                </w:tcPr>
                <w:p w14:paraId="16A67B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noWrap w:val="0"/>
                  <w:vAlign w:val="center"/>
                </w:tcPr>
                <w:p w14:paraId="7FC593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491" w:type="pct"/>
                  <w:tcBorders>
                    <w:tl2br w:val="nil"/>
                    <w:tr2bl w:val="nil"/>
                  </w:tcBorders>
                  <w:noWrap w:val="0"/>
                  <w:vAlign w:val="center"/>
                </w:tcPr>
                <w:p w14:paraId="16BD10D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36.5</w:t>
                  </w:r>
                </w:p>
              </w:tc>
              <w:tc>
                <w:tcPr>
                  <w:tcW w:w="436" w:type="pct"/>
                  <w:tcBorders>
                    <w:tl2br w:val="nil"/>
                    <w:tr2bl w:val="nil"/>
                  </w:tcBorders>
                  <w:noWrap w:val="0"/>
                  <w:vAlign w:val="center"/>
                </w:tcPr>
                <w:p w14:paraId="47F46CC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压铸</w:t>
                  </w:r>
                </w:p>
              </w:tc>
              <w:tc>
                <w:tcPr>
                  <w:tcW w:w="270" w:type="pct"/>
                  <w:tcBorders>
                    <w:tl2br w:val="nil"/>
                    <w:tr2bl w:val="nil"/>
                  </w:tcBorders>
                  <w:noWrap w:val="0"/>
                  <w:vAlign w:val="center"/>
                </w:tcPr>
                <w:p w14:paraId="6A302E4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5BD786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铝</w:t>
                  </w:r>
                </w:p>
              </w:tc>
              <w:tc>
                <w:tcPr>
                  <w:tcW w:w="401" w:type="pct"/>
                  <w:tcBorders>
                    <w:tl2br w:val="nil"/>
                    <w:tr2bl w:val="nil"/>
                  </w:tcBorders>
                  <w:noWrap w:val="0"/>
                  <w:vAlign w:val="center"/>
                </w:tcPr>
                <w:p w14:paraId="459FE9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vMerge w:val="continue"/>
                  <w:tcBorders>
                    <w:tl2br w:val="nil"/>
                    <w:tr2bl w:val="nil"/>
                  </w:tcBorders>
                  <w:noWrap w:val="0"/>
                  <w:vAlign w:val="center"/>
                </w:tcPr>
                <w:p w14:paraId="73B7DED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526D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242" w:type="pct"/>
                  <w:vMerge w:val="continue"/>
                  <w:tcBorders>
                    <w:tl2br w:val="nil"/>
                    <w:tr2bl w:val="nil"/>
                  </w:tcBorders>
                  <w:noWrap w:val="0"/>
                  <w:vAlign w:val="center"/>
                </w:tcPr>
                <w:p w14:paraId="22216D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3D3A3EE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5EA081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废边角</w:t>
                  </w:r>
                  <w:r>
                    <w:rPr>
                      <w:rFonts w:hint="eastAsia" w:cs="Times New Roman"/>
                      <w:color w:val="000000" w:themeColor="text1"/>
                      <w:sz w:val="21"/>
                      <w:szCs w:val="21"/>
                      <w:highlight w:val="none"/>
                      <w:lang w:val="en-US" w:eastAsia="zh-CN"/>
                      <w14:textFill>
                        <w14:solidFill>
                          <w14:schemeClr w14:val="tx1"/>
                        </w14:solidFill>
                      </w14:textFill>
                    </w:rPr>
                    <w:t>料、碎屑</w:t>
                  </w:r>
                </w:p>
              </w:tc>
              <w:tc>
                <w:tcPr>
                  <w:tcW w:w="552" w:type="pct"/>
                  <w:tcBorders>
                    <w:tl2br w:val="nil"/>
                    <w:tr2bl w:val="nil"/>
                  </w:tcBorders>
                  <w:shd w:val="clear" w:color="auto" w:fill="auto"/>
                  <w:noWrap w:val="0"/>
                  <w:vAlign w:val="center"/>
                </w:tcPr>
                <w:p w14:paraId="4454AF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shd w:val="clear" w:color="auto" w:fill="auto"/>
                  <w:noWrap w:val="0"/>
                  <w:vAlign w:val="center"/>
                </w:tcPr>
                <w:p w14:paraId="5DDE56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900-002-S17</w:t>
                  </w:r>
                </w:p>
              </w:tc>
              <w:tc>
                <w:tcPr>
                  <w:tcW w:w="491" w:type="pct"/>
                  <w:tcBorders>
                    <w:tl2br w:val="nil"/>
                    <w:tr2bl w:val="nil"/>
                  </w:tcBorders>
                  <w:noWrap w:val="0"/>
                  <w:vAlign w:val="center"/>
                </w:tcPr>
                <w:p w14:paraId="239775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7.3</w:t>
                  </w:r>
                </w:p>
              </w:tc>
              <w:tc>
                <w:tcPr>
                  <w:tcW w:w="436" w:type="pct"/>
                  <w:tcBorders>
                    <w:tl2br w:val="nil"/>
                    <w:tr2bl w:val="nil"/>
                  </w:tcBorders>
                  <w:noWrap w:val="0"/>
                  <w:vAlign w:val="center"/>
                </w:tcPr>
                <w:p w14:paraId="16007F4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切边、钻孔</w:t>
                  </w:r>
                  <w:r>
                    <w:rPr>
                      <w:rFonts w:hint="eastAsia" w:cs="Times New Roman"/>
                      <w:color w:val="000000" w:themeColor="text1"/>
                      <w:sz w:val="21"/>
                      <w:szCs w:val="21"/>
                      <w:highlight w:val="none"/>
                      <w:lang w:val="en-US" w:eastAsia="zh-CN"/>
                      <w14:textFill>
                        <w14:solidFill>
                          <w14:schemeClr w14:val="tx1"/>
                        </w14:solidFill>
                      </w14:textFill>
                    </w:rPr>
                    <w:t>、包装</w:t>
                  </w:r>
                </w:p>
              </w:tc>
              <w:tc>
                <w:tcPr>
                  <w:tcW w:w="270" w:type="pct"/>
                  <w:tcBorders>
                    <w:tl2br w:val="nil"/>
                    <w:tr2bl w:val="nil"/>
                  </w:tcBorders>
                  <w:noWrap w:val="0"/>
                  <w:vAlign w:val="center"/>
                </w:tcPr>
                <w:p w14:paraId="7F75648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529860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铝</w:t>
                  </w:r>
                </w:p>
              </w:tc>
              <w:tc>
                <w:tcPr>
                  <w:tcW w:w="401" w:type="pct"/>
                  <w:tcBorders>
                    <w:tl2br w:val="nil"/>
                    <w:tr2bl w:val="nil"/>
                  </w:tcBorders>
                  <w:noWrap w:val="0"/>
                  <w:vAlign w:val="center"/>
                </w:tcPr>
                <w:p w14:paraId="71C3378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vMerge w:val="continue"/>
                  <w:tcBorders>
                    <w:tl2br w:val="nil"/>
                    <w:tr2bl w:val="nil"/>
                  </w:tcBorders>
                  <w:noWrap w:val="0"/>
                  <w:vAlign w:val="center"/>
                </w:tcPr>
                <w:p w14:paraId="1ED6DB3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A0C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continue"/>
                  <w:tcBorders>
                    <w:tl2br w:val="nil"/>
                    <w:tr2bl w:val="nil"/>
                  </w:tcBorders>
                  <w:noWrap w:val="0"/>
                  <w:vAlign w:val="center"/>
                </w:tcPr>
                <w:p w14:paraId="7769CFD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26E2253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6BE3E15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收集粉尘</w:t>
                  </w:r>
                  <w:r>
                    <w:rPr>
                      <w:rFonts w:hint="eastAsia" w:cs="Times New Roman"/>
                      <w:color w:val="000000" w:themeColor="text1"/>
                      <w:sz w:val="21"/>
                      <w:szCs w:val="21"/>
                      <w:highlight w:val="none"/>
                      <w:lang w:val="en-US" w:eastAsia="zh-CN"/>
                      <w14:textFill>
                        <w14:solidFill>
                          <w14:schemeClr w14:val="tx1"/>
                        </w14:solidFill>
                      </w14:textFill>
                    </w:rPr>
                    <w:t>及废布袋</w:t>
                  </w:r>
                </w:p>
              </w:tc>
              <w:tc>
                <w:tcPr>
                  <w:tcW w:w="552" w:type="pct"/>
                  <w:tcBorders>
                    <w:tl2br w:val="nil"/>
                    <w:tr2bl w:val="nil"/>
                  </w:tcBorders>
                  <w:shd w:val="clear" w:color="auto" w:fill="auto"/>
                  <w:noWrap w:val="0"/>
                  <w:vAlign w:val="center"/>
                </w:tcPr>
                <w:p w14:paraId="59202E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521" w:type="pct"/>
                  <w:tcBorders>
                    <w:tl2br w:val="nil"/>
                    <w:tr2bl w:val="nil"/>
                  </w:tcBorders>
                  <w:shd w:val="clear" w:color="auto" w:fill="auto"/>
                  <w:noWrap w:val="0"/>
                  <w:vAlign w:val="center"/>
                </w:tcPr>
                <w:p w14:paraId="005A5EB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491" w:type="pct"/>
                  <w:tcBorders>
                    <w:tl2br w:val="nil"/>
                    <w:tr2bl w:val="nil"/>
                  </w:tcBorders>
                  <w:noWrap w:val="0"/>
                  <w:vAlign w:val="center"/>
                </w:tcPr>
                <w:p w14:paraId="72DCCF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1.4999</w:t>
                  </w:r>
                </w:p>
              </w:tc>
              <w:tc>
                <w:tcPr>
                  <w:tcW w:w="436" w:type="pct"/>
                  <w:tcBorders>
                    <w:tl2br w:val="nil"/>
                    <w:tr2bl w:val="nil"/>
                  </w:tcBorders>
                  <w:noWrap w:val="0"/>
                  <w:vAlign w:val="center"/>
                </w:tcPr>
                <w:p w14:paraId="259F7CF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废气治理</w:t>
                  </w:r>
                </w:p>
              </w:tc>
              <w:tc>
                <w:tcPr>
                  <w:tcW w:w="270" w:type="pct"/>
                  <w:tcBorders>
                    <w:tl2br w:val="nil"/>
                    <w:tr2bl w:val="nil"/>
                  </w:tcBorders>
                  <w:noWrap w:val="0"/>
                  <w:vAlign w:val="center"/>
                </w:tcPr>
                <w:p w14:paraId="4FB2037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noWrap w:val="0"/>
                  <w:vAlign w:val="center"/>
                </w:tcPr>
                <w:p w14:paraId="6B7DDF9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金属颗粒</w:t>
                  </w:r>
                </w:p>
              </w:tc>
              <w:tc>
                <w:tcPr>
                  <w:tcW w:w="401" w:type="pct"/>
                  <w:tcBorders>
                    <w:tl2br w:val="nil"/>
                    <w:tr2bl w:val="nil"/>
                  </w:tcBorders>
                  <w:noWrap w:val="0"/>
                  <w:vAlign w:val="center"/>
                </w:tcPr>
                <w:p w14:paraId="34DDAB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tcBorders>
                    <w:tl2br w:val="nil"/>
                    <w:tr2bl w:val="nil"/>
                  </w:tcBorders>
                  <w:noWrap w:val="0"/>
                  <w:vAlign w:val="center"/>
                </w:tcPr>
                <w:p w14:paraId="6F311C1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统一收集后定期委托环卫部门统一清运处置</w:t>
                  </w:r>
                </w:p>
              </w:tc>
            </w:tr>
            <w:tr w14:paraId="2E4BD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Merge w:val="continue"/>
                  <w:tcBorders>
                    <w:tl2br w:val="nil"/>
                    <w:tr2bl w:val="nil"/>
                  </w:tcBorders>
                  <w:noWrap w:val="0"/>
                  <w:vAlign w:val="center"/>
                </w:tcPr>
                <w:p w14:paraId="2792342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08" w:type="pct"/>
                  <w:vMerge w:val="continue"/>
                  <w:tcBorders>
                    <w:tl2br w:val="nil"/>
                    <w:tr2bl w:val="nil"/>
                  </w:tcBorders>
                  <w:noWrap w:val="0"/>
                  <w:vAlign w:val="center"/>
                </w:tcPr>
                <w:p w14:paraId="78FEEDF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tcBorders>
                    <w:tl2br w:val="nil"/>
                    <w:tr2bl w:val="nil"/>
                  </w:tcBorders>
                  <w:noWrap w:val="0"/>
                  <w:vAlign w:val="center"/>
                </w:tcPr>
                <w:p w14:paraId="681860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废包装纸箱、包装袋</w:t>
                  </w:r>
                </w:p>
              </w:tc>
              <w:tc>
                <w:tcPr>
                  <w:tcW w:w="552" w:type="pct"/>
                  <w:tcBorders>
                    <w:tl2br w:val="nil"/>
                    <w:tr2bl w:val="nil"/>
                  </w:tcBorders>
                  <w:shd w:val="clear" w:color="auto" w:fill="auto"/>
                  <w:noWrap w:val="0"/>
                  <w:vAlign w:val="center"/>
                </w:tcPr>
                <w:p w14:paraId="28A84C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SW17可再生类废物</w:t>
                  </w:r>
                </w:p>
              </w:tc>
              <w:tc>
                <w:tcPr>
                  <w:tcW w:w="521" w:type="pct"/>
                  <w:tcBorders>
                    <w:tl2br w:val="nil"/>
                    <w:tr2bl w:val="nil"/>
                  </w:tcBorders>
                  <w:shd w:val="clear" w:color="auto" w:fill="auto"/>
                  <w:noWrap w:val="0"/>
                  <w:vAlign w:val="center"/>
                </w:tcPr>
                <w:p w14:paraId="792860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900-00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-S17</w:t>
                  </w:r>
                </w:p>
              </w:tc>
              <w:tc>
                <w:tcPr>
                  <w:tcW w:w="491" w:type="pct"/>
                  <w:tcBorders>
                    <w:tl2br w:val="nil"/>
                    <w:tr2bl w:val="nil"/>
                  </w:tcBorders>
                  <w:noWrap w:val="0"/>
                  <w:vAlign w:val="center"/>
                </w:tcPr>
                <w:p w14:paraId="5580654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0.2</w:t>
                  </w:r>
                </w:p>
              </w:tc>
              <w:tc>
                <w:tcPr>
                  <w:tcW w:w="436" w:type="pct"/>
                  <w:tcBorders>
                    <w:tl2br w:val="nil"/>
                    <w:tr2bl w:val="nil"/>
                  </w:tcBorders>
                  <w:shd w:val="clear" w:color="auto" w:fill="auto"/>
                  <w:noWrap w:val="0"/>
                  <w:vAlign w:val="center"/>
                </w:tcPr>
                <w:p w14:paraId="3D38E4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产品包装</w:t>
                  </w:r>
                </w:p>
              </w:tc>
              <w:tc>
                <w:tcPr>
                  <w:tcW w:w="270" w:type="pct"/>
                  <w:tcBorders>
                    <w:tl2br w:val="nil"/>
                    <w:tr2bl w:val="nil"/>
                  </w:tcBorders>
                  <w:shd w:val="clear" w:color="auto" w:fill="auto"/>
                  <w:noWrap w:val="0"/>
                  <w:vAlign w:val="center"/>
                </w:tcPr>
                <w:p w14:paraId="438AFE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93" w:type="pct"/>
                  <w:tcBorders>
                    <w:tl2br w:val="nil"/>
                    <w:tr2bl w:val="nil"/>
                  </w:tcBorders>
                  <w:shd w:val="clear" w:color="auto" w:fill="auto"/>
                  <w:noWrap w:val="0"/>
                  <w:vAlign w:val="center"/>
                </w:tcPr>
                <w:p w14:paraId="50C95D2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纸箱、塑料</w:t>
                  </w:r>
                </w:p>
              </w:tc>
              <w:tc>
                <w:tcPr>
                  <w:tcW w:w="401" w:type="pct"/>
                  <w:tcBorders>
                    <w:tl2br w:val="nil"/>
                    <w:tr2bl w:val="nil"/>
                  </w:tcBorders>
                  <w:shd w:val="clear" w:color="auto" w:fill="auto"/>
                  <w:noWrap w:val="0"/>
                  <w:vAlign w:val="center"/>
                </w:tcPr>
                <w:p w14:paraId="5949CA9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73" w:type="pct"/>
                  <w:tcBorders>
                    <w:tl2br w:val="nil"/>
                    <w:tr2bl w:val="nil"/>
                  </w:tcBorders>
                  <w:noWrap w:val="0"/>
                  <w:vAlign w:val="center"/>
                </w:tcPr>
                <w:p w14:paraId="1D75D4A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暂存于一般固废贮存间，定期外售给其他企业综合利用</w:t>
                  </w:r>
                </w:p>
              </w:tc>
            </w:tr>
            <w:tr w14:paraId="7023D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restart"/>
                  <w:tcBorders>
                    <w:tl2br w:val="nil"/>
                    <w:tr2bl w:val="nil"/>
                  </w:tcBorders>
                  <w:noWrap w:val="0"/>
                  <w:vAlign w:val="center"/>
                </w:tcPr>
                <w:p w14:paraId="57948BF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08" w:type="pct"/>
                  <w:vMerge w:val="restart"/>
                  <w:tcBorders>
                    <w:tl2br w:val="nil"/>
                    <w:tr2bl w:val="nil"/>
                  </w:tcBorders>
                  <w:noWrap w:val="0"/>
                  <w:vAlign w:val="center"/>
                </w:tcPr>
                <w:p w14:paraId="35A13CB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08" w:type="pct"/>
                  <w:tcBorders>
                    <w:tl2br w:val="nil"/>
                    <w:tr2bl w:val="nil"/>
                  </w:tcBorders>
                  <w:noWrap w:val="0"/>
                  <w:vAlign w:val="center"/>
                </w:tcPr>
                <w:p w14:paraId="54597B4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熔融炉渣</w:t>
                  </w:r>
                  <w:r>
                    <w:rPr>
                      <w:rFonts w:hint="eastAsia" w:ascii="Times New Roman" w:hAnsi="Times New Roman" w:eastAsia="宋体" w:cs="Times New Roman"/>
                      <w:color w:val="auto"/>
                      <w:sz w:val="21"/>
                      <w:szCs w:val="21"/>
                      <w:highlight w:val="none"/>
                      <w:lang w:val="en-US" w:eastAsia="zh-CN"/>
                    </w:rPr>
                    <w:t>（沾染油）</w:t>
                  </w:r>
                </w:p>
              </w:tc>
              <w:tc>
                <w:tcPr>
                  <w:tcW w:w="552" w:type="pct"/>
                  <w:tcBorders>
                    <w:tl2br w:val="nil"/>
                    <w:tr2bl w:val="nil"/>
                  </w:tcBorders>
                  <w:noWrap w:val="0"/>
                  <w:vAlign w:val="center"/>
                </w:tcPr>
                <w:p w14:paraId="12119F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HW48有色金属冶炼废物</w:t>
                  </w:r>
                </w:p>
              </w:tc>
              <w:tc>
                <w:tcPr>
                  <w:tcW w:w="521" w:type="pct"/>
                  <w:tcBorders>
                    <w:tl2br w:val="nil"/>
                    <w:tr2bl w:val="nil"/>
                  </w:tcBorders>
                  <w:noWrap w:val="0"/>
                  <w:vAlign w:val="center"/>
                </w:tcPr>
                <w:p w14:paraId="7CF820C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321-026-48</w:t>
                  </w:r>
                </w:p>
              </w:tc>
              <w:tc>
                <w:tcPr>
                  <w:tcW w:w="491" w:type="pct"/>
                  <w:tcBorders>
                    <w:tl2br w:val="nil"/>
                    <w:tr2bl w:val="nil"/>
                  </w:tcBorders>
                  <w:noWrap w:val="0"/>
                  <w:vAlign w:val="center"/>
                </w:tcPr>
                <w:p w14:paraId="40D4B3B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p w14:paraId="5EBFF3E7">
                  <w:pPr>
                    <w:pStyle w:val="18"/>
                    <w:jc w:val="center"/>
                    <w:rPr>
                      <w:rFonts w:hint="default"/>
                      <w:lang w:val="en-US" w:eastAsia="zh-CN"/>
                    </w:rPr>
                  </w:pPr>
                  <w:r>
                    <w:rPr>
                      <w:rFonts w:hint="eastAsia"/>
                      <w:lang w:val="en-US" w:eastAsia="zh-CN"/>
                    </w:rPr>
                    <w:t>0.1142</w:t>
                  </w:r>
                </w:p>
              </w:tc>
              <w:tc>
                <w:tcPr>
                  <w:tcW w:w="436" w:type="pct"/>
                  <w:tcBorders>
                    <w:tl2br w:val="nil"/>
                    <w:tr2bl w:val="nil"/>
                  </w:tcBorders>
                  <w:noWrap w:val="0"/>
                  <w:vAlign w:val="center"/>
                </w:tcPr>
                <w:p w14:paraId="7CB53EF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熔融</w:t>
                  </w:r>
                </w:p>
              </w:tc>
              <w:tc>
                <w:tcPr>
                  <w:tcW w:w="270" w:type="pct"/>
                  <w:tcBorders>
                    <w:tl2br w:val="nil"/>
                    <w:tr2bl w:val="nil"/>
                  </w:tcBorders>
                  <w:noWrap w:val="0"/>
                  <w:vAlign w:val="center"/>
                </w:tcPr>
                <w:p w14:paraId="0F0B683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3A25D22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铝</w:t>
                  </w:r>
                </w:p>
              </w:tc>
              <w:tc>
                <w:tcPr>
                  <w:tcW w:w="401" w:type="pct"/>
                  <w:tcBorders>
                    <w:tl2br w:val="nil"/>
                    <w:tr2bl w:val="nil"/>
                  </w:tcBorders>
                  <w:noWrap w:val="0"/>
                  <w:vAlign w:val="center"/>
                </w:tcPr>
                <w:p w14:paraId="56EEF4A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铝</w:t>
                  </w:r>
                </w:p>
              </w:tc>
              <w:tc>
                <w:tcPr>
                  <w:tcW w:w="773" w:type="pct"/>
                  <w:vMerge w:val="restart"/>
                  <w:tcBorders>
                    <w:tl2br w:val="nil"/>
                    <w:tr2bl w:val="nil"/>
                  </w:tcBorders>
                  <w:noWrap w:val="0"/>
                  <w:vAlign w:val="center"/>
                </w:tcPr>
                <w:p w14:paraId="5509D6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0F985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continue"/>
                  <w:tcBorders>
                    <w:tl2br w:val="nil"/>
                    <w:tr2bl w:val="nil"/>
                  </w:tcBorders>
                  <w:noWrap w:val="0"/>
                  <w:vAlign w:val="center"/>
                </w:tcPr>
                <w:p w14:paraId="71C351D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0F0C41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3A725E2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脱模剂废包装桶</w:t>
                  </w:r>
                </w:p>
              </w:tc>
              <w:tc>
                <w:tcPr>
                  <w:tcW w:w="552" w:type="pct"/>
                  <w:tcBorders>
                    <w:tl2br w:val="nil"/>
                    <w:tr2bl w:val="nil"/>
                  </w:tcBorders>
                  <w:noWrap w:val="0"/>
                  <w:vAlign w:val="center"/>
                </w:tcPr>
                <w:p w14:paraId="2B3F00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HW49其他废物</w:t>
                  </w:r>
                </w:p>
              </w:tc>
              <w:tc>
                <w:tcPr>
                  <w:tcW w:w="521" w:type="pct"/>
                  <w:tcBorders>
                    <w:tl2br w:val="nil"/>
                    <w:tr2bl w:val="nil"/>
                  </w:tcBorders>
                  <w:noWrap w:val="0"/>
                  <w:vAlign w:val="center"/>
                </w:tcPr>
                <w:p w14:paraId="1ECD3CC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900-041-49</w:t>
                  </w:r>
                </w:p>
              </w:tc>
              <w:tc>
                <w:tcPr>
                  <w:tcW w:w="491" w:type="pct"/>
                  <w:tcBorders>
                    <w:tl2br w:val="nil"/>
                    <w:tr2bl w:val="nil"/>
                  </w:tcBorders>
                  <w:noWrap w:val="0"/>
                  <w:vAlign w:val="center"/>
                </w:tcPr>
                <w:p w14:paraId="6DE5FAC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05</w:t>
                  </w:r>
                </w:p>
              </w:tc>
              <w:tc>
                <w:tcPr>
                  <w:tcW w:w="436" w:type="pct"/>
                  <w:tcBorders>
                    <w:tl2br w:val="nil"/>
                    <w:tr2bl w:val="nil"/>
                  </w:tcBorders>
                  <w:noWrap w:val="0"/>
                  <w:vAlign w:val="center"/>
                </w:tcPr>
                <w:p w14:paraId="34706DA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压铸脱模</w:t>
                  </w:r>
                </w:p>
              </w:tc>
              <w:tc>
                <w:tcPr>
                  <w:tcW w:w="270" w:type="pct"/>
                  <w:tcBorders>
                    <w:tl2br w:val="nil"/>
                    <w:tr2bl w:val="nil"/>
                  </w:tcBorders>
                  <w:noWrap w:val="0"/>
                  <w:vAlign w:val="center"/>
                </w:tcPr>
                <w:p w14:paraId="3497293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3A4FA5C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有机物、塑料桶</w:t>
                  </w:r>
                </w:p>
              </w:tc>
              <w:tc>
                <w:tcPr>
                  <w:tcW w:w="401" w:type="pct"/>
                  <w:tcBorders>
                    <w:tl2br w:val="nil"/>
                    <w:tr2bl w:val="nil"/>
                  </w:tcBorders>
                  <w:noWrap w:val="0"/>
                  <w:vAlign w:val="center"/>
                </w:tcPr>
                <w:p w14:paraId="1DA0095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773" w:type="pct"/>
                  <w:vMerge w:val="continue"/>
                  <w:tcBorders>
                    <w:tl2br w:val="nil"/>
                    <w:tr2bl w:val="nil"/>
                  </w:tcBorders>
                  <w:noWrap w:val="0"/>
                  <w:vAlign w:val="center"/>
                </w:tcPr>
                <w:p w14:paraId="063E53E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453F3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continue"/>
                  <w:tcBorders>
                    <w:tl2br w:val="nil"/>
                    <w:tr2bl w:val="nil"/>
                  </w:tcBorders>
                  <w:noWrap w:val="0"/>
                  <w:vAlign w:val="center"/>
                </w:tcPr>
                <w:p w14:paraId="3C2F0D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5C67E36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2784A82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w:t>
                  </w:r>
                  <w:r>
                    <w:rPr>
                      <w:rFonts w:hint="eastAsia" w:cs="Times New Roman"/>
                      <w:color w:val="auto"/>
                      <w:sz w:val="21"/>
                      <w:szCs w:val="21"/>
                      <w:highlight w:val="none"/>
                      <w:lang w:val="en-US" w:eastAsia="zh-CN"/>
                    </w:rPr>
                    <w:t>及金属渣</w:t>
                  </w:r>
                </w:p>
              </w:tc>
              <w:tc>
                <w:tcPr>
                  <w:tcW w:w="552" w:type="pct"/>
                  <w:tcBorders>
                    <w:tl2br w:val="nil"/>
                    <w:tr2bl w:val="nil"/>
                  </w:tcBorders>
                  <w:noWrap w:val="0"/>
                  <w:vAlign w:val="center"/>
                </w:tcPr>
                <w:p w14:paraId="51471F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HW09油/水、烃/水混合物或乳化液</w:t>
                  </w:r>
                </w:p>
              </w:tc>
              <w:tc>
                <w:tcPr>
                  <w:tcW w:w="521" w:type="pct"/>
                  <w:tcBorders>
                    <w:tl2br w:val="nil"/>
                    <w:tr2bl w:val="nil"/>
                  </w:tcBorders>
                  <w:noWrap w:val="0"/>
                  <w:vAlign w:val="center"/>
                </w:tcPr>
                <w:p w14:paraId="40E4D28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900-006-09</w:t>
                  </w:r>
                </w:p>
              </w:tc>
              <w:tc>
                <w:tcPr>
                  <w:tcW w:w="491" w:type="pct"/>
                  <w:tcBorders>
                    <w:tl2br w:val="nil"/>
                    <w:tr2bl w:val="nil"/>
                  </w:tcBorders>
                  <w:noWrap w:val="0"/>
                  <w:vAlign w:val="center"/>
                </w:tcPr>
                <w:p w14:paraId="6703BC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2</w:t>
                  </w:r>
                </w:p>
              </w:tc>
              <w:tc>
                <w:tcPr>
                  <w:tcW w:w="436" w:type="pct"/>
                  <w:tcBorders>
                    <w:tl2br w:val="nil"/>
                    <w:tr2bl w:val="nil"/>
                  </w:tcBorders>
                  <w:noWrap w:val="0"/>
                  <w:vAlign w:val="center"/>
                </w:tcPr>
                <w:p w14:paraId="033962B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机加工、设备冷却</w:t>
                  </w:r>
                </w:p>
              </w:tc>
              <w:tc>
                <w:tcPr>
                  <w:tcW w:w="270" w:type="pct"/>
                  <w:tcBorders>
                    <w:tl2br w:val="nil"/>
                    <w:tr2bl w:val="nil"/>
                  </w:tcBorders>
                  <w:noWrap w:val="0"/>
                  <w:vAlign w:val="center"/>
                </w:tcPr>
                <w:p w14:paraId="3255F1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393" w:type="pct"/>
                  <w:tcBorders>
                    <w:tl2br w:val="nil"/>
                    <w:tr2bl w:val="nil"/>
                  </w:tcBorders>
                  <w:noWrap w:val="0"/>
                  <w:vAlign w:val="center"/>
                </w:tcPr>
                <w:p w14:paraId="1EFF29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废切削液、金属粉尘</w:t>
                  </w:r>
                </w:p>
              </w:tc>
              <w:tc>
                <w:tcPr>
                  <w:tcW w:w="401" w:type="pct"/>
                  <w:tcBorders>
                    <w:tl2br w:val="nil"/>
                    <w:tr2bl w:val="nil"/>
                  </w:tcBorders>
                  <w:noWrap w:val="0"/>
                  <w:vAlign w:val="center"/>
                </w:tcPr>
                <w:p w14:paraId="6B34565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废切削液</w:t>
                  </w:r>
                </w:p>
              </w:tc>
              <w:tc>
                <w:tcPr>
                  <w:tcW w:w="773" w:type="pct"/>
                  <w:vMerge w:val="continue"/>
                  <w:tcBorders>
                    <w:tl2br w:val="nil"/>
                    <w:tr2bl w:val="nil"/>
                  </w:tcBorders>
                  <w:noWrap w:val="0"/>
                  <w:vAlign w:val="center"/>
                </w:tcPr>
                <w:p w14:paraId="5E7368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338B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42" w:type="pct"/>
                  <w:vMerge w:val="continue"/>
                  <w:tcBorders>
                    <w:tl2br w:val="nil"/>
                    <w:tr2bl w:val="nil"/>
                  </w:tcBorders>
                  <w:noWrap w:val="0"/>
                  <w:vAlign w:val="center"/>
                </w:tcPr>
                <w:p w14:paraId="4F46CDE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7AF7341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23E0DF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552" w:type="pct"/>
                  <w:tcBorders>
                    <w:tl2br w:val="nil"/>
                    <w:tr2bl w:val="nil"/>
                  </w:tcBorders>
                  <w:noWrap w:val="0"/>
                  <w:vAlign w:val="center"/>
                </w:tcPr>
                <w:p w14:paraId="430818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521" w:type="pct"/>
                  <w:tcBorders>
                    <w:tl2br w:val="nil"/>
                    <w:tr2bl w:val="nil"/>
                  </w:tcBorders>
                  <w:noWrap w:val="0"/>
                  <w:vAlign w:val="center"/>
                </w:tcPr>
                <w:p w14:paraId="58F15A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91" w:type="pct"/>
                  <w:tcBorders>
                    <w:tl2br w:val="nil"/>
                    <w:tr2bl w:val="nil"/>
                  </w:tcBorders>
                  <w:noWrap w:val="0"/>
                  <w:vAlign w:val="center"/>
                </w:tcPr>
                <w:p w14:paraId="5668D0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0.2633</w:t>
                  </w:r>
                </w:p>
              </w:tc>
              <w:tc>
                <w:tcPr>
                  <w:tcW w:w="436" w:type="pct"/>
                  <w:tcBorders>
                    <w:tl2br w:val="nil"/>
                    <w:tr2bl w:val="nil"/>
                  </w:tcBorders>
                  <w:noWrap w:val="0"/>
                  <w:vAlign w:val="center"/>
                </w:tcPr>
                <w:p w14:paraId="2355F7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70" w:type="pct"/>
                  <w:tcBorders>
                    <w:tl2br w:val="nil"/>
                    <w:tr2bl w:val="nil"/>
                  </w:tcBorders>
                  <w:noWrap w:val="0"/>
                  <w:vAlign w:val="center"/>
                </w:tcPr>
                <w:p w14:paraId="716BF1B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605BFDE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活性炭、有机物</w:t>
                  </w:r>
                </w:p>
              </w:tc>
              <w:tc>
                <w:tcPr>
                  <w:tcW w:w="401" w:type="pct"/>
                  <w:tcBorders>
                    <w:tl2br w:val="nil"/>
                    <w:tr2bl w:val="nil"/>
                  </w:tcBorders>
                  <w:noWrap w:val="0"/>
                  <w:vAlign w:val="center"/>
                </w:tcPr>
                <w:p w14:paraId="320D463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773" w:type="pct"/>
                  <w:vMerge w:val="continue"/>
                  <w:tcBorders>
                    <w:tl2br w:val="nil"/>
                    <w:tr2bl w:val="nil"/>
                  </w:tcBorders>
                  <w:noWrap w:val="0"/>
                  <w:vAlign w:val="center"/>
                </w:tcPr>
                <w:p w14:paraId="1D7A78C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76D16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242" w:type="pct"/>
                  <w:vMerge w:val="continue"/>
                  <w:tcBorders>
                    <w:tl2br w:val="nil"/>
                    <w:tr2bl w:val="nil"/>
                  </w:tcBorders>
                  <w:noWrap w:val="0"/>
                  <w:vAlign w:val="center"/>
                </w:tcPr>
                <w:p w14:paraId="45A392D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3543667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5678B10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废机油、废液压油</w:t>
                  </w:r>
                </w:p>
              </w:tc>
              <w:tc>
                <w:tcPr>
                  <w:tcW w:w="552" w:type="pct"/>
                  <w:vMerge w:val="restart"/>
                  <w:tcBorders>
                    <w:tl2br w:val="nil"/>
                    <w:tr2bl w:val="nil"/>
                  </w:tcBorders>
                  <w:noWrap w:val="0"/>
                  <w:vAlign w:val="center"/>
                </w:tcPr>
                <w:p w14:paraId="05BA374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521" w:type="pct"/>
                  <w:tcBorders>
                    <w:tl2br w:val="nil"/>
                    <w:tr2bl w:val="nil"/>
                  </w:tcBorders>
                  <w:noWrap w:val="0"/>
                  <w:vAlign w:val="center"/>
                </w:tcPr>
                <w:p w14:paraId="1873F89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7068C7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91" w:type="pct"/>
                  <w:tcBorders>
                    <w:tl2br w:val="nil"/>
                    <w:tr2bl w:val="nil"/>
                  </w:tcBorders>
                  <w:noWrap w:val="0"/>
                  <w:vAlign w:val="center"/>
                </w:tcPr>
                <w:p w14:paraId="65BDBA2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r>
                    <w:rPr>
                      <w:rFonts w:hint="eastAsia" w:ascii="Times New Roman" w:hAnsi="Times New Roman" w:eastAsia="宋体" w:cs="Times New Roman"/>
                      <w:bCs/>
                      <w:color w:val="auto"/>
                      <w:sz w:val="21"/>
                      <w:szCs w:val="21"/>
                      <w:highlight w:val="none"/>
                      <w:lang w:val="en-US" w:eastAsia="zh-CN"/>
                    </w:rPr>
                    <w:t>16</w:t>
                  </w:r>
                </w:p>
              </w:tc>
              <w:tc>
                <w:tcPr>
                  <w:tcW w:w="436" w:type="pct"/>
                  <w:tcBorders>
                    <w:tl2br w:val="nil"/>
                    <w:tr2bl w:val="nil"/>
                  </w:tcBorders>
                  <w:noWrap w:val="0"/>
                  <w:vAlign w:val="center"/>
                </w:tcPr>
                <w:p w14:paraId="74FE7B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70" w:type="pct"/>
                  <w:tcBorders>
                    <w:tl2br w:val="nil"/>
                    <w:tr2bl w:val="nil"/>
                  </w:tcBorders>
                  <w:noWrap w:val="0"/>
                  <w:vAlign w:val="center"/>
                </w:tcPr>
                <w:p w14:paraId="270E859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393" w:type="pct"/>
                  <w:tcBorders>
                    <w:tl2br w:val="nil"/>
                    <w:tr2bl w:val="nil"/>
                  </w:tcBorders>
                  <w:noWrap w:val="0"/>
                  <w:vAlign w:val="center"/>
                </w:tcPr>
                <w:p w14:paraId="1E4479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w:t>
                  </w:r>
                </w:p>
              </w:tc>
              <w:tc>
                <w:tcPr>
                  <w:tcW w:w="401" w:type="pct"/>
                  <w:tcBorders>
                    <w:tl2br w:val="nil"/>
                    <w:tr2bl w:val="nil"/>
                  </w:tcBorders>
                  <w:noWrap w:val="0"/>
                  <w:vAlign w:val="center"/>
                </w:tcPr>
                <w:p w14:paraId="69E807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773" w:type="pct"/>
                  <w:vMerge w:val="continue"/>
                  <w:tcBorders>
                    <w:tl2br w:val="nil"/>
                    <w:tr2bl w:val="nil"/>
                  </w:tcBorders>
                  <w:noWrap w:val="0"/>
                  <w:vAlign w:val="center"/>
                </w:tcPr>
                <w:p w14:paraId="61F93D3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57DEE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242" w:type="pct"/>
                  <w:vMerge w:val="continue"/>
                  <w:tcBorders>
                    <w:tl2br w:val="nil"/>
                    <w:tr2bl w:val="nil"/>
                  </w:tcBorders>
                  <w:noWrap w:val="0"/>
                  <w:vAlign w:val="center"/>
                </w:tcPr>
                <w:p w14:paraId="7101DA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08" w:type="pct"/>
                  <w:vMerge w:val="continue"/>
                  <w:tcBorders>
                    <w:tl2br w:val="nil"/>
                    <w:tr2bl w:val="nil"/>
                  </w:tcBorders>
                  <w:noWrap w:val="0"/>
                  <w:vAlign w:val="center"/>
                </w:tcPr>
                <w:p w14:paraId="737D1F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608" w:type="pct"/>
                  <w:tcBorders>
                    <w:tl2br w:val="nil"/>
                    <w:tr2bl w:val="nil"/>
                  </w:tcBorders>
                  <w:noWrap w:val="0"/>
                  <w:vAlign w:val="center"/>
                </w:tcPr>
                <w:p w14:paraId="580325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552" w:type="pct"/>
                  <w:vMerge w:val="continue"/>
                  <w:tcBorders>
                    <w:tl2br w:val="nil"/>
                    <w:tr2bl w:val="nil"/>
                  </w:tcBorders>
                  <w:noWrap w:val="0"/>
                  <w:vAlign w:val="center"/>
                </w:tcPr>
                <w:p w14:paraId="7678CDE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521" w:type="pct"/>
                  <w:tcBorders>
                    <w:tl2br w:val="nil"/>
                    <w:tr2bl w:val="nil"/>
                  </w:tcBorders>
                  <w:noWrap w:val="0"/>
                  <w:vAlign w:val="center"/>
                </w:tcPr>
                <w:p w14:paraId="5B37DFA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900-209-08</w:t>
                  </w:r>
                </w:p>
              </w:tc>
              <w:tc>
                <w:tcPr>
                  <w:tcW w:w="491" w:type="pct"/>
                  <w:tcBorders>
                    <w:tl2br w:val="nil"/>
                    <w:tr2bl w:val="nil"/>
                  </w:tcBorders>
                  <w:noWrap w:val="0"/>
                  <w:vAlign w:val="center"/>
                </w:tcPr>
                <w:p w14:paraId="13D8610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0.15</w:t>
                  </w:r>
                </w:p>
              </w:tc>
              <w:tc>
                <w:tcPr>
                  <w:tcW w:w="436" w:type="pct"/>
                  <w:tcBorders>
                    <w:tl2br w:val="nil"/>
                    <w:tr2bl w:val="nil"/>
                  </w:tcBorders>
                  <w:noWrap w:val="0"/>
                  <w:vAlign w:val="center"/>
                </w:tcPr>
                <w:p w14:paraId="3D4AB91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循环</w:t>
                  </w:r>
                  <w:r>
                    <w:rPr>
                      <w:rFonts w:hint="eastAsia" w:cs="Times New Roman"/>
                      <w:color w:val="auto"/>
                      <w:sz w:val="21"/>
                      <w:szCs w:val="21"/>
                      <w:highlight w:val="none"/>
                      <w:lang w:val="en-US" w:eastAsia="zh-CN"/>
                    </w:rPr>
                    <w:t>水</w:t>
                  </w:r>
                  <w:r>
                    <w:rPr>
                      <w:rFonts w:hint="eastAsia" w:ascii="Times New Roman" w:hAnsi="Times New Roman" w:eastAsia="宋体" w:cs="Times New Roman"/>
                      <w:color w:val="auto"/>
                      <w:sz w:val="21"/>
                      <w:szCs w:val="21"/>
                      <w:highlight w:val="none"/>
                      <w:lang w:val="en-US" w:eastAsia="zh-CN"/>
                    </w:rPr>
                    <w:t>处理设施</w:t>
                  </w:r>
                </w:p>
              </w:tc>
              <w:tc>
                <w:tcPr>
                  <w:tcW w:w="270" w:type="pct"/>
                  <w:tcBorders>
                    <w:tl2br w:val="nil"/>
                    <w:tr2bl w:val="nil"/>
                  </w:tcBorders>
                  <w:noWrap w:val="0"/>
                  <w:vAlign w:val="center"/>
                </w:tcPr>
                <w:p w14:paraId="75FE6B5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93" w:type="pct"/>
                  <w:tcBorders>
                    <w:tl2br w:val="nil"/>
                    <w:tr2bl w:val="nil"/>
                  </w:tcBorders>
                  <w:noWrap w:val="0"/>
                  <w:vAlign w:val="center"/>
                </w:tcPr>
                <w:p w14:paraId="1A75CD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矿物油、金属屑</w:t>
                  </w:r>
                </w:p>
              </w:tc>
              <w:tc>
                <w:tcPr>
                  <w:tcW w:w="401" w:type="pct"/>
                  <w:tcBorders>
                    <w:tl2br w:val="nil"/>
                    <w:tr2bl w:val="nil"/>
                  </w:tcBorders>
                  <w:noWrap w:val="0"/>
                  <w:vAlign w:val="center"/>
                </w:tcPr>
                <w:p w14:paraId="00DCAE3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w:t>
                  </w:r>
                </w:p>
              </w:tc>
              <w:tc>
                <w:tcPr>
                  <w:tcW w:w="773" w:type="pct"/>
                  <w:vMerge w:val="continue"/>
                  <w:tcBorders>
                    <w:tl2br w:val="nil"/>
                    <w:tr2bl w:val="nil"/>
                  </w:tcBorders>
                  <w:noWrap w:val="0"/>
                  <w:vAlign w:val="center"/>
                </w:tcPr>
                <w:p w14:paraId="245F5ED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9631D03">
            <w:pPr>
              <w:keepNext w:val="0"/>
              <w:keepLines w:val="0"/>
              <w:pageBreakBefore w:val="0"/>
              <w:widowControl w:val="0"/>
              <w:kinsoku/>
              <w:wordWrap/>
              <w:overflowPunct/>
              <w:topLinePunct w:val="0"/>
              <w:autoSpaceDE/>
              <w:autoSpaceDN/>
              <w:bidi w:val="0"/>
              <w:adjustRightInd/>
              <w:snapToGrid/>
              <w:spacing w:before="163" w:beforeLines="50"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 xml:space="preserve">表4.4-2 </w:t>
            </w:r>
            <w:r>
              <w:rPr>
                <w:rFonts w:hint="default" w:ascii="Times New Roman" w:hAnsi="Times New Roman" w:eastAsia="宋体" w:cs="Times New Roman"/>
                <w:b/>
                <w:bCs/>
                <w:color w:val="auto"/>
                <w:sz w:val="24"/>
                <w:highlight w:val="none"/>
                <w:lang w:val="en-US" w:eastAsia="zh-CN"/>
              </w:rPr>
              <w:t>危险废物暂存间基本情况</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305"/>
              <w:gridCol w:w="1084"/>
              <w:gridCol w:w="1260"/>
              <w:gridCol w:w="885"/>
              <w:gridCol w:w="889"/>
              <w:gridCol w:w="819"/>
              <w:gridCol w:w="1227"/>
              <w:gridCol w:w="651"/>
            </w:tblGrid>
            <w:tr w14:paraId="77FCA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74" w:type="pct"/>
                  <w:noWrap w:val="0"/>
                  <w:vAlign w:val="center"/>
                </w:tcPr>
                <w:p w14:paraId="6ABE97B1">
                  <w:pPr>
                    <w:pStyle w:val="33"/>
                    <w:rPr>
                      <w:kern w:val="0"/>
                      <w:szCs w:val="21"/>
                    </w:rPr>
                  </w:pPr>
                  <w:r>
                    <w:rPr>
                      <w:rFonts w:hint="eastAsia"/>
                      <w:kern w:val="0"/>
                      <w:szCs w:val="21"/>
                    </w:rPr>
                    <w:t>序</w:t>
                  </w:r>
                  <w:r>
                    <w:rPr>
                      <w:kern w:val="0"/>
                      <w:szCs w:val="21"/>
                    </w:rPr>
                    <w:t>号</w:t>
                  </w:r>
                </w:p>
              </w:tc>
              <w:tc>
                <w:tcPr>
                  <w:tcW w:w="759" w:type="pct"/>
                  <w:noWrap w:val="0"/>
                  <w:vAlign w:val="center"/>
                </w:tcPr>
                <w:p w14:paraId="49B4147D">
                  <w:pPr>
                    <w:pStyle w:val="33"/>
                    <w:rPr>
                      <w:kern w:val="0"/>
                      <w:szCs w:val="21"/>
                    </w:rPr>
                  </w:pPr>
                  <w:r>
                    <w:rPr>
                      <w:kern w:val="0"/>
                      <w:szCs w:val="21"/>
                    </w:rPr>
                    <w:t>危险废</w:t>
                  </w:r>
                </w:p>
                <w:p w14:paraId="479011FE">
                  <w:pPr>
                    <w:pStyle w:val="33"/>
                    <w:rPr>
                      <w:kern w:val="0"/>
                      <w:szCs w:val="21"/>
                    </w:rPr>
                  </w:pPr>
                  <w:r>
                    <w:rPr>
                      <w:kern w:val="0"/>
                      <w:szCs w:val="21"/>
                    </w:rPr>
                    <w:t>物名称</w:t>
                  </w:r>
                </w:p>
              </w:tc>
              <w:tc>
                <w:tcPr>
                  <w:tcW w:w="630" w:type="pct"/>
                  <w:noWrap w:val="0"/>
                  <w:vAlign w:val="center"/>
                </w:tcPr>
                <w:p w14:paraId="0E230372">
                  <w:pPr>
                    <w:pStyle w:val="33"/>
                    <w:rPr>
                      <w:kern w:val="0"/>
                      <w:szCs w:val="21"/>
                    </w:rPr>
                  </w:pPr>
                  <w:r>
                    <w:rPr>
                      <w:kern w:val="0"/>
                      <w:szCs w:val="21"/>
                    </w:rPr>
                    <w:t>危险废物</w:t>
                  </w:r>
                </w:p>
                <w:p w14:paraId="52678819">
                  <w:pPr>
                    <w:pStyle w:val="33"/>
                    <w:rPr>
                      <w:kern w:val="0"/>
                      <w:szCs w:val="21"/>
                    </w:rPr>
                  </w:pPr>
                  <w:r>
                    <w:rPr>
                      <w:kern w:val="0"/>
                      <w:szCs w:val="21"/>
                    </w:rPr>
                    <w:t>类别</w:t>
                  </w:r>
                </w:p>
              </w:tc>
              <w:tc>
                <w:tcPr>
                  <w:tcW w:w="733" w:type="pct"/>
                  <w:noWrap w:val="0"/>
                  <w:vAlign w:val="center"/>
                </w:tcPr>
                <w:p w14:paraId="11019A44">
                  <w:pPr>
                    <w:pStyle w:val="33"/>
                    <w:rPr>
                      <w:kern w:val="0"/>
                      <w:szCs w:val="21"/>
                    </w:rPr>
                  </w:pPr>
                  <w:r>
                    <w:rPr>
                      <w:kern w:val="0"/>
                      <w:szCs w:val="21"/>
                    </w:rPr>
                    <w:t>危险废物代码</w:t>
                  </w:r>
                </w:p>
              </w:tc>
              <w:tc>
                <w:tcPr>
                  <w:tcW w:w="515" w:type="pct"/>
                  <w:noWrap w:val="0"/>
                  <w:vAlign w:val="center"/>
                </w:tcPr>
                <w:p w14:paraId="3896B892">
                  <w:pPr>
                    <w:pStyle w:val="33"/>
                    <w:rPr>
                      <w:kern w:val="0"/>
                      <w:szCs w:val="21"/>
                    </w:rPr>
                  </w:pPr>
                  <w:r>
                    <w:rPr>
                      <w:kern w:val="0"/>
                      <w:szCs w:val="21"/>
                    </w:rPr>
                    <w:t>位置</w:t>
                  </w:r>
                </w:p>
              </w:tc>
              <w:tc>
                <w:tcPr>
                  <w:tcW w:w="517" w:type="pct"/>
                  <w:noWrap w:val="0"/>
                  <w:vAlign w:val="center"/>
                </w:tcPr>
                <w:p w14:paraId="5A54E2E6">
                  <w:pPr>
                    <w:pStyle w:val="33"/>
                    <w:rPr>
                      <w:kern w:val="0"/>
                      <w:szCs w:val="21"/>
                    </w:rPr>
                  </w:pPr>
                  <w:r>
                    <w:rPr>
                      <w:kern w:val="0"/>
                      <w:szCs w:val="21"/>
                    </w:rPr>
                    <w:t>占地面积</w:t>
                  </w:r>
                </w:p>
              </w:tc>
              <w:tc>
                <w:tcPr>
                  <w:tcW w:w="476" w:type="pct"/>
                  <w:noWrap w:val="0"/>
                  <w:vAlign w:val="center"/>
                </w:tcPr>
                <w:p w14:paraId="18F34BA4">
                  <w:pPr>
                    <w:pStyle w:val="33"/>
                    <w:rPr>
                      <w:kern w:val="0"/>
                      <w:szCs w:val="21"/>
                    </w:rPr>
                  </w:pPr>
                  <w:r>
                    <w:rPr>
                      <w:kern w:val="0"/>
                      <w:szCs w:val="21"/>
                    </w:rPr>
                    <w:t>贮存方式</w:t>
                  </w:r>
                </w:p>
              </w:tc>
              <w:tc>
                <w:tcPr>
                  <w:tcW w:w="714" w:type="pct"/>
                  <w:noWrap w:val="0"/>
                  <w:vAlign w:val="center"/>
                </w:tcPr>
                <w:p w14:paraId="34141494">
                  <w:pPr>
                    <w:pStyle w:val="33"/>
                    <w:rPr>
                      <w:kern w:val="0"/>
                      <w:szCs w:val="21"/>
                    </w:rPr>
                  </w:pPr>
                  <w:r>
                    <w:rPr>
                      <w:kern w:val="0"/>
                      <w:szCs w:val="21"/>
                    </w:rPr>
                    <w:t>贮存能力</w:t>
                  </w:r>
                </w:p>
                <w:p w14:paraId="345B4CF6">
                  <w:pPr>
                    <w:pStyle w:val="33"/>
                    <w:rPr>
                      <w:kern w:val="0"/>
                      <w:szCs w:val="21"/>
                    </w:rPr>
                  </w:pPr>
                  <w:r>
                    <w:rPr>
                      <w:rFonts w:hint="eastAsia"/>
                      <w:kern w:val="0"/>
                      <w:szCs w:val="21"/>
                      <w:lang w:eastAsia="zh-CN"/>
                    </w:rPr>
                    <w:t>(</w:t>
                  </w:r>
                  <w:r>
                    <w:rPr>
                      <w:kern w:val="0"/>
                      <w:szCs w:val="21"/>
                    </w:rPr>
                    <w:t>t</w:t>
                  </w:r>
                  <w:r>
                    <w:rPr>
                      <w:rFonts w:hint="eastAsia"/>
                      <w:kern w:val="0"/>
                      <w:szCs w:val="21"/>
                      <w:lang w:eastAsia="zh-CN"/>
                    </w:rPr>
                    <w:t>)</w:t>
                  </w:r>
                </w:p>
              </w:tc>
              <w:tc>
                <w:tcPr>
                  <w:tcW w:w="378" w:type="pct"/>
                  <w:noWrap w:val="0"/>
                  <w:vAlign w:val="center"/>
                </w:tcPr>
                <w:p w14:paraId="28EB7614">
                  <w:pPr>
                    <w:pStyle w:val="33"/>
                    <w:rPr>
                      <w:kern w:val="0"/>
                      <w:szCs w:val="21"/>
                    </w:rPr>
                  </w:pPr>
                  <w:r>
                    <w:rPr>
                      <w:kern w:val="0"/>
                      <w:szCs w:val="21"/>
                    </w:rPr>
                    <w:t>贮存</w:t>
                  </w:r>
                </w:p>
                <w:p w14:paraId="5C7038B0">
                  <w:pPr>
                    <w:pStyle w:val="33"/>
                    <w:rPr>
                      <w:kern w:val="0"/>
                      <w:szCs w:val="21"/>
                    </w:rPr>
                  </w:pPr>
                  <w:r>
                    <w:rPr>
                      <w:kern w:val="0"/>
                      <w:szCs w:val="21"/>
                    </w:rPr>
                    <w:t>周期</w:t>
                  </w:r>
                </w:p>
              </w:tc>
            </w:tr>
            <w:tr w14:paraId="1D0BF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74" w:type="pct"/>
                  <w:noWrap w:val="0"/>
                  <w:vAlign w:val="center"/>
                </w:tcPr>
                <w:p w14:paraId="0273D53F">
                  <w:pPr>
                    <w:pStyle w:val="62"/>
                    <w:ind w:left="420" w:hanging="420"/>
                    <w:rPr>
                      <w:rFonts w:hint="eastAsia"/>
                      <w:sz w:val="21"/>
                      <w:szCs w:val="21"/>
                    </w:rPr>
                  </w:pPr>
                  <w:r>
                    <w:rPr>
                      <w:rFonts w:hint="eastAsia"/>
                      <w:sz w:val="21"/>
                      <w:szCs w:val="21"/>
                    </w:rPr>
                    <w:t>1</w:t>
                  </w:r>
                </w:p>
              </w:tc>
              <w:tc>
                <w:tcPr>
                  <w:tcW w:w="759" w:type="pct"/>
                  <w:shd w:val="clear" w:color="auto" w:fill="auto"/>
                  <w:noWrap w:val="0"/>
                  <w:vAlign w:val="center"/>
                </w:tcPr>
                <w:p w14:paraId="598AD82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熔融炉渣</w:t>
                  </w:r>
                </w:p>
                <w:p w14:paraId="5275864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（沾染油）</w:t>
                  </w:r>
                </w:p>
              </w:tc>
              <w:tc>
                <w:tcPr>
                  <w:tcW w:w="630" w:type="pct"/>
                  <w:noWrap w:val="0"/>
                  <w:vAlign w:val="center"/>
                </w:tcPr>
                <w:p w14:paraId="42FF42FA">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HW48</w:t>
                  </w:r>
                </w:p>
              </w:tc>
              <w:tc>
                <w:tcPr>
                  <w:tcW w:w="733" w:type="pct"/>
                  <w:shd w:val="clear" w:color="auto" w:fill="auto"/>
                  <w:noWrap w:val="0"/>
                  <w:vAlign w:val="center"/>
                </w:tcPr>
                <w:p w14:paraId="5D7CF4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321-026-48</w:t>
                  </w:r>
                </w:p>
              </w:tc>
              <w:tc>
                <w:tcPr>
                  <w:tcW w:w="515" w:type="pct"/>
                  <w:vMerge w:val="restart"/>
                  <w:shd w:val="clear" w:color="auto" w:fill="auto"/>
                  <w:noWrap w:val="0"/>
                  <w:vAlign w:val="center"/>
                </w:tcPr>
                <w:p w14:paraId="032B6B1F">
                  <w:pPr>
                    <w:pStyle w:val="33"/>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一层车间外建设一间独立的危险废物贮存间</w:t>
                  </w:r>
                </w:p>
              </w:tc>
              <w:tc>
                <w:tcPr>
                  <w:tcW w:w="517" w:type="pct"/>
                  <w:vMerge w:val="restart"/>
                  <w:shd w:val="clear" w:color="auto" w:fill="auto"/>
                  <w:noWrap w:val="0"/>
                  <w:vAlign w:val="center"/>
                </w:tcPr>
                <w:p w14:paraId="7916044D">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8-10</w:t>
                  </w:r>
                  <w:r>
                    <w:rPr>
                      <w:sz w:val="21"/>
                      <w:szCs w:val="21"/>
                    </w:rPr>
                    <w:t>m</w:t>
                  </w:r>
                  <w:r>
                    <w:rPr>
                      <w:sz w:val="21"/>
                      <w:szCs w:val="21"/>
                      <w:vertAlign w:val="superscript"/>
                    </w:rPr>
                    <w:t>2</w:t>
                  </w:r>
                </w:p>
              </w:tc>
              <w:tc>
                <w:tcPr>
                  <w:tcW w:w="476" w:type="pct"/>
                  <w:noWrap w:val="0"/>
                  <w:vAlign w:val="center"/>
                </w:tcPr>
                <w:p w14:paraId="27DF2BE4">
                  <w:pPr>
                    <w:pStyle w:val="62"/>
                    <w:ind w:left="420" w:hanging="420"/>
                    <w:rPr>
                      <w:sz w:val="21"/>
                      <w:szCs w:val="21"/>
                    </w:rPr>
                  </w:pPr>
                  <w:r>
                    <w:rPr>
                      <w:rFonts w:hint="eastAsia"/>
                      <w:sz w:val="21"/>
                      <w:szCs w:val="21"/>
                    </w:rPr>
                    <w:t>袋</w:t>
                  </w:r>
                  <w:r>
                    <w:rPr>
                      <w:sz w:val="21"/>
                      <w:szCs w:val="21"/>
                    </w:rPr>
                    <w:t>装</w:t>
                  </w:r>
                </w:p>
              </w:tc>
              <w:tc>
                <w:tcPr>
                  <w:tcW w:w="714" w:type="pct"/>
                  <w:noWrap w:val="0"/>
                  <w:vAlign w:val="center"/>
                </w:tcPr>
                <w:p w14:paraId="712948A2">
                  <w:pPr>
                    <w:pStyle w:val="62"/>
                    <w:ind w:left="420" w:hanging="420"/>
                    <w:rPr>
                      <w:rFonts w:hint="default" w:eastAsia="宋体"/>
                      <w:sz w:val="21"/>
                      <w:szCs w:val="21"/>
                      <w:lang w:val="en-US" w:eastAsia="zh-CN"/>
                    </w:rPr>
                  </w:pPr>
                  <w:r>
                    <w:rPr>
                      <w:rFonts w:hint="eastAsia"/>
                      <w:sz w:val="21"/>
                      <w:szCs w:val="21"/>
                      <w:lang w:val="en-US" w:eastAsia="zh-CN"/>
                    </w:rPr>
                    <w:t>0.2</w:t>
                  </w:r>
                </w:p>
              </w:tc>
              <w:tc>
                <w:tcPr>
                  <w:tcW w:w="378" w:type="pct"/>
                  <w:shd w:val="clear" w:color="auto" w:fill="auto"/>
                  <w:noWrap w:val="0"/>
                  <w:vAlign w:val="center"/>
                </w:tcPr>
                <w:p w14:paraId="5226028C">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rPr>
                    <w:t>1</w:t>
                  </w:r>
                  <w:r>
                    <w:rPr>
                      <w:sz w:val="21"/>
                      <w:szCs w:val="21"/>
                    </w:rPr>
                    <w:t>年</w:t>
                  </w:r>
                </w:p>
              </w:tc>
            </w:tr>
            <w:tr w14:paraId="56B64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4" w:type="pct"/>
                  <w:noWrap w:val="0"/>
                  <w:vAlign w:val="center"/>
                </w:tcPr>
                <w:p w14:paraId="54696176">
                  <w:pPr>
                    <w:pStyle w:val="62"/>
                    <w:ind w:left="420" w:hanging="420"/>
                    <w:rPr>
                      <w:rFonts w:hint="eastAsia" w:eastAsia="宋体"/>
                      <w:sz w:val="21"/>
                      <w:szCs w:val="21"/>
                      <w:lang w:val="en-US" w:eastAsia="zh-CN"/>
                    </w:rPr>
                  </w:pPr>
                  <w:r>
                    <w:rPr>
                      <w:rFonts w:hint="eastAsia"/>
                      <w:sz w:val="21"/>
                      <w:szCs w:val="21"/>
                      <w:lang w:val="en-US" w:eastAsia="zh-CN"/>
                    </w:rPr>
                    <w:t>2</w:t>
                  </w:r>
                </w:p>
              </w:tc>
              <w:tc>
                <w:tcPr>
                  <w:tcW w:w="759" w:type="pct"/>
                  <w:shd w:val="clear" w:color="auto" w:fill="auto"/>
                  <w:noWrap w:val="0"/>
                  <w:vAlign w:val="center"/>
                </w:tcPr>
                <w:p w14:paraId="743EF85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脱模剂废包装桶</w:t>
                  </w:r>
                </w:p>
              </w:tc>
              <w:tc>
                <w:tcPr>
                  <w:tcW w:w="630" w:type="pct"/>
                  <w:noWrap w:val="0"/>
                  <w:vAlign w:val="center"/>
                </w:tcPr>
                <w:p w14:paraId="78293780">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HW49</w:t>
                  </w:r>
                </w:p>
              </w:tc>
              <w:tc>
                <w:tcPr>
                  <w:tcW w:w="733" w:type="pct"/>
                  <w:shd w:val="clear" w:color="auto" w:fill="auto"/>
                  <w:noWrap w:val="0"/>
                  <w:vAlign w:val="center"/>
                </w:tcPr>
                <w:p w14:paraId="66A22B8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900-041-49</w:t>
                  </w:r>
                </w:p>
              </w:tc>
              <w:tc>
                <w:tcPr>
                  <w:tcW w:w="515" w:type="pct"/>
                  <w:vMerge w:val="continue"/>
                  <w:shd w:val="clear" w:color="auto" w:fill="auto"/>
                  <w:noWrap w:val="0"/>
                  <w:vAlign w:val="center"/>
                </w:tcPr>
                <w:p w14:paraId="4A83C1C5">
                  <w:pPr>
                    <w:pStyle w:val="33"/>
                    <w:rPr>
                      <w:rFonts w:hint="eastAsia" w:ascii="Times New Roman" w:hAnsi="Times New Roman" w:eastAsia="宋体" w:cs="Times New Roman"/>
                      <w:kern w:val="0"/>
                      <w:sz w:val="21"/>
                      <w:szCs w:val="21"/>
                      <w:lang w:val="en-US" w:eastAsia="zh-CN" w:bidi="ar-SA"/>
                    </w:rPr>
                  </w:pPr>
                </w:p>
              </w:tc>
              <w:tc>
                <w:tcPr>
                  <w:tcW w:w="517" w:type="pct"/>
                  <w:vMerge w:val="continue"/>
                  <w:shd w:val="clear" w:color="auto" w:fill="auto"/>
                  <w:noWrap w:val="0"/>
                  <w:vAlign w:val="center"/>
                </w:tcPr>
                <w:p w14:paraId="5555A30E">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noWrap w:val="0"/>
                  <w:vAlign w:val="center"/>
                </w:tcPr>
                <w:p w14:paraId="0790DD2E">
                  <w:pPr>
                    <w:pStyle w:val="62"/>
                    <w:ind w:left="420" w:hanging="420"/>
                    <w:rPr>
                      <w:rFonts w:hint="default" w:eastAsia="宋体"/>
                      <w:sz w:val="21"/>
                      <w:szCs w:val="21"/>
                      <w:lang w:val="en-US" w:eastAsia="zh-CN"/>
                    </w:rPr>
                  </w:pPr>
                  <w:r>
                    <w:rPr>
                      <w:rFonts w:hint="eastAsia"/>
                      <w:sz w:val="21"/>
                      <w:szCs w:val="21"/>
                    </w:rPr>
                    <w:t>袋</w:t>
                  </w:r>
                  <w:r>
                    <w:rPr>
                      <w:sz w:val="21"/>
                      <w:szCs w:val="21"/>
                    </w:rPr>
                    <w:t>装</w:t>
                  </w:r>
                </w:p>
              </w:tc>
              <w:tc>
                <w:tcPr>
                  <w:tcW w:w="714" w:type="pct"/>
                  <w:noWrap w:val="0"/>
                  <w:vAlign w:val="center"/>
                </w:tcPr>
                <w:p w14:paraId="2808E85A">
                  <w:pPr>
                    <w:pStyle w:val="62"/>
                    <w:ind w:left="420" w:hanging="420"/>
                    <w:rPr>
                      <w:rFonts w:hint="default"/>
                      <w:sz w:val="21"/>
                      <w:szCs w:val="21"/>
                      <w:lang w:val="en-US" w:eastAsia="zh-CN"/>
                    </w:rPr>
                  </w:pPr>
                  <w:r>
                    <w:rPr>
                      <w:rFonts w:hint="eastAsia"/>
                      <w:sz w:val="21"/>
                      <w:szCs w:val="21"/>
                      <w:lang w:val="en-US" w:eastAsia="zh-CN"/>
                    </w:rPr>
                    <w:t>0.05</w:t>
                  </w:r>
                </w:p>
              </w:tc>
              <w:tc>
                <w:tcPr>
                  <w:tcW w:w="378" w:type="pct"/>
                  <w:shd w:val="clear" w:color="auto" w:fill="auto"/>
                  <w:noWrap w:val="0"/>
                  <w:vAlign w:val="center"/>
                </w:tcPr>
                <w:p w14:paraId="00A9FA16">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3A598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74" w:type="pct"/>
                  <w:noWrap w:val="0"/>
                  <w:vAlign w:val="center"/>
                </w:tcPr>
                <w:p w14:paraId="58AFD466">
                  <w:pPr>
                    <w:pStyle w:val="62"/>
                    <w:ind w:left="420" w:hanging="420"/>
                    <w:rPr>
                      <w:rFonts w:hint="default"/>
                      <w:sz w:val="21"/>
                      <w:szCs w:val="21"/>
                      <w:lang w:val="en-US" w:eastAsia="zh-CN"/>
                    </w:rPr>
                  </w:pPr>
                  <w:bookmarkStart w:id="168" w:name="_Toc16892"/>
                  <w:r>
                    <w:rPr>
                      <w:rFonts w:hint="eastAsia"/>
                      <w:sz w:val="21"/>
                      <w:szCs w:val="21"/>
                      <w:lang w:val="en-US" w:eastAsia="zh-CN"/>
                    </w:rPr>
                    <w:t>3</w:t>
                  </w:r>
                </w:p>
              </w:tc>
              <w:tc>
                <w:tcPr>
                  <w:tcW w:w="759" w:type="pct"/>
                  <w:noWrap w:val="0"/>
                  <w:vAlign w:val="center"/>
                </w:tcPr>
                <w:p w14:paraId="7ED1D0A5">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废切削液及金属渣</w:t>
                  </w:r>
                </w:p>
              </w:tc>
              <w:tc>
                <w:tcPr>
                  <w:tcW w:w="630" w:type="pct"/>
                  <w:noWrap w:val="0"/>
                  <w:vAlign w:val="center"/>
                </w:tcPr>
                <w:p w14:paraId="27E6DF81">
                  <w:pPr>
                    <w:kinsoku w:val="0"/>
                    <w:overflowPunct w:val="0"/>
                    <w:autoSpaceDE w:val="0"/>
                    <w:autoSpaceDN w:val="0"/>
                    <w:adjustRightInd w:val="0"/>
                    <w:jc w:val="center"/>
                    <w:rPr>
                      <w:rFonts w:hint="default" w:eastAsia="宋体"/>
                      <w:kern w:val="0"/>
                      <w:szCs w:val="21"/>
                      <w:lang w:val="en-US" w:eastAsia="zh-CN"/>
                    </w:rPr>
                  </w:pPr>
                  <w:r>
                    <w:rPr>
                      <w:rFonts w:hint="eastAsia"/>
                      <w:kern w:val="0"/>
                      <w:szCs w:val="21"/>
                      <w:lang w:val="en-US" w:eastAsia="zh-CN"/>
                    </w:rPr>
                    <w:t>HW09</w:t>
                  </w:r>
                </w:p>
              </w:tc>
              <w:tc>
                <w:tcPr>
                  <w:tcW w:w="733" w:type="pct"/>
                  <w:shd w:val="clear" w:color="auto" w:fill="auto"/>
                  <w:noWrap w:val="0"/>
                  <w:vAlign w:val="center"/>
                </w:tcPr>
                <w:p w14:paraId="66A979D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900-006-09</w:t>
                  </w:r>
                </w:p>
              </w:tc>
              <w:tc>
                <w:tcPr>
                  <w:tcW w:w="515" w:type="pct"/>
                  <w:vMerge w:val="continue"/>
                  <w:noWrap w:val="0"/>
                  <w:vAlign w:val="center"/>
                </w:tcPr>
                <w:p w14:paraId="1F6977D1">
                  <w:pPr>
                    <w:pStyle w:val="33"/>
                    <w:rPr>
                      <w:rFonts w:hint="eastAsia"/>
                      <w:kern w:val="0"/>
                      <w:szCs w:val="21"/>
                      <w:lang w:val="en-US" w:eastAsia="zh-CN"/>
                    </w:rPr>
                  </w:pPr>
                </w:p>
              </w:tc>
              <w:tc>
                <w:tcPr>
                  <w:tcW w:w="517" w:type="pct"/>
                  <w:vMerge w:val="continue"/>
                  <w:shd w:val="clear" w:color="auto" w:fill="auto"/>
                  <w:noWrap w:val="0"/>
                  <w:vAlign w:val="center"/>
                </w:tcPr>
                <w:p w14:paraId="0F6493CE">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noWrap w:val="0"/>
                  <w:vAlign w:val="center"/>
                </w:tcPr>
                <w:p w14:paraId="68397EAD">
                  <w:pPr>
                    <w:pStyle w:val="62"/>
                    <w:ind w:left="420" w:hanging="420"/>
                    <w:rPr>
                      <w:rFonts w:hint="default" w:eastAsia="宋体"/>
                      <w:sz w:val="21"/>
                      <w:szCs w:val="21"/>
                      <w:lang w:val="en-US" w:eastAsia="zh-CN"/>
                    </w:rPr>
                  </w:pPr>
                  <w:r>
                    <w:rPr>
                      <w:rFonts w:hint="eastAsia"/>
                      <w:sz w:val="21"/>
                      <w:szCs w:val="21"/>
                      <w:lang w:val="en-US" w:eastAsia="zh-CN"/>
                    </w:rPr>
                    <w:t>桶装</w:t>
                  </w:r>
                </w:p>
              </w:tc>
              <w:tc>
                <w:tcPr>
                  <w:tcW w:w="714" w:type="pct"/>
                  <w:noWrap w:val="0"/>
                  <w:vAlign w:val="center"/>
                </w:tcPr>
                <w:p w14:paraId="66F43EC2">
                  <w:pPr>
                    <w:pStyle w:val="62"/>
                    <w:ind w:left="420" w:hanging="420"/>
                    <w:rPr>
                      <w:rFonts w:hint="default"/>
                      <w:sz w:val="21"/>
                      <w:szCs w:val="21"/>
                      <w:lang w:val="en-US" w:eastAsia="zh-CN"/>
                    </w:rPr>
                  </w:pPr>
                  <w:r>
                    <w:rPr>
                      <w:rFonts w:hint="eastAsia"/>
                      <w:sz w:val="21"/>
                      <w:szCs w:val="21"/>
                      <w:lang w:val="en-US" w:eastAsia="zh-CN"/>
                    </w:rPr>
                    <w:t>0.2</w:t>
                  </w:r>
                </w:p>
              </w:tc>
              <w:tc>
                <w:tcPr>
                  <w:tcW w:w="378" w:type="pct"/>
                  <w:shd w:val="clear" w:color="auto" w:fill="auto"/>
                  <w:noWrap w:val="0"/>
                  <w:vAlign w:val="center"/>
                </w:tcPr>
                <w:p w14:paraId="27885DAF">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sz w:val="21"/>
                      <w:szCs w:val="21"/>
                    </w:rPr>
                    <w:t>1</w:t>
                  </w:r>
                  <w:r>
                    <w:rPr>
                      <w:sz w:val="21"/>
                      <w:szCs w:val="21"/>
                    </w:rPr>
                    <w:t>年</w:t>
                  </w:r>
                </w:p>
              </w:tc>
            </w:tr>
            <w:tr w14:paraId="4983D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74" w:type="pct"/>
                  <w:noWrap w:val="0"/>
                  <w:vAlign w:val="center"/>
                </w:tcPr>
                <w:p w14:paraId="1C63009F">
                  <w:pPr>
                    <w:pStyle w:val="62"/>
                    <w:ind w:left="420" w:hanging="420"/>
                    <w:rPr>
                      <w:rFonts w:hint="default"/>
                      <w:sz w:val="21"/>
                      <w:szCs w:val="21"/>
                      <w:lang w:val="en-US" w:eastAsia="zh-CN"/>
                    </w:rPr>
                  </w:pPr>
                  <w:r>
                    <w:rPr>
                      <w:rFonts w:hint="eastAsia"/>
                      <w:sz w:val="21"/>
                      <w:szCs w:val="21"/>
                      <w:lang w:val="en-US" w:eastAsia="zh-CN"/>
                    </w:rPr>
                    <w:t>4</w:t>
                  </w:r>
                </w:p>
              </w:tc>
              <w:tc>
                <w:tcPr>
                  <w:tcW w:w="759" w:type="pct"/>
                  <w:shd w:val="clear" w:color="auto" w:fill="auto"/>
                  <w:noWrap w:val="0"/>
                  <w:vAlign w:val="center"/>
                </w:tcPr>
                <w:p w14:paraId="5FDE745F">
                  <w:pPr>
                    <w:kinsoku w:val="0"/>
                    <w:overflowPunct w:val="0"/>
                    <w:autoSpaceDE w:val="0"/>
                    <w:autoSpaceDN w:val="0"/>
                    <w:adjustRightInd w:val="0"/>
                    <w:jc w:val="center"/>
                    <w:rPr>
                      <w:rFonts w:hint="eastAsia" w:ascii="Times New Roman" w:hAnsi="Times New Roman" w:eastAsia="宋体" w:cs="Times New Roman"/>
                      <w:kern w:val="0"/>
                      <w:sz w:val="21"/>
                      <w:szCs w:val="21"/>
                      <w:lang w:val="en-US" w:eastAsia="zh-CN" w:bidi="ar-SA"/>
                    </w:rPr>
                  </w:pPr>
                  <w:r>
                    <w:rPr>
                      <w:kern w:val="0"/>
                      <w:szCs w:val="21"/>
                    </w:rPr>
                    <w:t>废活性炭</w:t>
                  </w:r>
                </w:p>
              </w:tc>
              <w:tc>
                <w:tcPr>
                  <w:tcW w:w="630" w:type="pct"/>
                  <w:shd w:val="clear" w:color="auto" w:fill="auto"/>
                  <w:noWrap w:val="0"/>
                  <w:vAlign w:val="center"/>
                </w:tcPr>
                <w:p w14:paraId="3082C09D">
                  <w:pPr>
                    <w:kinsoku w:val="0"/>
                    <w:overflowPunct w:val="0"/>
                    <w:autoSpaceDE w:val="0"/>
                    <w:autoSpaceDN w:val="0"/>
                    <w:adjustRightInd w:val="0"/>
                    <w:jc w:val="center"/>
                    <w:rPr>
                      <w:rFonts w:hint="eastAsia" w:ascii="Times New Roman" w:hAnsi="Times New Roman" w:eastAsia="宋体" w:cs="Times New Roman"/>
                      <w:kern w:val="0"/>
                      <w:sz w:val="21"/>
                      <w:szCs w:val="21"/>
                      <w:lang w:val="en-US" w:eastAsia="zh-CN" w:bidi="ar-SA"/>
                    </w:rPr>
                  </w:pPr>
                  <w:r>
                    <w:rPr>
                      <w:rFonts w:hint="eastAsia"/>
                      <w:kern w:val="0"/>
                      <w:szCs w:val="21"/>
                    </w:rPr>
                    <w:t>HW49</w:t>
                  </w:r>
                </w:p>
              </w:tc>
              <w:tc>
                <w:tcPr>
                  <w:tcW w:w="733" w:type="pct"/>
                  <w:shd w:val="clear" w:color="auto" w:fill="auto"/>
                  <w:noWrap w:val="0"/>
                  <w:vAlign w:val="center"/>
                </w:tcPr>
                <w:p w14:paraId="5CE3A4D0">
                  <w:pPr>
                    <w:pStyle w:val="33"/>
                    <w:rPr>
                      <w:rFonts w:hint="eastAsia" w:ascii="Times New Roman" w:hAnsi="Times New Roman" w:eastAsia="宋体" w:cs="Times New Roman"/>
                      <w:kern w:val="0"/>
                      <w:sz w:val="21"/>
                      <w:szCs w:val="21"/>
                      <w:lang w:val="en-US" w:eastAsia="zh-CN" w:bidi="ar-SA"/>
                    </w:rPr>
                  </w:pPr>
                  <w:r>
                    <w:rPr>
                      <w:kern w:val="0"/>
                      <w:szCs w:val="21"/>
                    </w:rPr>
                    <w:t>900-039-49</w:t>
                  </w:r>
                </w:p>
              </w:tc>
              <w:tc>
                <w:tcPr>
                  <w:tcW w:w="515" w:type="pct"/>
                  <w:vMerge w:val="continue"/>
                  <w:shd w:val="clear" w:color="auto" w:fill="auto"/>
                  <w:noWrap w:val="0"/>
                  <w:vAlign w:val="center"/>
                </w:tcPr>
                <w:p w14:paraId="16E3A4A1">
                  <w:pPr>
                    <w:pStyle w:val="33"/>
                    <w:rPr>
                      <w:rFonts w:hint="eastAsia" w:ascii="Times New Roman" w:hAnsi="Times New Roman" w:eastAsia="宋体" w:cs="Times New Roman"/>
                      <w:kern w:val="0"/>
                      <w:sz w:val="21"/>
                      <w:szCs w:val="21"/>
                      <w:lang w:val="en-US" w:eastAsia="zh-CN" w:bidi="ar-SA"/>
                    </w:rPr>
                  </w:pPr>
                </w:p>
              </w:tc>
              <w:tc>
                <w:tcPr>
                  <w:tcW w:w="517" w:type="pct"/>
                  <w:vMerge w:val="continue"/>
                  <w:shd w:val="clear" w:color="auto" w:fill="auto"/>
                  <w:noWrap w:val="0"/>
                  <w:vAlign w:val="center"/>
                </w:tcPr>
                <w:p w14:paraId="4EC6D9B9">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shd w:val="clear" w:color="auto" w:fill="auto"/>
                  <w:noWrap w:val="0"/>
                  <w:vAlign w:val="center"/>
                </w:tcPr>
                <w:p w14:paraId="4B97A406">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rPr>
                    <w:t>袋</w:t>
                  </w:r>
                  <w:r>
                    <w:rPr>
                      <w:sz w:val="21"/>
                      <w:szCs w:val="21"/>
                    </w:rPr>
                    <w:t>装</w:t>
                  </w:r>
                </w:p>
              </w:tc>
              <w:tc>
                <w:tcPr>
                  <w:tcW w:w="714" w:type="pct"/>
                  <w:shd w:val="clear" w:color="auto" w:fill="auto"/>
                  <w:noWrap w:val="0"/>
                  <w:vAlign w:val="center"/>
                </w:tcPr>
                <w:p w14:paraId="0FB0CAF8">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cs="Times New Roman"/>
                      <w:kern w:val="0"/>
                      <w:sz w:val="21"/>
                      <w:szCs w:val="21"/>
                      <w:lang w:val="en-US" w:eastAsia="zh-CN" w:bidi="he-IL"/>
                    </w:rPr>
                    <w:t>0.3</w:t>
                  </w:r>
                </w:p>
              </w:tc>
              <w:tc>
                <w:tcPr>
                  <w:tcW w:w="378" w:type="pct"/>
                  <w:shd w:val="clear" w:color="auto" w:fill="auto"/>
                  <w:noWrap w:val="0"/>
                  <w:vAlign w:val="center"/>
                </w:tcPr>
                <w:p w14:paraId="4468AC8F">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041A3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74" w:type="pct"/>
                  <w:noWrap w:val="0"/>
                  <w:vAlign w:val="center"/>
                </w:tcPr>
                <w:p w14:paraId="4C8A467C">
                  <w:pPr>
                    <w:pStyle w:val="62"/>
                    <w:ind w:left="420" w:hanging="420"/>
                    <w:rPr>
                      <w:rFonts w:hint="default"/>
                      <w:sz w:val="21"/>
                      <w:szCs w:val="21"/>
                      <w:lang w:val="en-US" w:eastAsia="zh-CN"/>
                    </w:rPr>
                  </w:pPr>
                  <w:r>
                    <w:rPr>
                      <w:rFonts w:hint="eastAsia"/>
                      <w:sz w:val="21"/>
                      <w:szCs w:val="21"/>
                      <w:lang w:val="en-US" w:eastAsia="zh-CN"/>
                    </w:rPr>
                    <w:t>5</w:t>
                  </w:r>
                </w:p>
              </w:tc>
              <w:tc>
                <w:tcPr>
                  <w:tcW w:w="759" w:type="pct"/>
                  <w:shd w:val="clear" w:color="auto" w:fill="auto"/>
                  <w:noWrap w:val="0"/>
                  <w:vAlign w:val="center"/>
                </w:tcPr>
                <w:p w14:paraId="57ACFFD8">
                  <w:pPr>
                    <w:kinsoku w:val="0"/>
                    <w:overflowPunct w:val="0"/>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废机油、废液压油</w:t>
                  </w:r>
                </w:p>
              </w:tc>
              <w:tc>
                <w:tcPr>
                  <w:tcW w:w="630" w:type="pct"/>
                  <w:shd w:val="clear" w:color="auto" w:fill="auto"/>
                  <w:noWrap w:val="0"/>
                  <w:vAlign w:val="center"/>
                </w:tcPr>
                <w:p w14:paraId="4C8852A7">
                  <w:pPr>
                    <w:kinsoku w:val="0"/>
                    <w:overflowPunct w:val="0"/>
                    <w:autoSpaceDE w:val="0"/>
                    <w:autoSpaceDN w:val="0"/>
                    <w:adjustRightInd w:val="0"/>
                    <w:jc w:val="center"/>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HW08</w:t>
                  </w:r>
                </w:p>
              </w:tc>
              <w:tc>
                <w:tcPr>
                  <w:tcW w:w="733" w:type="pct"/>
                  <w:shd w:val="clear" w:color="auto" w:fill="auto"/>
                  <w:noWrap w:val="0"/>
                  <w:vAlign w:val="center"/>
                </w:tcPr>
                <w:p w14:paraId="14EC1AE8">
                  <w:pPr>
                    <w:pStyle w:val="33"/>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900-217-08</w:t>
                  </w:r>
                </w:p>
              </w:tc>
              <w:tc>
                <w:tcPr>
                  <w:tcW w:w="515" w:type="pct"/>
                  <w:vMerge w:val="continue"/>
                  <w:shd w:val="clear" w:color="auto" w:fill="auto"/>
                  <w:noWrap w:val="0"/>
                  <w:vAlign w:val="center"/>
                </w:tcPr>
                <w:p w14:paraId="1B153C8D">
                  <w:pPr>
                    <w:pStyle w:val="33"/>
                    <w:rPr>
                      <w:rFonts w:hint="eastAsia" w:ascii="Times New Roman" w:hAnsi="Times New Roman" w:eastAsia="宋体" w:cs="Times New Roman"/>
                      <w:kern w:val="0"/>
                      <w:sz w:val="21"/>
                      <w:szCs w:val="21"/>
                      <w:lang w:val="en-US" w:eastAsia="zh-CN" w:bidi="ar-SA"/>
                    </w:rPr>
                  </w:pPr>
                </w:p>
              </w:tc>
              <w:tc>
                <w:tcPr>
                  <w:tcW w:w="517" w:type="pct"/>
                  <w:vMerge w:val="continue"/>
                  <w:shd w:val="clear" w:color="auto" w:fill="auto"/>
                  <w:noWrap w:val="0"/>
                  <w:vAlign w:val="center"/>
                </w:tcPr>
                <w:p w14:paraId="0E38946A">
                  <w:pPr>
                    <w:pStyle w:val="62"/>
                    <w:ind w:left="420" w:leftChars="0" w:hanging="420" w:hangingChars="200"/>
                    <w:rPr>
                      <w:rFonts w:hint="eastAsia" w:ascii="Times New Roman" w:hAnsi="Times New Roman" w:eastAsia="宋体" w:cs="Times New Roman"/>
                      <w:kern w:val="0"/>
                      <w:sz w:val="21"/>
                      <w:szCs w:val="21"/>
                      <w:lang w:val="en-US" w:eastAsia="zh-CN" w:bidi="he-IL"/>
                    </w:rPr>
                  </w:pPr>
                </w:p>
              </w:tc>
              <w:tc>
                <w:tcPr>
                  <w:tcW w:w="476" w:type="pct"/>
                  <w:shd w:val="clear" w:color="auto" w:fill="auto"/>
                  <w:noWrap w:val="0"/>
                  <w:vAlign w:val="center"/>
                </w:tcPr>
                <w:p w14:paraId="2683FD23">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桶装</w:t>
                  </w:r>
                </w:p>
              </w:tc>
              <w:tc>
                <w:tcPr>
                  <w:tcW w:w="714" w:type="pct"/>
                  <w:shd w:val="clear" w:color="auto" w:fill="auto"/>
                  <w:noWrap w:val="0"/>
                  <w:vAlign w:val="center"/>
                </w:tcPr>
                <w:p w14:paraId="35F2C90A">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cs="Times New Roman"/>
                      <w:kern w:val="0"/>
                      <w:sz w:val="21"/>
                      <w:szCs w:val="21"/>
                      <w:lang w:val="en-US" w:eastAsia="zh-CN" w:bidi="he-IL"/>
                    </w:rPr>
                    <w:t>0.2</w:t>
                  </w:r>
                </w:p>
              </w:tc>
              <w:tc>
                <w:tcPr>
                  <w:tcW w:w="378" w:type="pct"/>
                  <w:shd w:val="clear" w:color="auto" w:fill="auto"/>
                  <w:noWrap w:val="0"/>
                  <w:vAlign w:val="center"/>
                </w:tcPr>
                <w:p w14:paraId="65C3CA22">
                  <w:pPr>
                    <w:pStyle w:val="62"/>
                    <w:ind w:left="420" w:leftChars="0" w:hanging="420" w:hangingChars="200"/>
                    <w:rPr>
                      <w:rFonts w:hint="eastAsia" w:ascii="Times New Roman" w:hAnsi="Times New Roman" w:eastAsia="宋体" w:cs="Times New Roman"/>
                      <w:kern w:val="0"/>
                      <w:sz w:val="21"/>
                      <w:szCs w:val="21"/>
                      <w:lang w:val="en-US" w:eastAsia="zh-CN" w:bidi="he-IL"/>
                    </w:rPr>
                  </w:pPr>
                  <w:r>
                    <w:rPr>
                      <w:rFonts w:hint="eastAsia"/>
                      <w:sz w:val="21"/>
                      <w:szCs w:val="21"/>
                      <w:lang w:val="en-US" w:eastAsia="zh-CN"/>
                    </w:rPr>
                    <w:t>1年</w:t>
                  </w:r>
                </w:p>
              </w:tc>
            </w:tr>
            <w:tr w14:paraId="12136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4" w:type="pct"/>
                  <w:noWrap w:val="0"/>
                  <w:vAlign w:val="center"/>
                </w:tcPr>
                <w:p w14:paraId="19D34ADD">
                  <w:pPr>
                    <w:pStyle w:val="62"/>
                    <w:ind w:left="420" w:hanging="420"/>
                    <w:rPr>
                      <w:rFonts w:hint="default"/>
                      <w:sz w:val="21"/>
                      <w:szCs w:val="21"/>
                      <w:lang w:val="en-US" w:eastAsia="zh-CN"/>
                    </w:rPr>
                  </w:pPr>
                  <w:r>
                    <w:rPr>
                      <w:rFonts w:hint="eastAsia"/>
                      <w:sz w:val="21"/>
                      <w:szCs w:val="21"/>
                      <w:lang w:val="en-US" w:eastAsia="zh-CN"/>
                    </w:rPr>
                    <w:t>6</w:t>
                  </w:r>
                </w:p>
              </w:tc>
              <w:tc>
                <w:tcPr>
                  <w:tcW w:w="759" w:type="pct"/>
                  <w:shd w:val="clear" w:color="auto" w:fill="auto"/>
                  <w:noWrap w:val="0"/>
                  <w:vAlign w:val="center"/>
                </w:tcPr>
                <w:p w14:paraId="3B3D3049">
                  <w:pPr>
                    <w:kinsoku w:val="0"/>
                    <w:overflowPunct w:val="0"/>
                    <w:autoSpaceDE w:val="0"/>
                    <w:autoSpaceDN w:val="0"/>
                    <w:adjustRightInd w:val="0"/>
                    <w:jc w:val="center"/>
                    <w:rPr>
                      <w:rFonts w:hint="default"/>
                      <w:kern w:val="0"/>
                      <w:szCs w:val="21"/>
                      <w:lang w:val="en-US" w:eastAsia="zh-CN"/>
                    </w:rPr>
                  </w:pPr>
                  <w:r>
                    <w:rPr>
                      <w:rFonts w:hint="eastAsia"/>
                      <w:kern w:val="0"/>
                      <w:szCs w:val="21"/>
                      <w:lang w:val="en-US" w:eastAsia="zh-CN"/>
                    </w:rPr>
                    <w:t>污泥</w:t>
                  </w:r>
                </w:p>
              </w:tc>
              <w:tc>
                <w:tcPr>
                  <w:tcW w:w="630" w:type="pct"/>
                  <w:shd w:val="clear" w:color="auto" w:fill="auto"/>
                  <w:noWrap w:val="0"/>
                  <w:vAlign w:val="center"/>
                </w:tcPr>
                <w:p w14:paraId="4C06A00C">
                  <w:pPr>
                    <w:kinsoku w:val="0"/>
                    <w:overflowPunct w:val="0"/>
                    <w:autoSpaceDE w:val="0"/>
                    <w:autoSpaceDN w:val="0"/>
                    <w:adjustRightInd w:val="0"/>
                    <w:jc w:val="center"/>
                    <w:rPr>
                      <w:rFonts w:hint="eastAsia"/>
                      <w:kern w:val="0"/>
                      <w:szCs w:val="21"/>
                      <w:lang w:val="en-US" w:eastAsia="zh-CN"/>
                    </w:rPr>
                  </w:pPr>
                  <w:r>
                    <w:rPr>
                      <w:rFonts w:hint="eastAsia"/>
                      <w:kern w:val="0"/>
                      <w:szCs w:val="21"/>
                      <w:lang w:val="en-US" w:eastAsia="zh-CN"/>
                    </w:rPr>
                    <w:t>HW08</w:t>
                  </w:r>
                </w:p>
              </w:tc>
              <w:tc>
                <w:tcPr>
                  <w:tcW w:w="733" w:type="pct"/>
                  <w:shd w:val="clear" w:color="auto" w:fill="auto"/>
                  <w:noWrap w:val="0"/>
                  <w:vAlign w:val="center"/>
                </w:tcPr>
                <w:p w14:paraId="56F8CF2C">
                  <w:pPr>
                    <w:pStyle w:val="33"/>
                    <w:rPr>
                      <w:rFonts w:hint="eastAsia"/>
                      <w:kern w:val="0"/>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900-209-08</w:t>
                  </w:r>
                </w:p>
              </w:tc>
              <w:tc>
                <w:tcPr>
                  <w:tcW w:w="515" w:type="pct"/>
                  <w:vMerge w:val="continue"/>
                  <w:shd w:val="clear" w:color="auto" w:fill="auto"/>
                  <w:noWrap w:val="0"/>
                  <w:vAlign w:val="center"/>
                </w:tcPr>
                <w:p w14:paraId="7BC24B64">
                  <w:pPr>
                    <w:pStyle w:val="33"/>
                    <w:rPr>
                      <w:rFonts w:hint="eastAsia"/>
                      <w:kern w:val="0"/>
                      <w:szCs w:val="21"/>
                      <w:lang w:val="en-US" w:eastAsia="zh-CN"/>
                    </w:rPr>
                  </w:pPr>
                </w:p>
              </w:tc>
              <w:tc>
                <w:tcPr>
                  <w:tcW w:w="517" w:type="pct"/>
                  <w:vMerge w:val="continue"/>
                  <w:shd w:val="clear" w:color="auto" w:fill="auto"/>
                  <w:noWrap w:val="0"/>
                  <w:vAlign w:val="center"/>
                </w:tcPr>
                <w:p w14:paraId="39A00C5E">
                  <w:pPr>
                    <w:pStyle w:val="62"/>
                    <w:ind w:left="420" w:leftChars="0" w:hanging="420" w:hangingChars="200"/>
                    <w:rPr>
                      <w:rFonts w:hint="eastAsia"/>
                      <w:sz w:val="21"/>
                      <w:szCs w:val="21"/>
                      <w:lang w:val="en-US" w:eastAsia="zh-CN"/>
                    </w:rPr>
                  </w:pPr>
                </w:p>
              </w:tc>
              <w:tc>
                <w:tcPr>
                  <w:tcW w:w="476" w:type="pct"/>
                  <w:shd w:val="clear" w:color="auto" w:fill="auto"/>
                  <w:noWrap w:val="0"/>
                  <w:vAlign w:val="center"/>
                </w:tcPr>
                <w:p w14:paraId="3557F278">
                  <w:pPr>
                    <w:pStyle w:val="62"/>
                    <w:ind w:left="420" w:leftChars="0" w:hanging="420" w:hangingChars="200"/>
                    <w:rPr>
                      <w:rFonts w:hint="default"/>
                      <w:sz w:val="21"/>
                      <w:szCs w:val="21"/>
                      <w:lang w:val="en-US" w:eastAsia="zh-CN"/>
                    </w:rPr>
                  </w:pPr>
                  <w:r>
                    <w:rPr>
                      <w:rFonts w:hint="eastAsia"/>
                      <w:sz w:val="21"/>
                      <w:szCs w:val="21"/>
                      <w:lang w:val="en-US" w:eastAsia="zh-CN"/>
                    </w:rPr>
                    <w:t>桶装</w:t>
                  </w:r>
                </w:p>
              </w:tc>
              <w:tc>
                <w:tcPr>
                  <w:tcW w:w="714" w:type="pct"/>
                  <w:shd w:val="clear" w:color="auto" w:fill="auto"/>
                  <w:noWrap w:val="0"/>
                  <w:vAlign w:val="center"/>
                </w:tcPr>
                <w:p w14:paraId="2BA9DD0E">
                  <w:pPr>
                    <w:pStyle w:val="62"/>
                    <w:ind w:left="420" w:leftChars="0" w:hanging="420" w:hangingChars="200"/>
                    <w:rPr>
                      <w:rFonts w:hint="default" w:cs="Times New Roman"/>
                      <w:kern w:val="0"/>
                      <w:sz w:val="21"/>
                      <w:szCs w:val="21"/>
                      <w:lang w:val="en-US" w:eastAsia="zh-CN" w:bidi="he-IL"/>
                    </w:rPr>
                  </w:pPr>
                  <w:r>
                    <w:rPr>
                      <w:rFonts w:hint="eastAsia" w:cs="Times New Roman"/>
                      <w:kern w:val="0"/>
                      <w:sz w:val="21"/>
                      <w:szCs w:val="21"/>
                      <w:lang w:val="en-US" w:eastAsia="zh-CN" w:bidi="he-IL"/>
                    </w:rPr>
                    <w:t>0.2</w:t>
                  </w:r>
                </w:p>
              </w:tc>
              <w:tc>
                <w:tcPr>
                  <w:tcW w:w="378" w:type="pct"/>
                  <w:shd w:val="clear" w:color="auto" w:fill="auto"/>
                  <w:noWrap w:val="0"/>
                  <w:vAlign w:val="center"/>
                </w:tcPr>
                <w:p w14:paraId="5590ACFB">
                  <w:pPr>
                    <w:pStyle w:val="62"/>
                    <w:ind w:left="420" w:leftChars="0" w:hanging="420" w:hangingChars="200"/>
                    <w:rPr>
                      <w:rFonts w:hint="default"/>
                      <w:sz w:val="21"/>
                      <w:szCs w:val="21"/>
                      <w:lang w:val="en-US" w:eastAsia="zh-CN"/>
                    </w:rPr>
                  </w:pPr>
                  <w:r>
                    <w:rPr>
                      <w:rFonts w:hint="eastAsia"/>
                      <w:sz w:val="21"/>
                      <w:szCs w:val="21"/>
                      <w:lang w:val="en-US" w:eastAsia="zh-CN"/>
                    </w:rPr>
                    <w:t>1年</w:t>
                  </w:r>
                </w:p>
              </w:tc>
            </w:tr>
          </w:tbl>
          <w:p w14:paraId="5C1E7F5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highlight w:val="none"/>
                <w:lang w:val="zh-CN" w:eastAsia="zh-CN"/>
              </w:rPr>
            </w:pPr>
            <w:bookmarkStart w:id="169" w:name="_Toc27590"/>
            <w:r>
              <w:rPr>
                <w:rFonts w:hint="eastAsia"/>
                <w:b/>
                <w:color w:val="262626"/>
                <w:kern w:val="0"/>
                <w:sz w:val="24"/>
                <w:highlight w:val="none"/>
                <w:lang w:val="zh-CN" w:eastAsia="zh-CN"/>
              </w:rPr>
              <w:t>4.4.2固废管理要求</w:t>
            </w:r>
            <w:bookmarkEnd w:id="168"/>
            <w:bookmarkEnd w:id="169"/>
          </w:p>
          <w:p w14:paraId="5521F4DC">
            <w:pPr>
              <w:spacing w:line="360" w:lineRule="auto"/>
              <w:ind w:firstLine="480" w:firstLineChars="200"/>
              <w:rPr>
                <w:color w:val="262626"/>
                <w:sz w:val="24"/>
              </w:rPr>
            </w:pPr>
            <w:r>
              <w:rPr>
                <w:rFonts w:hint="eastAsia"/>
                <w:color w:val="262626"/>
                <w:sz w:val="24"/>
              </w:rPr>
              <w:t>本项目在生产过程中产生的</w:t>
            </w:r>
            <w:r>
              <w:rPr>
                <w:rFonts w:hint="eastAsia"/>
                <w:color w:val="000000"/>
                <w:sz w:val="24"/>
                <w:lang w:val="en-US" w:eastAsia="zh-CN"/>
              </w:rPr>
              <w:t>布袋除尘器收集到的金属粉尘、废布袋、废包装纸箱、包装袋属于一般工业固体废物</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 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0A448CB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70" w:name="_Toc9650"/>
            <w:bookmarkStart w:id="171" w:name="_Toc30940"/>
            <w:r>
              <w:rPr>
                <w:rFonts w:hint="eastAsia"/>
                <w:b/>
                <w:color w:val="262626"/>
                <w:kern w:val="0"/>
                <w:sz w:val="24"/>
                <w:lang w:val="zh-CN" w:eastAsia="zh-CN"/>
              </w:rPr>
              <w:t>4.4.3危险废物管理要求</w:t>
            </w:r>
            <w:bookmarkEnd w:id="170"/>
            <w:bookmarkEnd w:id="171"/>
          </w:p>
          <w:p w14:paraId="6DE10EC9">
            <w:pPr>
              <w:pStyle w:val="35"/>
              <w:spacing w:line="360" w:lineRule="auto"/>
              <w:ind w:firstLine="480"/>
              <w:rPr>
                <w:rFonts w:ascii="Times New Roman" w:hAnsi="Times New Roman" w:eastAsia="宋体" w:cs="Times New Roman"/>
                <w:color w:val="262626"/>
                <w:kern w:val="2"/>
                <w:sz w:val="24"/>
                <w:szCs w:val="24"/>
                <w:lang w:val="en-US" w:eastAsia="zh-CN" w:bidi="ar-SA"/>
              </w:rPr>
            </w:pP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3B40509C">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611B6FCC">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744E8A17">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19EABA98">
            <w:pPr>
              <w:spacing w:line="360" w:lineRule="auto"/>
              <w:ind w:firstLine="480" w:firstLineChars="200"/>
              <w:rPr>
                <w:rFonts w:hint="eastAsia"/>
                <w:color w:val="262626"/>
                <w:sz w:val="24"/>
              </w:rPr>
            </w:pPr>
            <w:r>
              <w:rPr>
                <w:rFonts w:hint="eastAsia"/>
                <w:color w:val="262626"/>
                <w:sz w:val="24"/>
                <w:lang w:val="en-US" w:eastAsia="zh-CN"/>
              </w:rPr>
              <w:t>③</w:t>
            </w:r>
            <w:r>
              <w:rPr>
                <w:rFonts w:hint="eastAsia"/>
                <w:color w:val="262626"/>
                <w:sz w:val="24"/>
              </w:rPr>
              <w:t xml:space="preserve">危险废物标签应标明以下信息：主要化学成分或危险废物名称、数量、物理形态、危险类别、安全措施以及危险废物产生单位名称、地址、联系人及电话。 </w:t>
            </w:r>
          </w:p>
          <w:p w14:paraId="66230DB1">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6473118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46255CAC">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4EDBD6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F32974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3F4275E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262626"/>
                <w:sz w:val="24"/>
                <w:vertAlign w:val="superscript"/>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ascii="Times New Roman" w:hAnsi="Times New Roman" w:eastAsia="宋体" w:cs="Times New Roman"/>
                <w:color w:val="262626"/>
                <w:sz w:val="24"/>
                <w:vertAlign w:val="superscript"/>
              </w:rPr>
              <w:t>-10</w:t>
            </w:r>
            <w:r>
              <w:rPr>
                <w:rFonts w:hint="eastAsia" w:ascii="Times New Roman" w:hAnsi="Times New Roman" w:eastAsia="宋体" w:cs="Times New Roman"/>
                <w:color w:val="262626"/>
                <w:sz w:val="24"/>
              </w:rPr>
              <w:t>cm/s），或其他防渗性能等效的材料；</w:t>
            </w:r>
          </w:p>
          <w:p w14:paraId="79B8B8D4">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1BD9CDA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08B5A87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6499C999">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2D52A35">
            <w:pPr>
              <w:pStyle w:val="63"/>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6CEB878A">
            <w:pPr>
              <w:pStyle w:val="63"/>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710F58F4">
            <w:pPr>
              <w:pStyle w:val="63"/>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48C82FD8">
            <w:pPr>
              <w:pStyle w:val="63"/>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6A5AA413">
            <w:pPr>
              <w:pStyle w:val="63"/>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7D216089">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3D68225E">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w:t>
            </w:r>
            <w:r>
              <w:rPr>
                <w:rFonts w:hint="eastAsia" w:cs="Times New Roman"/>
                <w:color w:val="auto"/>
                <w:lang w:eastAsia="zh-CN"/>
              </w:rPr>
              <w:t>程中</w:t>
            </w:r>
            <w:r>
              <w:rPr>
                <w:rFonts w:hint="eastAsia" w:ascii="Times New Roman" w:hAnsi="Times New Roman" w:eastAsia="宋体" w:cs="Times New Roman"/>
                <w:color w:val="auto"/>
              </w:rPr>
              <w:t>需注意：</w:t>
            </w:r>
          </w:p>
          <w:p w14:paraId="37CAFF02">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4CC957EE">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691AD1B0">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44EB5D10">
            <w:pPr>
              <w:pStyle w:val="63"/>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65C15DAC">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72" w:name="_Toc26263"/>
            <w:bookmarkStart w:id="173" w:name="_Toc28081"/>
            <w:r>
              <w:rPr>
                <w:rFonts w:hint="eastAsia" w:ascii="Times New Roman" w:hAnsi="Times New Roman" w:eastAsia="宋体" w:cs="Times New Roman"/>
                <w:color w:val="auto"/>
                <w:sz w:val="28"/>
                <w:szCs w:val="28"/>
                <w:u w:val="none"/>
                <w:lang w:val="en-US" w:eastAsia="zh-CN"/>
              </w:rPr>
              <w:t>4.5地下水、土壤环境影响和保护措施</w:t>
            </w:r>
            <w:bookmarkEnd w:id="172"/>
            <w:bookmarkEnd w:id="173"/>
          </w:p>
          <w:p w14:paraId="4CFC4F2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74" w:name="_Toc29533"/>
            <w:bookmarkStart w:id="175" w:name="_Toc22084"/>
            <w:r>
              <w:rPr>
                <w:rFonts w:hint="eastAsia"/>
                <w:b/>
                <w:color w:val="262626"/>
                <w:kern w:val="0"/>
                <w:sz w:val="24"/>
                <w:lang w:val="zh-CN" w:eastAsia="zh-CN"/>
              </w:rPr>
              <w:t>4.5.1 地下水、土壤环境影响分析</w:t>
            </w:r>
            <w:bookmarkEnd w:id="174"/>
            <w:bookmarkEnd w:id="175"/>
          </w:p>
          <w:p w14:paraId="44352099">
            <w:pPr>
              <w:pStyle w:val="57"/>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hint="eastAsia"/>
                <w:bCs w:val="0"/>
                <w:color w:val="262626"/>
                <w:szCs w:val="24"/>
                <w:lang w:val="en-US" w:eastAsia="zh-CN"/>
              </w:rPr>
              <w:t>危险废物贮存</w:t>
            </w:r>
            <w:r>
              <w:rPr>
                <w:rFonts w:ascii="Times New Roman" w:hAnsi="Times New Roman"/>
                <w:bCs w:val="0"/>
                <w:color w:val="262626"/>
                <w:szCs w:val="24"/>
              </w:rPr>
              <w:t>场地、污水管网系统堵塞、管道破裂破损情况下等污水下渗对地下水造成的污染</w:t>
            </w:r>
            <w:r>
              <w:rPr>
                <w:rFonts w:hint="eastAsia" w:ascii="Times New Roman" w:hAnsi="Times New Roman"/>
                <w:bCs w:val="0"/>
                <w:color w:val="262626"/>
                <w:szCs w:val="24"/>
              </w:rPr>
              <w:t>。</w:t>
            </w:r>
          </w:p>
          <w:p w14:paraId="1D878498">
            <w:pPr>
              <w:pStyle w:val="57"/>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27F7EE3C">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76" w:name="_Toc19666"/>
            <w:bookmarkStart w:id="177" w:name="_Toc19603"/>
            <w:r>
              <w:rPr>
                <w:rFonts w:hint="eastAsia"/>
                <w:b/>
                <w:color w:val="262626"/>
                <w:kern w:val="0"/>
                <w:sz w:val="24"/>
                <w:lang w:val="zh-CN" w:eastAsia="zh-CN"/>
              </w:rPr>
              <w:t>4.5.2 地下水、土壤环境防控措施</w:t>
            </w:r>
            <w:bookmarkEnd w:id="176"/>
            <w:bookmarkEnd w:id="177"/>
          </w:p>
          <w:p w14:paraId="1A0C7112">
            <w:pPr>
              <w:pStyle w:val="57"/>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78A447C3">
            <w:pPr>
              <w:pStyle w:val="57"/>
              <w:spacing w:line="360" w:lineRule="auto"/>
              <w:ind w:firstLine="480"/>
              <w:rPr>
                <w:color w:val="262626"/>
              </w:rPr>
            </w:pPr>
            <w:bookmarkStart w:id="178" w:name="_Toc12701"/>
            <w:bookmarkStart w:id="179" w:name="_Toc19130"/>
            <w:bookmarkStart w:id="180" w:name="_Toc15205"/>
            <w:bookmarkStart w:id="181" w:name="_Toc9711"/>
            <w:bookmarkStart w:id="182" w:name="_Toc3195"/>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 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178"/>
          <w:bookmarkEnd w:id="179"/>
          <w:bookmarkEnd w:id="180"/>
          <w:bookmarkEnd w:id="181"/>
          <w:bookmarkEnd w:id="182"/>
          <w:p w14:paraId="4087ADEA">
            <w:pPr>
              <w:pStyle w:val="57"/>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w:t>
            </w:r>
            <w:bookmarkStart w:id="229" w:name="_GoBack"/>
            <w:bookmarkEnd w:id="229"/>
            <w:r>
              <w:rPr>
                <w:rFonts w:ascii="Times New Roman" w:hAnsi="Times New Roman"/>
                <w:szCs w:val="24"/>
              </w:rPr>
              <w:t>环保部门应与市政部门密切配合，强化监测与管理工作</w:t>
            </w:r>
            <w:r>
              <w:rPr>
                <w:rFonts w:hint="eastAsia" w:ascii="Times New Roman" w:hAnsi="Times New Roman"/>
                <w:szCs w:val="24"/>
              </w:rPr>
              <w:t>；</w:t>
            </w:r>
          </w:p>
          <w:p w14:paraId="2173EA2A">
            <w:pPr>
              <w:pStyle w:val="57"/>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1B63EF67">
            <w:pPr>
              <w:pStyle w:val="11"/>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68E979B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4"/>
                <w:rFonts w:ascii="Times New Roman" w:hAnsi="Times New Roman"/>
                <w:b/>
                <w:bCs/>
                <w:color w:val="262626"/>
                <w:kern w:val="0"/>
                <w:sz w:val="28"/>
                <w:szCs w:val="28"/>
              </w:rPr>
            </w:pPr>
            <w:bookmarkStart w:id="183" w:name="_Toc2007"/>
            <w:bookmarkStart w:id="184" w:name="_Toc14512"/>
            <w:r>
              <w:rPr>
                <w:rStyle w:val="64"/>
                <w:rFonts w:ascii="Times New Roman" w:hAnsi="Times New Roman"/>
                <w:b/>
                <w:bCs/>
                <w:color w:val="262626"/>
                <w:kern w:val="0"/>
                <w:sz w:val="28"/>
                <w:szCs w:val="28"/>
              </w:rPr>
              <w:t>4.</w:t>
            </w:r>
            <w:r>
              <w:rPr>
                <w:rStyle w:val="64"/>
                <w:rFonts w:hint="eastAsia" w:ascii="Times New Roman" w:hAnsi="Times New Roman"/>
                <w:b/>
                <w:bCs/>
                <w:color w:val="262626"/>
                <w:kern w:val="0"/>
                <w:sz w:val="28"/>
                <w:szCs w:val="28"/>
              </w:rPr>
              <w:t>6</w:t>
            </w:r>
            <w:r>
              <w:rPr>
                <w:rStyle w:val="64"/>
                <w:rFonts w:ascii="Times New Roman" w:hAnsi="Times New Roman"/>
                <w:b/>
                <w:bCs/>
                <w:color w:val="262626"/>
                <w:kern w:val="0"/>
                <w:sz w:val="28"/>
                <w:szCs w:val="28"/>
              </w:rPr>
              <w:t>环境风险分析</w:t>
            </w:r>
            <w:bookmarkEnd w:id="183"/>
            <w:bookmarkEnd w:id="184"/>
          </w:p>
          <w:p w14:paraId="6D259EE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85" w:name="_Toc10699"/>
            <w:bookmarkStart w:id="186" w:name="_Toc27752"/>
            <w:r>
              <w:rPr>
                <w:rFonts w:hint="eastAsia"/>
                <w:b/>
                <w:color w:val="262626"/>
                <w:kern w:val="0"/>
                <w:sz w:val="24"/>
                <w:lang w:val="en-US" w:eastAsia="zh-CN"/>
              </w:rPr>
              <w:t>4.6.1</w:t>
            </w:r>
            <w:r>
              <w:rPr>
                <w:rFonts w:hint="default"/>
                <w:b/>
                <w:color w:val="262626"/>
                <w:kern w:val="0"/>
                <w:sz w:val="24"/>
                <w:lang w:val="en-US" w:eastAsia="zh-CN"/>
              </w:rPr>
              <w:t>项目危险物质调查</w:t>
            </w:r>
            <w:bookmarkEnd w:id="185"/>
            <w:bookmarkEnd w:id="186"/>
          </w:p>
          <w:p w14:paraId="1BE07BC1">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ascii="Times New Roman" w:hAnsi="Times New Roman" w:eastAsia="宋体" w:cs="Times New Roman"/>
                <w:color w:val="auto"/>
                <w:sz w:val="24"/>
                <w:lang w:val="en-US" w:eastAsia="zh-CN"/>
              </w:rPr>
              <w:t>对照《危险化学品重大危险源辨识》（GB18218-2018）、</w:t>
            </w:r>
            <w:r>
              <w:rPr>
                <w:rFonts w:hint="default" w:ascii="Times New Roman" w:hAnsi="Times New Roman" w:eastAsia="宋体" w:cs="Times New Roman"/>
                <w:color w:val="auto"/>
                <w:sz w:val="24"/>
              </w:rPr>
              <w:t>《建设项目环境风险评价技术导则》（HJ/T169-2018）和《</w:t>
            </w:r>
            <w:r>
              <w:rPr>
                <w:rFonts w:hint="default" w:ascii="Times New Roman" w:hAnsi="Times New Roman" w:eastAsia="宋体" w:cs="Times New Roman"/>
                <w:color w:val="auto"/>
                <w:sz w:val="24"/>
                <w:lang w:val="en-US" w:eastAsia="zh-CN"/>
              </w:rPr>
              <w:t>关于进一步加强环境影响评价管理防范环境风险的通知》</w:t>
            </w:r>
            <w:r>
              <w:rPr>
                <w:rFonts w:hint="default" w:ascii="Times New Roman" w:hAnsi="Times New Roman" w:eastAsia="宋体" w:cs="Times New Roman"/>
                <w:color w:val="auto"/>
                <w:sz w:val="24"/>
              </w:rPr>
              <w:t>（环发</w:t>
            </w:r>
            <w:r>
              <w:rPr>
                <w:rFonts w:hint="eastAsia" w:ascii="宋体" w:hAnsi="宋体" w:eastAsia="宋体" w:cs="宋体"/>
                <w:color w:val="auto"/>
                <w:sz w:val="24"/>
                <w:lang w:val="en-US" w:eastAsia="zh-CN"/>
              </w:rPr>
              <w:t>〔2012〕77</w:t>
            </w:r>
            <w:r>
              <w:rPr>
                <w:rFonts w:hint="default" w:ascii="Times New Roman" w:hAnsi="Times New Roman" w:eastAsia="宋体" w:cs="Times New Roman"/>
                <w:color w:val="auto"/>
                <w:sz w:val="24"/>
              </w:rPr>
              <w:t>号），对环境风险源进行了识别，本项目</w:t>
            </w:r>
            <w:r>
              <w:rPr>
                <w:rFonts w:hint="eastAsia" w:ascii="Times New Roman" w:hAnsi="Times New Roman" w:eastAsia="宋体" w:cs="Times New Roman"/>
                <w:color w:val="auto"/>
                <w:sz w:val="24"/>
                <w:lang w:val="en-US" w:eastAsia="zh-CN"/>
              </w:rPr>
              <w:t>使用液压油、机油，</w:t>
            </w:r>
            <w:r>
              <w:rPr>
                <w:rFonts w:hint="default" w:ascii="Times New Roman" w:hAnsi="Times New Roman" w:eastAsia="宋体" w:cs="Times New Roman"/>
                <w:color w:val="auto"/>
                <w:sz w:val="24"/>
              </w:rPr>
              <w:t>涉及</w:t>
            </w:r>
            <w:r>
              <w:rPr>
                <w:rFonts w:hint="eastAsia" w:ascii="Times New Roman" w:hAnsi="Times New Roman" w:eastAsia="宋体" w:cs="Times New Roman"/>
                <w:color w:val="auto"/>
                <w:sz w:val="24"/>
                <w:lang w:val="en-US" w:eastAsia="zh-CN"/>
              </w:rPr>
              <w:t>突发环境风险物质中的油类物质，临界量为2500。风险物质情况</w:t>
            </w:r>
            <w:r>
              <w:rPr>
                <w:rFonts w:hint="eastAsia"/>
                <w:color w:val="auto"/>
                <w:sz w:val="24"/>
                <w:lang w:val="en-US" w:eastAsia="zh-CN"/>
              </w:rPr>
              <w:t>详见表4.6-1。</w:t>
            </w:r>
          </w:p>
          <w:p w14:paraId="2FBB0CAC">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主要</w:t>
            </w:r>
            <w:r>
              <w:rPr>
                <w:rFonts w:hint="eastAsia" w:cs="Times New Roman"/>
                <w:b/>
                <w:bCs/>
                <w:color w:val="auto"/>
                <w:sz w:val="24"/>
                <w:lang w:val="en-US" w:eastAsia="zh-CN"/>
              </w:rPr>
              <w:t>风险物质</w:t>
            </w:r>
            <w:r>
              <w:rPr>
                <w:rFonts w:hint="default" w:ascii="Times New Roman" w:hAnsi="Times New Roman" w:eastAsia="宋体" w:cs="Times New Roman"/>
                <w:b/>
                <w:bCs/>
                <w:color w:val="auto"/>
                <w:sz w:val="24"/>
                <w:lang w:eastAsia="zh-CN"/>
              </w:rPr>
              <w:t>数量</w:t>
            </w:r>
            <w:r>
              <w:rPr>
                <w:rFonts w:hint="default" w:ascii="Times New Roman" w:hAnsi="Times New Roman" w:eastAsia="宋体" w:cs="Times New Roman"/>
                <w:b/>
                <w:bCs/>
                <w:color w:val="auto"/>
                <w:sz w:val="24"/>
              </w:rPr>
              <w:t>、有害因素分布表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571"/>
              <w:gridCol w:w="1074"/>
              <w:gridCol w:w="1312"/>
              <w:gridCol w:w="1432"/>
              <w:gridCol w:w="1091"/>
              <w:gridCol w:w="951"/>
              <w:gridCol w:w="931"/>
            </w:tblGrid>
            <w:tr w14:paraId="20466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5" w:type="pct"/>
                  <w:tcBorders>
                    <w:tl2br w:val="nil"/>
                    <w:tr2bl w:val="nil"/>
                  </w:tcBorders>
                  <w:noWrap w:val="0"/>
                  <w:vAlign w:val="center"/>
                </w:tcPr>
                <w:p w14:paraId="77E23BAA">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32" w:type="pct"/>
                  <w:tcBorders>
                    <w:tl2br w:val="nil"/>
                    <w:tr2bl w:val="nil"/>
                  </w:tcBorders>
                  <w:noWrap w:val="0"/>
                  <w:vAlign w:val="center"/>
                </w:tcPr>
                <w:p w14:paraId="79A9113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25" w:type="pct"/>
                  <w:tcBorders>
                    <w:tl2br w:val="nil"/>
                    <w:tr2bl w:val="nil"/>
                  </w:tcBorders>
                  <w:noWrap w:val="0"/>
                  <w:vAlign w:val="center"/>
                </w:tcPr>
                <w:p w14:paraId="33AF9C89">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年储存量（t）</w:t>
                  </w:r>
                </w:p>
              </w:tc>
              <w:tc>
                <w:tcPr>
                  <w:tcW w:w="763" w:type="pct"/>
                  <w:tcBorders>
                    <w:tl2br w:val="nil"/>
                    <w:tr2bl w:val="nil"/>
                  </w:tcBorders>
                  <w:noWrap w:val="0"/>
                  <w:vAlign w:val="center"/>
                </w:tcPr>
                <w:p w14:paraId="5735C9B8">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最大储存量（t）</w:t>
                  </w:r>
                </w:p>
              </w:tc>
              <w:tc>
                <w:tcPr>
                  <w:tcW w:w="833" w:type="pct"/>
                  <w:tcBorders>
                    <w:tl2br w:val="nil"/>
                    <w:tr2bl w:val="nil"/>
                  </w:tcBorders>
                  <w:noWrap w:val="0"/>
                  <w:vAlign w:val="center"/>
                </w:tcPr>
                <w:p w14:paraId="2533A2E0">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634" w:type="pct"/>
                  <w:tcBorders>
                    <w:tl2br w:val="nil"/>
                    <w:tr2bl w:val="nil"/>
                  </w:tcBorders>
                  <w:noWrap w:val="0"/>
                  <w:vAlign w:val="center"/>
                </w:tcPr>
                <w:p w14:paraId="3708ADF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危险特性</w:t>
                  </w:r>
                </w:p>
              </w:tc>
              <w:tc>
                <w:tcPr>
                  <w:tcW w:w="553" w:type="pct"/>
                  <w:tcBorders>
                    <w:tl2br w:val="nil"/>
                    <w:tr2bl w:val="nil"/>
                  </w:tcBorders>
                  <w:noWrap w:val="0"/>
                  <w:vAlign w:val="center"/>
                </w:tcPr>
                <w:p w14:paraId="240E93E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临界量（t）</w:t>
                  </w:r>
                </w:p>
              </w:tc>
              <w:tc>
                <w:tcPr>
                  <w:tcW w:w="541" w:type="pct"/>
                  <w:tcBorders>
                    <w:tl2br w:val="nil"/>
                    <w:tr2bl w:val="nil"/>
                  </w:tcBorders>
                  <w:noWrap w:val="0"/>
                  <w:vAlign w:val="center"/>
                </w:tcPr>
                <w:p w14:paraId="31F51649">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187E6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15" w:type="pct"/>
                  <w:tcBorders>
                    <w:tl2br w:val="nil"/>
                    <w:tr2bl w:val="nil"/>
                  </w:tcBorders>
                  <w:shd w:val="clear" w:color="auto" w:fill="auto"/>
                  <w:noWrap w:val="0"/>
                  <w:vAlign w:val="center"/>
                </w:tcPr>
                <w:p w14:paraId="35BDA35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电阻炉炉渣（沾染油）</w:t>
                  </w:r>
                </w:p>
              </w:tc>
              <w:tc>
                <w:tcPr>
                  <w:tcW w:w="332" w:type="pct"/>
                  <w:tcBorders>
                    <w:tl2br w:val="nil"/>
                    <w:tr2bl w:val="nil"/>
                  </w:tcBorders>
                  <w:shd w:val="clear" w:color="auto" w:fill="auto"/>
                  <w:noWrap w:val="0"/>
                  <w:vAlign w:val="center"/>
                </w:tcPr>
                <w:p w14:paraId="35F3FA05">
                  <w:pPr>
                    <w:kinsoku w:val="0"/>
                    <w:overflowPunct w:val="0"/>
                    <w:autoSpaceDE w:val="0"/>
                    <w:autoSpaceDN w:val="0"/>
                    <w:adjustRightInd w:val="0"/>
                    <w:jc w:val="center"/>
                    <w:rPr>
                      <w:rFonts w:hint="default" w:cs="Times New Roman"/>
                      <w:kern w:val="0"/>
                      <w:sz w:val="21"/>
                      <w:szCs w:val="21"/>
                      <w:lang w:val="en-US" w:eastAsia="zh-CN" w:bidi="ar-SA"/>
                    </w:rPr>
                  </w:pPr>
                  <w:r>
                    <w:rPr>
                      <w:rFonts w:hint="eastAsia" w:cs="Times New Roman"/>
                      <w:kern w:val="0"/>
                      <w:sz w:val="21"/>
                      <w:szCs w:val="21"/>
                      <w:lang w:val="en-US" w:eastAsia="zh-CN" w:bidi="ar-SA"/>
                    </w:rPr>
                    <w:t>固态</w:t>
                  </w:r>
                </w:p>
              </w:tc>
              <w:tc>
                <w:tcPr>
                  <w:tcW w:w="625" w:type="pct"/>
                  <w:tcBorders>
                    <w:tl2br w:val="nil"/>
                    <w:tr2bl w:val="nil"/>
                  </w:tcBorders>
                  <w:shd w:val="clear" w:color="auto" w:fill="auto"/>
                  <w:noWrap w:val="0"/>
                  <w:vAlign w:val="center"/>
                </w:tcPr>
                <w:p w14:paraId="74F7937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0.1903</w:t>
                  </w:r>
                </w:p>
              </w:tc>
              <w:tc>
                <w:tcPr>
                  <w:tcW w:w="763" w:type="pct"/>
                  <w:tcBorders>
                    <w:tl2br w:val="nil"/>
                    <w:tr2bl w:val="nil"/>
                  </w:tcBorders>
                  <w:shd w:val="clear" w:color="auto" w:fill="auto"/>
                  <w:noWrap w:val="0"/>
                  <w:vAlign w:val="center"/>
                </w:tcPr>
                <w:p w14:paraId="3F349319">
                  <w:pPr>
                    <w:pStyle w:val="62"/>
                    <w:ind w:left="420" w:leftChars="0" w:hanging="420" w:hangingChars="200"/>
                    <w:rPr>
                      <w:rFonts w:hint="default"/>
                      <w:sz w:val="21"/>
                      <w:szCs w:val="21"/>
                      <w:lang w:val="en-US" w:eastAsia="zh-CN"/>
                    </w:rPr>
                  </w:pPr>
                  <w:r>
                    <w:rPr>
                      <w:rFonts w:hint="eastAsia"/>
                      <w:sz w:val="21"/>
                      <w:szCs w:val="21"/>
                      <w:lang w:val="en-US" w:eastAsia="zh-CN"/>
                    </w:rPr>
                    <w:t>0.2</w:t>
                  </w:r>
                </w:p>
              </w:tc>
              <w:tc>
                <w:tcPr>
                  <w:tcW w:w="833" w:type="pct"/>
                  <w:tcBorders>
                    <w:tl2br w:val="nil"/>
                    <w:tr2bl w:val="nil"/>
                  </w:tcBorders>
                  <w:shd w:val="clear" w:color="auto" w:fill="auto"/>
                  <w:noWrap w:val="0"/>
                  <w:vAlign w:val="center"/>
                </w:tcPr>
                <w:p w14:paraId="3CB1849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炉渣、矿物油</w:t>
                  </w:r>
                </w:p>
              </w:tc>
              <w:tc>
                <w:tcPr>
                  <w:tcW w:w="634" w:type="pct"/>
                  <w:tcBorders>
                    <w:tl2br w:val="nil"/>
                    <w:tr2bl w:val="nil"/>
                  </w:tcBorders>
                  <w:shd w:val="clear" w:color="auto" w:fill="auto"/>
                  <w:noWrap w:val="0"/>
                  <w:vAlign w:val="center"/>
                </w:tcPr>
                <w:p w14:paraId="38DF94D2">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553" w:type="pct"/>
                  <w:tcBorders>
                    <w:tl2br w:val="nil"/>
                    <w:tr2bl w:val="nil"/>
                  </w:tcBorders>
                  <w:shd w:val="clear" w:color="auto" w:fill="auto"/>
                  <w:noWrap w:val="0"/>
                  <w:vAlign w:val="center"/>
                </w:tcPr>
                <w:p w14:paraId="124C79B5">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41" w:type="pct"/>
                  <w:vMerge w:val="restart"/>
                  <w:tcBorders>
                    <w:tl2br w:val="nil"/>
                    <w:tr2bl w:val="nil"/>
                  </w:tcBorders>
                  <w:noWrap w:val="0"/>
                  <w:vAlign w:val="center"/>
                </w:tcPr>
                <w:p w14:paraId="51B1C3F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危险废物贮存间</w:t>
                  </w:r>
                </w:p>
              </w:tc>
            </w:tr>
            <w:tr w14:paraId="2CE80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15" w:type="pct"/>
                  <w:tcBorders>
                    <w:tl2br w:val="nil"/>
                    <w:tr2bl w:val="nil"/>
                  </w:tcBorders>
                  <w:shd w:val="clear" w:color="auto" w:fill="auto"/>
                  <w:noWrap w:val="0"/>
                  <w:vAlign w:val="center"/>
                </w:tcPr>
                <w:p w14:paraId="36CA0BB7">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eastAsia" w:eastAsia="宋体" w:cs="Times New Roman"/>
                      <w:b w:val="0"/>
                      <w:bCs/>
                      <w:color w:val="auto"/>
                      <w:sz w:val="21"/>
                      <w:szCs w:val="21"/>
                      <w:highlight w:val="none"/>
                      <w:vertAlign w:val="baseline"/>
                      <w:lang w:val="en-US" w:eastAsia="zh-CN"/>
                    </w:rPr>
                    <w:t>废液压油、</w:t>
                  </w:r>
                  <w:r>
                    <w:rPr>
                      <w:rFonts w:hint="eastAsia" w:ascii="Times New Roman" w:hAnsi="Times New Roman" w:eastAsia="宋体" w:cs="Times New Roman"/>
                      <w:b w:val="0"/>
                      <w:bCs/>
                      <w:color w:val="auto"/>
                      <w:sz w:val="21"/>
                      <w:szCs w:val="21"/>
                      <w:highlight w:val="none"/>
                      <w:vertAlign w:val="baseline"/>
                      <w:lang w:val="en-US" w:eastAsia="zh-CN"/>
                    </w:rPr>
                    <w:t>废机油</w:t>
                  </w:r>
                </w:p>
              </w:tc>
              <w:tc>
                <w:tcPr>
                  <w:tcW w:w="332" w:type="pct"/>
                  <w:tcBorders>
                    <w:tl2br w:val="nil"/>
                    <w:tr2bl w:val="nil"/>
                  </w:tcBorders>
                  <w:shd w:val="clear" w:color="auto" w:fill="auto"/>
                  <w:noWrap w:val="0"/>
                  <w:vAlign w:val="center"/>
                </w:tcPr>
                <w:p w14:paraId="14964D14">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shd w:val="clear" w:color="auto" w:fill="auto"/>
                  <w:noWrap w:val="0"/>
                  <w:vAlign w:val="center"/>
                </w:tcPr>
                <w:p w14:paraId="631561E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16</w:t>
                  </w:r>
                </w:p>
              </w:tc>
              <w:tc>
                <w:tcPr>
                  <w:tcW w:w="763" w:type="pct"/>
                  <w:tcBorders>
                    <w:tl2br w:val="nil"/>
                    <w:tr2bl w:val="nil"/>
                  </w:tcBorders>
                  <w:shd w:val="clear" w:color="auto" w:fill="auto"/>
                  <w:noWrap w:val="0"/>
                  <w:vAlign w:val="center"/>
                </w:tcPr>
                <w:p w14:paraId="00F9A341">
                  <w:pPr>
                    <w:pStyle w:val="62"/>
                    <w:ind w:left="420" w:leftChars="0" w:hanging="420" w:hangingChars="200"/>
                    <w:rPr>
                      <w:rFonts w:hint="default" w:ascii="Times New Roman" w:hAnsi="Times New Roman" w:eastAsia="宋体" w:cs="Times New Roman"/>
                      <w:kern w:val="0"/>
                      <w:sz w:val="21"/>
                      <w:szCs w:val="21"/>
                      <w:lang w:val="en-US" w:eastAsia="zh-CN" w:bidi="he-IL"/>
                    </w:rPr>
                  </w:pPr>
                  <w:r>
                    <w:rPr>
                      <w:rFonts w:hint="eastAsia" w:cs="Times New Roman"/>
                      <w:kern w:val="0"/>
                      <w:sz w:val="21"/>
                      <w:szCs w:val="21"/>
                      <w:lang w:val="en-US" w:eastAsia="zh-CN" w:bidi="he-IL"/>
                    </w:rPr>
                    <w:t>0.2</w:t>
                  </w:r>
                </w:p>
              </w:tc>
              <w:tc>
                <w:tcPr>
                  <w:tcW w:w="833" w:type="pct"/>
                  <w:tcBorders>
                    <w:tl2br w:val="nil"/>
                    <w:tr2bl w:val="nil"/>
                  </w:tcBorders>
                  <w:shd w:val="clear" w:color="auto" w:fill="auto"/>
                  <w:noWrap w:val="0"/>
                  <w:vAlign w:val="center"/>
                </w:tcPr>
                <w:p w14:paraId="1D23EC4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634" w:type="pct"/>
                  <w:tcBorders>
                    <w:tl2br w:val="nil"/>
                    <w:tr2bl w:val="nil"/>
                  </w:tcBorders>
                  <w:shd w:val="clear" w:color="auto" w:fill="auto"/>
                  <w:noWrap w:val="0"/>
                  <w:vAlign w:val="center"/>
                </w:tcPr>
                <w:p w14:paraId="4F791CE0">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553" w:type="pct"/>
                  <w:tcBorders>
                    <w:tl2br w:val="nil"/>
                    <w:tr2bl w:val="nil"/>
                  </w:tcBorders>
                  <w:shd w:val="clear" w:color="auto" w:fill="auto"/>
                  <w:noWrap w:val="0"/>
                  <w:vAlign w:val="center"/>
                </w:tcPr>
                <w:p w14:paraId="45EA1897">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firstLineChars="0"/>
                    <w:jc w:val="center"/>
                    <w:textAlignment w:val="baseline"/>
                    <w:outlineLvl w:val="9"/>
                    <w:rPr>
                      <w:rFonts w:hint="eastAsia" w:ascii="Times New Roman" w:hAnsi="Times New Roman" w:eastAsia="宋体" w:cs="Times New Roman"/>
                      <w:b w:val="0"/>
                      <w:bCs/>
                      <w:color w:val="auto"/>
                      <w:kern w:val="0"/>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41" w:type="pct"/>
                  <w:vMerge w:val="continue"/>
                  <w:tcBorders>
                    <w:tl2br w:val="nil"/>
                    <w:tr2bl w:val="nil"/>
                  </w:tcBorders>
                  <w:noWrap w:val="0"/>
                  <w:vAlign w:val="center"/>
                </w:tcPr>
                <w:p w14:paraId="6E43A7E5">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41675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000" w:type="pct"/>
                  <w:gridSpan w:val="8"/>
                  <w:tcBorders>
                    <w:tl2br w:val="nil"/>
                    <w:tr2bl w:val="nil"/>
                  </w:tcBorders>
                  <w:noWrap w:val="0"/>
                  <w:vAlign w:val="center"/>
                </w:tcPr>
                <w:p w14:paraId="7B7A7EA4">
                  <w:pPr>
                    <w:pStyle w:val="42"/>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leftChars="0" w:firstLine="0"/>
                    <w:jc w:val="both"/>
                    <w:textAlignment w:val="baseline"/>
                    <w:outlineLvl w:val="9"/>
                    <w:rPr>
                      <w:rFonts w:hint="eastAsia" w:eastAsia="宋体"/>
                      <w:color w:val="auto"/>
                      <w:sz w:val="21"/>
                      <w:szCs w:val="21"/>
                      <w:lang w:val="en-US" w:eastAsia="zh-CN"/>
                    </w:rPr>
                  </w:pPr>
                  <w:r>
                    <w:rPr>
                      <w:rFonts w:hint="default" w:ascii="Times New Roman" w:hAnsi="Times New Roman" w:eastAsia="宋体" w:cs="Times New Roman"/>
                      <w:color w:val="auto"/>
                      <w:kern w:val="0"/>
                      <w:sz w:val="18"/>
                      <w:szCs w:val="18"/>
                    </w:rPr>
                    <w:t>备注：</w:t>
                  </w:r>
                  <w:r>
                    <w:rPr>
                      <w:rFonts w:hint="eastAsia" w:ascii="Times New Roman" w:hAnsi="Times New Roman" w:eastAsia="宋体" w:cs="Times New Roman"/>
                      <w:color w:val="auto"/>
                      <w:kern w:val="0"/>
                      <w:sz w:val="18"/>
                      <w:szCs w:val="18"/>
                      <w:lang w:val="en-US" w:eastAsia="zh-CN" w:bidi="ar-SA"/>
                    </w:rPr>
                    <w:t>（1）</w:t>
                  </w:r>
                  <w:r>
                    <w:rPr>
                      <w:rFonts w:hint="default" w:ascii="Times New Roman" w:hAnsi="Times New Roman" w:eastAsia="宋体" w:cs="Times New Roman"/>
                      <w:color w:val="auto"/>
                      <w:kern w:val="2"/>
                      <w:sz w:val="18"/>
                      <w:szCs w:val="18"/>
                      <w:highlight w:val="none"/>
                      <w:lang w:val="en-US" w:eastAsia="zh-CN" w:bidi="ar-SA"/>
                    </w:rPr>
                    <w:t>因项目物质未直接列入《建设项目环境风险评价技术导则》</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HJ 169-2018</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附录B表B.1突发环境事件风险物质及临界量内，但</w:t>
                  </w:r>
                  <w:r>
                    <w:rPr>
                      <w:rFonts w:hint="eastAsia" w:ascii="Times New Roman" w:hAnsi="Times New Roman" w:eastAsia="宋体" w:cs="Times New Roman"/>
                      <w:color w:val="auto"/>
                      <w:kern w:val="2"/>
                      <w:sz w:val="18"/>
                      <w:szCs w:val="18"/>
                      <w:highlight w:val="none"/>
                      <w:lang w:val="en-US" w:eastAsia="zh-CN" w:bidi="ar-SA"/>
                    </w:rPr>
                    <w:t>其属于环境风险物质，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23A5F68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0.00016</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76B6DD7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187" w:name="_Toc8212"/>
            <w:bookmarkStart w:id="188" w:name="_Toc26828"/>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 xml:space="preserve"> 环境风险识别</w:t>
            </w:r>
            <w:bookmarkEnd w:id="187"/>
            <w:bookmarkEnd w:id="188"/>
          </w:p>
          <w:p w14:paraId="70747B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04142ABD">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7"/>
              <w:gridCol w:w="1793"/>
              <w:gridCol w:w="3376"/>
              <w:gridCol w:w="2194"/>
            </w:tblGrid>
            <w:tr w14:paraId="22FBC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414A9050">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189" w:name="_Toc215736207"/>
                  <w:r>
                    <w:rPr>
                      <w:rFonts w:hint="default" w:ascii="Times New Roman" w:hAnsi="Times New Roman" w:cs="Times New Roman"/>
                      <w:color w:val="auto"/>
                      <w:sz w:val="21"/>
                      <w:szCs w:val="21"/>
                      <w:highlight w:val="none"/>
                      <w:u w:val="none"/>
                    </w:rPr>
                    <w:t>潜在事故</w:t>
                  </w:r>
                </w:p>
                <w:p w14:paraId="52F9146B">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043" w:type="pct"/>
                  <w:noWrap w:val="0"/>
                  <w:vAlign w:val="center"/>
                </w:tcPr>
                <w:p w14:paraId="55B8CC3F">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4" w:type="pct"/>
                  <w:noWrap w:val="0"/>
                  <w:vAlign w:val="center"/>
                </w:tcPr>
                <w:p w14:paraId="5A6CA3CF">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04C874C6">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0DB27E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14" w:type="pct"/>
                  <w:noWrap w:val="0"/>
                  <w:vAlign w:val="center"/>
                </w:tcPr>
                <w:p w14:paraId="0B9F54A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31CDD5DE">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043" w:type="pct"/>
                  <w:noWrap w:val="0"/>
                  <w:vAlign w:val="center"/>
                </w:tcPr>
                <w:p w14:paraId="43D143F4">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3A65E447">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4" w:type="pct"/>
                  <w:noWrap w:val="0"/>
                  <w:vAlign w:val="center"/>
                </w:tcPr>
                <w:p w14:paraId="381A841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29C67C96">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7787E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714" w:type="pct"/>
                  <w:vMerge w:val="restart"/>
                  <w:noWrap w:val="0"/>
                  <w:vAlign w:val="center"/>
                </w:tcPr>
                <w:p w14:paraId="03DEC638">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1CE18118">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043" w:type="pct"/>
                  <w:noWrap w:val="0"/>
                  <w:vAlign w:val="center"/>
                </w:tcPr>
                <w:p w14:paraId="61F4C270">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4" w:type="pct"/>
                  <w:noWrap w:val="0"/>
                  <w:vAlign w:val="center"/>
                </w:tcPr>
                <w:p w14:paraId="3D54637C">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03DD744C">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50638A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7" w:hRule="atLeast"/>
                <w:jc w:val="center"/>
              </w:trPr>
              <w:tc>
                <w:tcPr>
                  <w:tcW w:w="714" w:type="pct"/>
                  <w:vMerge w:val="continue"/>
                  <w:noWrap w:val="0"/>
                  <w:vAlign w:val="center"/>
                </w:tcPr>
                <w:p w14:paraId="637B58B3">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043" w:type="pct"/>
                  <w:noWrap w:val="0"/>
                  <w:vAlign w:val="center"/>
                </w:tcPr>
                <w:p w14:paraId="0A3A5C31">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4" w:type="pct"/>
                  <w:noWrap w:val="0"/>
                  <w:vAlign w:val="center"/>
                </w:tcPr>
                <w:p w14:paraId="1C966F95">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2CC6564A">
                  <w:pPr>
                    <w:pStyle w:val="62"/>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0D0E18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7" w:hRule="atLeast"/>
                <w:jc w:val="center"/>
              </w:trPr>
              <w:tc>
                <w:tcPr>
                  <w:tcW w:w="714" w:type="pct"/>
                  <w:noWrap w:val="0"/>
                  <w:vAlign w:val="center"/>
                </w:tcPr>
                <w:p w14:paraId="0FA729FD">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043" w:type="pct"/>
                  <w:noWrap w:val="0"/>
                  <w:vAlign w:val="center"/>
                </w:tcPr>
                <w:p w14:paraId="4E5D1133">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4" w:type="pct"/>
                  <w:noWrap w:val="0"/>
                  <w:vAlign w:val="center"/>
                </w:tcPr>
                <w:p w14:paraId="38435B4C">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5D4C6236">
                  <w:pPr>
                    <w:pStyle w:val="42"/>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6A0F0FA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190" w:name="_Toc25240"/>
            <w:bookmarkStart w:id="191" w:name="_Toc29837"/>
            <w:r>
              <w:rPr>
                <w:rFonts w:hint="eastAsia" w:cs="Times New Roman"/>
                <w:b/>
                <w:bCs/>
                <w:color w:val="auto"/>
                <w:sz w:val="24"/>
                <w:highlight w:val="none"/>
                <w:lang w:val="en-US" w:eastAsia="zh-CN"/>
              </w:rPr>
              <w:t xml:space="preserve">4.6.3 </w:t>
            </w:r>
            <w:r>
              <w:rPr>
                <w:rFonts w:hint="default" w:ascii="Times New Roman" w:hAnsi="Times New Roman" w:eastAsia="宋体" w:cs="Times New Roman"/>
                <w:b/>
                <w:bCs/>
                <w:color w:val="auto"/>
                <w:sz w:val="24"/>
                <w:highlight w:val="none"/>
                <w:lang w:val="en-US" w:eastAsia="zh-CN"/>
              </w:rPr>
              <w:t>环境风险防范措施</w:t>
            </w:r>
            <w:bookmarkEnd w:id="190"/>
            <w:bookmarkEnd w:id="191"/>
          </w:p>
          <w:p w14:paraId="56F26E75">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（1）</w:t>
            </w:r>
            <w:r>
              <w:rPr>
                <w:rFonts w:hint="eastAsia"/>
                <w:color w:val="auto"/>
                <w:kern w:val="0"/>
                <w:sz w:val="24"/>
              </w:rPr>
              <w:t>废气事故排放</w:t>
            </w:r>
            <w:r>
              <w:rPr>
                <w:color w:val="auto"/>
                <w:kern w:val="0"/>
                <w:sz w:val="24"/>
              </w:rPr>
              <w:t>风险防范措施</w:t>
            </w:r>
          </w:p>
          <w:p w14:paraId="4E7FF260">
            <w:pPr>
              <w:autoSpaceDE w:val="0"/>
              <w:autoSpaceDN w:val="0"/>
              <w:adjustRightInd w:val="0"/>
              <w:snapToGrid w:val="0"/>
              <w:spacing w:line="360" w:lineRule="auto"/>
              <w:ind w:firstLine="480" w:firstLineChars="200"/>
              <w:jc w:val="left"/>
              <w:rPr>
                <w:rFonts w:hint="eastAsia"/>
                <w:color w:val="auto"/>
                <w:kern w:val="0"/>
                <w:sz w:val="24"/>
              </w:rPr>
            </w:pPr>
            <w:r>
              <w:rPr>
                <w:color w:val="auto"/>
                <w:kern w:val="0"/>
                <w:sz w:val="24"/>
              </w:rPr>
              <w:t>①</w:t>
            </w:r>
            <w:r>
              <w:rPr>
                <w:rFonts w:hint="eastAsia"/>
                <w:color w:val="auto"/>
                <w:kern w:val="0"/>
                <w:sz w:val="24"/>
              </w:rPr>
              <w:t>定期对废气处理设施从设备到运输管道进行检修，发现问题及时解决。</w:t>
            </w:r>
          </w:p>
          <w:p w14:paraId="291755F5">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各生产岗位制定严格的操作规程和注意事项，车间工人需熟悉工作流程，严格按操作规程进行运行控制，防止操作失误导致废气事故排放。</w:t>
            </w:r>
          </w:p>
          <w:p w14:paraId="0CBCDE8F">
            <w:pPr>
              <w:autoSpaceDE w:val="0"/>
              <w:autoSpaceDN w:val="0"/>
              <w:adjustRightInd w:val="0"/>
              <w:snapToGrid w:val="0"/>
              <w:spacing w:line="360" w:lineRule="auto"/>
              <w:ind w:firstLine="480" w:firstLineChars="200"/>
              <w:jc w:val="left"/>
              <w:rPr>
                <w:rFonts w:hint="eastAsia"/>
                <w:color w:val="auto"/>
                <w:sz w:val="24"/>
              </w:rPr>
            </w:pPr>
            <w:r>
              <w:rPr>
                <w:color w:val="auto"/>
                <w:kern w:val="0"/>
                <w:sz w:val="24"/>
              </w:rPr>
              <w:t>③</w:t>
            </w:r>
            <w:r>
              <w:rPr>
                <w:rFonts w:hint="eastAsia"/>
                <w:color w:val="auto"/>
                <w:kern w:val="0"/>
                <w:sz w:val="24"/>
              </w:rPr>
              <w:t>定期更换活性炭，</w:t>
            </w:r>
            <w:r>
              <w:rPr>
                <w:color w:val="auto"/>
                <w:sz w:val="24"/>
              </w:rPr>
              <w:t>同时确保项目</w:t>
            </w:r>
            <w:r>
              <w:rPr>
                <w:rFonts w:hint="eastAsia"/>
                <w:color w:val="auto"/>
                <w:sz w:val="24"/>
                <w:lang w:eastAsia="zh-CN"/>
              </w:rPr>
              <w:t>活性炭吸附装置</w:t>
            </w:r>
            <w:r>
              <w:rPr>
                <w:color w:val="auto"/>
                <w:sz w:val="24"/>
              </w:rPr>
              <w:t>一次性装置量</w:t>
            </w:r>
            <w:r>
              <w:rPr>
                <w:rFonts w:hint="eastAsia"/>
                <w:color w:val="auto"/>
                <w:sz w:val="24"/>
              </w:rPr>
              <w:t>。</w:t>
            </w:r>
          </w:p>
          <w:p w14:paraId="42571E2C">
            <w:pPr>
              <w:autoSpaceDE w:val="0"/>
              <w:autoSpaceDN w:val="0"/>
              <w:adjustRightInd w:val="0"/>
              <w:spacing w:line="360" w:lineRule="auto"/>
              <w:ind w:firstLine="480" w:firstLineChars="200"/>
              <w:jc w:val="left"/>
              <w:rPr>
                <w:color w:val="auto"/>
                <w:kern w:val="0"/>
                <w:sz w:val="24"/>
              </w:rPr>
            </w:pPr>
            <w:r>
              <w:rPr>
                <w:rFonts w:hint="eastAsia"/>
                <w:color w:val="auto"/>
                <w:sz w:val="24"/>
                <w:lang w:eastAsia="zh-CN"/>
              </w:rPr>
              <w:t>（2）</w:t>
            </w:r>
            <w:r>
              <w:rPr>
                <w:rFonts w:hint="eastAsia"/>
                <w:color w:val="auto"/>
                <w:kern w:val="0"/>
                <w:sz w:val="24"/>
              </w:rPr>
              <w:t>危险废物等</w:t>
            </w:r>
            <w:r>
              <w:rPr>
                <w:color w:val="auto"/>
                <w:kern w:val="0"/>
                <w:sz w:val="24"/>
              </w:rPr>
              <w:t>泄漏事故风险防范措施</w:t>
            </w:r>
          </w:p>
          <w:p w14:paraId="56E5041F">
            <w:pPr>
              <w:autoSpaceDE w:val="0"/>
              <w:autoSpaceDN w:val="0"/>
              <w:adjustRightInd w:val="0"/>
              <w:snapToGrid w:val="0"/>
              <w:spacing w:line="360" w:lineRule="auto"/>
              <w:ind w:firstLine="480" w:firstLineChars="200"/>
              <w:jc w:val="left"/>
              <w:rPr>
                <w:color w:val="auto"/>
                <w:kern w:val="0"/>
                <w:sz w:val="24"/>
              </w:rPr>
            </w:pPr>
            <w:r>
              <w:rPr>
                <w:color w:val="auto"/>
                <w:kern w:val="0"/>
                <w:sz w:val="24"/>
              </w:rPr>
              <w:t>①</w:t>
            </w:r>
            <w:r>
              <w:rPr>
                <w:rFonts w:hint="eastAsia"/>
                <w:color w:val="auto"/>
                <w:kern w:val="0"/>
                <w:sz w:val="24"/>
              </w:rPr>
              <w:t>危险废物间</w:t>
            </w:r>
            <w:r>
              <w:rPr>
                <w:color w:val="auto"/>
                <w:kern w:val="0"/>
                <w:sz w:val="24"/>
              </w:rPr>
              <w:t>周围设置围堰</w:t>
            </w:r>
            <w:r>
              <w:rPr>
                <w:rFonts w:hint="eastAsia"/>
                <w:color w:val="auto"/>
                <w:kern w:val="0"/>
                <w:sz w:val="24"/>
              </w:rPr>
              <w:t>，</w:t>
            </w:r>
            <w:r>
              <w:rPr>
                <w:color w:val="auto"/>
                <w:kern w:val="0"/>
                <w:sz w:val="24"/>
              </w:rPr>
              <w:t>地面采取防渗，设置导流沟</w:t>
            </w:r>
            <w:r>
              <w:rPr>
                <w:rFonts w:hint="eastAsia"/>
                <w:color w:val="auto"/>
                <w:kern w:val="0"/>
                <w:sz w:val="24"/>
              </w:rPr>
              <w:t>，</w:t>
            </w:r>
            <w:r>
              <w:rPr>
                <w:color w:val="auto"/>
                <w:kern w:val="0"/>
                <w:sz w:val="24"/>
              </w:rPr>
              <w:t>设置警示标识等</w:t>
            </w:r>
            <w:r>
              <w:rPr>
                <w:rFonts w:hint="eastAsia"/>
                <w:color w:val="auto"/>
                <w:kern w:val="0"/>
                <w:sz w:val="24"/>
              </w:rPr>
              <w:t>。</w:t>
            </w:r>
          </w:p>
          <w:p w14:paraId="4BA6388E">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危险废物间</w:t>
            </w:r>
            <w:r>
              <w:rPr>
                <w:color w:val="auto"/>
                <w:kern w:val="0"/>
                <w:sz w:val="24"/>
              </w:rPr>
              <w:t>严禁明火，严格遵守操作规程，避免因操作失误发生事故。</w:t>
            </w:r>
          </w:p>
          <w:p w14:paraId="6E113530">
            <w:pPr>
              <w:autoSpaceDE w:val="0"/>
              <w:autoSpaceDN w:val="0"/>
              <w:adjustRightInd w:val="0"/>
              <w:snapToGrid w:val="0"/>
              <w:spacing w:line="360" w:lineRule="auto"/>
              <w:ind w:firstLine="480" w:firstLineChars="200"/>
              <w:jc w:val="left"/>
              <w:rPr>
                <w:color w:val="auto"/>
                <w:sz w:val="24"/>
              </w:rPr>
            </w:pPr>
            <w:r>
              <w:rPr>
                <w:color w:val="auto"/>
                <w:sz w:val="24"/>
              </w:rPr>
              <w:t>③</w:t>
            </w:r>
            <w:r>
              <w:rPr>
                <w:color w:val="auto"/>
                <w:kern w:val="0"/>
                <w:sz w:val="24"/>
              </w:rPr>
              <w:t>配备</w:t>
            </w:r>
            <w:r>
              <w:rPr>
                <w:color w:val="auto"/>
                <w:sz w:val="24"/>
              </w:rPr>
              <w:t>相应的堵漏材料</w:t>
            </w:r>
            <w:r>
              <w:rPr>
                <w:rFonts w:hint="eastAsia"/>
                <w:color w:val="auto"/>
                <w:sz w:val="24"/>
                <w:lang w:eastAsia="zh-CN"/>
              </w:rPr>
              <w:t>（</w:t>
            </w:r>
            <w:r>
              <w:rPr>
                <w:rFonts w:hint="eastAsia"/>
                <w:color w:val="auto"/>
                <w:sz w:val="24"/>
              </w:rPr>
              <w:t>沙袋</w:t>
            </w:r>
            <w:r>
              <w:rPr>
                <w:color w:val="auto"/>
                <w:sz w:val="24"/>
              </w:rPr>
              <w:t>、吸油毡等</w:t>
            </w:r>
            <w:r>
              <w:rPr>
                <w:rFonts w:hint="eastAsia"/>
                <w:color w:val="auto"/>
                <w:sz w:val="24"/>
                <w:lang w:eastAsia="zh-CN"/>
              </w:rPr>
              <w:t>）</w:t>
            </w:r>
            <w:r>
              <w:rPr>
                <w:color w:val="auto"/>
                <w:sz w:val="24"/>
              </w:rPr>
              <w:t>。</w:t>
            </w:r>
          </w:p>
          <w:p w14:paraId="1167B166">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w:t>
            </w:r>
            <w:r>
              <w:rPr>
                <w:rFonts w:hint="eastAsia" w:ascii="Times New Roman" w:hAnsi="Times New Roman" w:eastAsia="宋体" w:cs="Times New Roman"/>
                <w:color w:val="auto"/>
                <w:kern w:val="0"/>
                <w:sz w:val="24"/>
                <w:highlight w:val="none"/>
                <w:u w:val="none"/>
                <w:lang w:val="en-US" w:eastAsia="zh-CN"/>
              </w:rPr>
              <w:t>危险废物贮存库</w:t>
            </w:r>
            <w:r>
              <w:rPr>
                <w:rFonts w:hint="default" w:ascii="Times New Roman" w:hAnsi="Times New Roman" w:eastAsia="宋体" w:cs="Times New Roman"/>
                <w:color w:val="auto"/>
                <w:kern w:val="0"/>
                <w:sz w:val="24"/>
                <w:highlight w:val="none"/>
                <w:u w:val="none"/>
                <w:lang w:val="en-US" w:eastAsia="zh-CN"/>
              </w:rPr>
              <w:t>应按照《危险废物贮存污染控制标准》</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GB18597-2023</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要求进行建设，具备</w:t>
            </w:r>
            <w:r>
              <w:rPr>
                <w:rFonts w:hint="eastAsia" w:ascii="Times New Roman" w:hAnsi="Times New Roman" w:eastAsia="宋体" w:cs="Times New Roman"/>
                <w:color w:val="auto"/>
                <w:kern w:val="0"/>
                <w:sz w:val="24"/>
                <w:highlight w:val="none"/>
                <w:u w:val="none"/>
                <w:lang w:val="en-US" w:eastAsia="zh-CN"/>
              </w:rPr>
              <w:t>防风、防雨、防晒、防止流失及扬散、防渗、防漏等要求</w:t>
            </w:r>
            <w:r>
              <w:rPr>
                <w:rFonts w:hint="default"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3C3A98D9">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（3）</w:t>
            </w:r>
            <w:r>
              <w:rPr>
                <w:color w:val="auto"/>
                <w:kern w:val="0"/>
                <w:sz w:val="24"/>
              </w:rPr>
              <w:t>火灾事故风险防范措施</w:t>
            </w:r>
          </w:p>
          <w:p w14:paraId="70DA3EB5">
            <w:pPr>
              <w:adjustRightInd w:val="0"/>
              <w:snapToGrid w:val="0"/>
              <w:spacing w:line="360" w:lineRule="auto"/>
              <w:ind w:firstLine="480" w:firstLineChars="200"/>
              <w:rPr>
                <w:bCs/>
                <w:color w:val="auto"/>
                <w:sz w:val="24"/>
              </w:rPr>
            </w:pPr>
            <w:r>
              <w:rPr>
                <w:bCs/>
                <w:color w:val="auto"/>
                <w:sz w:val="24"/>
              </w:rPr>
              <w:t>①加强消防设施和灭火器材的配备，严格落实有关消防技术规范的规定，加强人员疏散设施管理，保证疏散通道畅通。</w:t>
            </w:r>
          </w:p>
          <w:p w14:paraId="049698E5">
            <w:pPr>
              <w:adjustRightInd w:val="0"/>
              <w:snapToGrid w:val="0"/>
              <w:spacing w:line="360" w:lineRule="auto"/>
              <w:ind w:firstLine="480" w:firstLineChars="200"/>
              <w:rPr>
                <w:bCs/>
                <w:color w:val="auto"/>
                <w:sz w:val="24"/>
              </w:rPr>
            </w:pPr>
            <w:r>
              <w:rPr>
                <w:bCs/>
                <w:color w:val="auto"/>
                <w:sz w:val="24"/>
              </w:rPr>
              <w:t>②定期进行防火安全检查，确保消防设施完整好用。</w:t>
            </w:r>
          </w:p>
          <w:p w14:paraId="0A47C3E9">
            <w:pPr>
              <w:adjustRightInd w:val="0"/>
              <w:snapToGrid w:val="0"/>
              <w:spacing w:line="360" w:lineRule="auto"/>
              <w:ind w:firstLine="480" w:firstLineChars="200"/>
              <w:rPr>
                <w:bCs/>
                <w:color w:val="auto"/>
                <w:sz w:val="24"/>
              </w:rPr>
            </w:pPr>
            <w:r>
              <w:rPr>
                <w:color w:val="auto"/>
                <w:sz w:val="24"/>
              </w:rPr>
              <w:t>③</w:t>
            </w:r>
            <w:r>
              <w:rPr>
                <w:bCs/>
                <w:color w:val="auto"/>
                <w:sz w:val="24"/>
              </w:rPr>
              <w:t>公司要求职工应遵守各项规章制度，杜绝</w:t>
            </w:r>
            <w:r>
              <w:rPr>
                <w:rFonts w:hint="eastAsia"/>
                <w:bCs/>
                <w:color w:val="auto"/>
                <w:sz w:val="24"/>
                <w:lang w:eastAsia="zh-CN"/>
              </w:rPr>
              <w:t>“</w:t>
            </w:r>
            <w:r>
              <w:rPr>
                <w:bCs/>
                <w:color w:val="auto"/>
                <w:sz w:val="24"/>
              </w:rPr>
              <w:t>三违</w:t>
            </w:r>
            <w:r>
              <w:rPr>
                <w:rFonts w:hint="eastAsia"/>
                <w:bCs/>
                <w:color w:val="auto"/>
                <w:sz w:val="24"/>
                <w:lang w:eastAsia="zh-CN"/>
              </w:rPr>
              <w:t>”（</w:t>
            </w:r>
            <w:r>
              <w:rPr>
                <w:bCs/>
                <w:color w:val="auto"/>
                <w:sz w:val="24"/>
              </w:rPr>
              <w:t>违章作业、违章指挥、违反劳动纪律</w:t>
            </w:r>
            <w:r>
              <w:rPr>
                <w:rFonts w:hint="eastAsia"/>
                <w:bCs/>
                <w:color w:val="auto"/>
                <w:sz w:val="24"/>
                <w:lang w:eastAsia="zh-CN"/>
              </w:rPr>
              <w:t>）</w:t>
            </w:r>
            <w:r>
              <w:rPr>
                <w:bCs/>
                <w:color w:val="auto"/>
                <w:sz w:val="24"/>
              </w:rPr>
              <w:t>，作业时要遵守各项规定</w:t>
            </w:r>
            <w:r>
              <w:rPr>
                <w:rFonts w:hint="eastAsia"/>
                <w:bCs/>
                <w:color w:val="auto"/>
                <w:sz w:val="24"/>
                <w:lang w:eastAsia="zh-CN"/>
              </w:rPr>
              <w:t>（</w:t>
            </w:r>
            <w:r>
              <w:rPr>
                <w:bCs/>
                <w:color w:val="auto"/>
                <w:sz w:val="24"/>
              </w:rPr>
              <w:t>如动火、高处作业、进入设备作业等规定</w:t>
            </w:r>
            <w:r>
              <w:rPr>
                <w:rFonts w:hint="eastAsia"/>
                <w:bCs/>
                <w:color w:val="auto"/>
                <w:sz w:val="24"/>
                <w:lang w:eastAsia="zh-CN"/>
              </w:rPr>
              <w:t>）</w:t>
            </w:r>
            <w:r>
              <w:rPr>
                <w:bCs/>
                <w:color w:val="auto"/>
                <w:sz w:val="24"/>
              </w:rPr>
              <w:t>要求，确保安全生产。</w:t>
            </w:r>
          </w:p>
          <w:p w14:paraId="6651925F">
            <w:pPr>
              <w:adjustRightInd w:val="0"/>
              <w:snapToGrid w:val="0"/>
              <w:spacing w:line="360" w:lineRule="auto"/>
              <w:ind w:firstLine="480" w:firstLineChars="200"/>
              <w:rPr>
                <w:bCs/>
                <w:color w:val="auto"/>
                <w:sz w:val="24"/>
              </w:rPr>
            </w:pPr>
            <w:r>
              <w:rPr>
                <w:bCs/>
                <w:color w:val="auto"/>
                <w:sz w:val="24"/>
              </w:rPr>
              <w:t>④公司强化安全、消防和环保管理，完善环保安全管理机构，完善各项管理制度，加强日常监督检查；</w:t>
            </w:r>
            <w:r>
              <w:rPr>
                <w:rFonts w:hint="eastAsia"/>
                <w:bCs/>
                <w:color w:val="auto"/>
                <w:sz w:val="24"/>
              </w:rPr>
              <w:t>车间</w:t>
            </w:r>
            <w:r>
              <w:rPr>
                <w:bCs/>
                <w:color w:val="auto"/>
                <w:sz w:val="24"/>
              </w:rPr>
              <w:t>内严禁烟火，严格动火审批制度，进料车辆必须戴阻火器。</w:t>
            </w:r>
          </w:p>
          <w:p w14:paraId="41524D65">
            <w:pPr>
              <w:pStyle w:val="68"/>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 xml:space="preserve">4.6.4 </w:t>
            </w:r>
            <w:r>
              <w:rPr>
                <w:rFonts w:hint="default" w:ascii="Times New Roman" w:hAnsi="Times New Roman" w:cs="Times New Roman"/>
                <w:b/>
                <w:bCs/>
                <w:color w:val="auto"/>
                <w:highlight w:val="none"/>
              </w:rPr>
              <w:t>风险分析结论</w:t>
            </w:r>
          </w:p>
          <w:p w14:paraId="1DEBECA3">
            <w:pPr>
              <w:pStyle w:val="68"/>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189"/>
          </w:p>
          <w:p w14:paraId="55EF2BBE">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92" w:name="_Toc25694"/>
            <w:bookmarkStart w:id="193" w:name="_Toc4336"/>
            <w:r>
              <w:rPr>
                <w:rFonts w:hint="eastAsia" w:ascii="Times New Roman" w:hAnsi="Times New Roman" w:eastAsia="宋体" w:cs="Times New Roman"/>
                <w:color w:val="auto"/>
                <w:sz w:val="28"/>
                <w:szCs w:val="28"/>
                <w:u w:val="none"/>
                <w:lang w:val="en-US" w:eastAsia="zh-CN"/>
              </w:rPr>
              <w:t>4.7自行监测计划</w:t>
            </w:r>
            <w:bookmarkEnd w:id="192"/>
            <w:bookmarkEnd w:id="193"/>
          </w:p>
          <w:p w14:paraId="76268A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w:t>
            </w:r>
            <w:r>
              <w:rPr>
                <w:rFonts w:hint="default" w:ascii="Times New Roman" w:hAnsi="Times New Roman" w:cs="Times New Roman"/>
                <w:color w:val="auto"/>
                <w:sz w:val="24"/>
                <w:lang w:bidi="ar"/>
              </w:rPr>
              <w:t>《排污许可证申请与核发技术规范</w:t>
            </w:r>
            <w:r>
              <w:rPr>
                <w:rFonts w:hint="eastAsia" w:ascii="Times New Roman" w:hAnsi="Times New Roman" w:cs="Times New Roman"/>
                <w:color w:val="auto"/>
                <w:sz w:val="24"/>
                <w:lang w:val="en-US" w:eastAsia="zh-CN" w:bidi="ar"/>
              </w:rPr>
              <w:t xml:space="preserve"> </w:t>
            </w:r>
            <w:r>
              <w:rPr>
                <w:rFonts w:hint="default" w:ascii="Times New Roman" w:hAnsi="Times New Roman" w:cs="Times New Roman"/>
                <w:color w:val="auto"/>
                <w:sz w:val="24"/>
                <w:lang w:bidi="ar"/>
              </w:rPr>
              <w:t>金属铸造工业》</w:t>
            </w:r>
            <w:r>
              <w:rPr>
                <w:rFonts w:hint="default" w:ascii="Times New Roman" w:hAnsi="Times New Roman" w:eastAsia="宋体" w:cs="Times New Roman"/>
                <w:color w:val="auto"/>
                <w:kern w:val="0"/>
                <w:sz w:val="24"/>
                <w:szCs w:val="24"/>
                <w:lang w:val="en-US" w:eastAsia="zh-CN" w:bidi="ar"/>
              </w:rPr>
              <w:t>（HJ</w:t>
            </w:r>
            <w:r>
              <w:rPr>
                <w:rFonts w:hint="eastAsia" w:cs="Times New Roman"/>
                <w:color w:val="auto"/>
                <w:kern w:val="0"/>
                <w:sz w:val="24"/>
                <w:szCs w:val="24"/>
                <w:lang w:val="en-US" w:eastAsia="zh-CN" w:bidi="ar"/>
              </w:rPr>
              <w:t>1115-2020</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《排污单位自行监测技术指南 总则》（HJ819-2017）、</w:t>
            </w:r>
            <w:r>
              <w:rPr>
                <w:rFonts w:hint="eastAsia" w:cs="Times New Roman"/>
                <w:color w:val="auto"/>
                <w:kern w:val="0"/>
                <w:sz w:val="24"/>
                <w:szCs w:val="24"/>
                <w:lang w:val="en-US" w:eastAsia="zh-CN" w:bidi="ar"/>
              </w:rPr>
              <w:t>《排污许可证自行监测技术指南 金属铸造工业》（HJ1251-2022）</w:t>
            </w:r>
            <w:r>
              <w:rPr>
                <w:rFonts w:hint="default" w:ascii="Times New Roman" w:hAnsi="Times New Roman" w:eastAsia="宋体" w:cs="Times New Roman"/>
                <w:color w:val="auto"/>
                <w:kern w:val="0"/>
                <w:sz w:val="24"/>
                <w:szCs w:val="24"/>
                <w:lang w:val="en-US" w:eastAsia="zh-CN" w:bidi="ar"/>
              </w:rPr>
              <w:t>的要求，提出项目运营期自行监测计划，具体详见表4.</w:t>
            </w: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-1。</w:t>
            </w:r>
          </w:p>
          <w:p w14:paraId="14264BA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 本项目自行监测计划</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4"/>
              <w:gridCol w:w="2921"/>
              <w:gridCol w:w="2097"/>
              <w:gridCol w:w="1110"/>
              <w:gridCol w:w="1077"/>
            </w:tblGrid>
            <w:tr w14:paraId="398E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07" w:type="pct"/>
                  <w:gridSpan w:val="2"/>
                  <w:tcBorders>
                    <w:tl2br w:val="nil"/>
                    <w:tr2bl w:val="nil"/>
                  </w:tcBorders>
                  <w:noWrap w:val="0"/>
                  <w:vAlign w:val="center"/>
                </w:tcPr>
                <w:p w14:paraId="575AE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699" w:type="pct"/>
                  <w:tcBorders>
                    <w:tl2br w:val="nil"/>
                    <w:tr2bl w:val="nil"/>
                  </w:tcBorders>
                  <w:noWrap w:val="0"/>
                  <w:vAlign w:val="center"/>
                </w:tcPr>
                <w:p w14:paraId="7E2EF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220" w:type="pct"/>
                  <w:tcBorders>
                    <w:tl2br w:val="nil"/>
                    <w:tr2bl w:val="nil"/>
                  </w:tcBorders>
                  <w:noWrap w:val="0"/>
                  <w:vAlign w:val="center"/>
                </w:tcPr>
                <w:p w14:paraId="4E871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5" w:type="pct"/>
                  <w:tcBorders>
                    <w:tl2br w:val="nil"/>
                    <w:tr2bl w:val="nil"/>
                  </w:tcBorders>
                  <w:noWrap w:val="0"/>
                  <w:vAlign w:val="center"/>
                </w:tcPr>
                <w:p w14:paraId="3816F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6" w:type="pct"/>
                  <w:tcBorders>
                    <w:tl2br w:val="nil"/>
                    <w:tr2bl w:val="nil"/>
                  </w:tcBorders>
                  <w:noWrap w:val="0"/>
                  <w:vAlign w:val="center"/>
                </w:tcPr>
                <w:p w14:paraId="689A7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7391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10" w:type="pct"/>
                  <w:vMerge w:val="restart"/>
                  <w:tcBorders>
                    <w:tl2br w:val="nil"/>
                    <w:tr2bl w:val="nil"/>
                  </w:tcBorders>
                  <w:noWrap w:val="0"/>
                  <w:vAlign w:val="center"/>
                </w:tcPr>
                <w:p w14:paraId="1F13F9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96" w:type="pct"/>
                  <w:vMerge w:val="restart"/>
                  <w:tcBorders>
                    <w:tl2br w:val="nil"/>
                    <w:tr2bl w:val="nil"/>
                  </w:tcBorders>
                  <w:noWrap w:val="0"/>
                  <w:vAlign w:val="center"/>
                </w:tcPr>
                <w:p w14:paraId="24EB0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tc>
              <w:tc>
                <w:tcPr>
                  <w:tcW w:w="1699" w:type="pct"/>
                  <w:tcBorders>
                    <w:tl2br w:val="nil"/>
                    <w:tr2bl w:val="nil"/>
                  </w:tcBorders>
                  <w:noWrap w:val="0"/>
                  <w:vAlign w:val="center"/>
                </w:tcPr>
                <w:p w14:paraId="0FC41B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1220" w:type="pct"/>
                  <w:tcBorders>
                    <w:tl2br w:val="nil"/>
                    <w:tr2bl w:val="nil"/>
                  </w:tcBorders>
                  <w:noWrap w:val="0"/>
                  <w:vAlign w:val="center"/>
                </w:tcPr>
                <w:p w14:paraId="173E81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5" w:type="pct"/>
                  <w:tcBorders>
                    <w:tl2br w:val="nil"/>
                    <w:tr2bl w:val="nil"/>
                  </w:tcBorders>
                  <w:noWrap w:val="0"/>
                  <w:vAlign w:val="center"/>
                </w:tcPr>
                <w:p w14:paraId="3EBBD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6" w:type="pct"/>
                  <w:vMerge w:val="restart"/>
                  <w:tcBorders>
                    <w:tl2br w:val="nil"/>
                    <w:tr2bl w:val="nil"/>
                  </w:tcBorders>
                  <w:noWrap w:val="0"/>
                  <w:vAlign w:val="center"/>
                </w:tcPr>
                <w:p w14:paraId="02A073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5BA03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B60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8ECD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6" w:type="pct"/>
                  <w:vMerge w:val="continue"/>
                  <w:tcBorders>
                    <w:tl2br w:val="nil"/>
                    <w:tr2bl w:val="nil"/>
                  </w:tcBorders>
                  <w:noWrap w:val="0"/>
                  <w:vAlign w:val="center"/>
                </w:tcPr>
                <w:p w14:paraId="5F507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99" w:type="pct"/>
                  <w:tcBorders>
                    <w:tl2br w:val="nil"/>
                    <w:tr2bl w:val="nil"/>
                  </w:tcBorders>
                  <w:noWrap w:val="0"/>
                  <w:vAlign w:val="center"/>
                </w:tcPr>
                <w:p w14:paraId="4815B6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厂界上风向1个监控点；下风向</w:t>
                  </w: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个监控点</w:t>
                  </w:r>
                </w:p>
              </w:tc>
              <w:tc>
                <w:tcPr>
                  <w:tcW w:w="1220" w:type="pct"/>
                  <w:tcBorders>
                    <w:tl2br w:val="nil"/>
                    <w:tr2bl w:val="nil"/>
                  </w:tcBorders>
                  <w:noWrap w:val="0"/>
                  <w:vAlign w:val="center"/>
                </w:tcPr>
                <w:p w14:paraId="3350E8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颗粒物</w:t>
                  </w:r>
                </w:p>
              </w:tc>
              <w:tc>
                <w:tcPr>
                  <w:tcW w:w="645" w:type="pct"/>
                  <w:tcBorders>
                    <w:tl2br w:val="nil"/>
                    <w:tr2bl w:val="nil"/>
                  </w:tcBorders>
                  <w:noWrap w:val="0"/>
                  <w:vAlign w:val="center"/>
                </w:tcPr>
                <w:p w14:paraId="00D72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6" w:type="pct"/>
                  <w:vMerge w:val="continue"/>
                  <w:tcBorders>
                    <w:tl2br w:val="nil"/>
                    <w:tr2bl w:val="nil"/>
                  </w:tcBorders>
                  <w:noWrap w:val="0"/>
                  <w:vAlign w:val="center"/>
                </w:tcPr>
                <w:p w14:paraId="66DD1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5FCA8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2F83A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6" w:type="pct"/>
                  <w:tcBorders>
                    <w:tl2br w:val="nil"/>
                    <w:tr2bl w:val="nil"/>
                  </w:tcBorders>
                  <w:noWrap w:val="0"/>
                  <w:vAlign w:val="center"/>
                </w:tcPr>
                <w:p w14:paraId="3D9F6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699" w:type="pct"/>
                  <w:tcBorders>
                    <w:tl2br w:val="nil"/>
                    <w:tr2bl w:val="nil"/>
                  </w:tcBorders>
                  <w:noWrap w:val="0"/>
                  <w:vAlign w:val="center"/>
                </w:tcPr>
                <w:p w14:paraId="1C00D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排气筒DA001</w:t>
                  </w:r>
                </w:p>
              </w:tc>
              <w:tc>
                <w:tcPr>
                  <w:tcW w:w="1220" w:type="pct"/>
                  <w:tcBorders>
                    <w:tl2br w:val="nil"/>
                    <w:tr2bl w:val="nil"/>
                  </w:tcBorders>
                  <w:noWrap w:val="0"/>
                  <w:vAlign w:val="center"/>
                </w:tcPr>
                <w:p w14:paraId="726E9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r>
                    <w:rPr>
                      <w:rFonts w:hint="eastAsia" w:cs="Times New Roman"/>
                      <w:b w:val="0"/>
                      <w:bCs/>
                      <w:color w:val="auto"/>
                      <w:sz w:val="21"/>
                      <w:szCs w:val="21"/>
                      <w:vertAlign w:val="baseline"/>
                      <w:lang w:val="en-US" w:eastAsia="zh-CN"/>
                    </w:rPr>
                    <w:t>颗粒物</w:t>
                  </w:r>
                </w:p>
              </w:tc>
              <w:tc>
                <w:tcPr>
                  <w:tcW w:w="645" w:type="pct"/>
                  <w:tcBorders>
                    <w:tl2br w:val="nil"/>
                    <w:tr2bl w:val="nil"/>
                  </w:tcBorders>
                  <w:noWrap w:val="0"/>
                  <w:vAlign w:val="center"/>
                </w:tcPr>
                <w:p w14:paraId="3DAA2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1次/年</w:t>
                  </w:r>
                </w:p>
              </w:tc>
              <w:tc>
                <w:tcPr>
                  <w:tcW w:w="626" w:type="pct"/>
                  <w:vMerge w:val="continue"/>
                  <w:tcBorders>
                    <w:tl2br w:val="nil"/>
                    <w:tr2bl w:val="nil"/>
                  </w:tcBorders>
                  <w:noWrap w:val="0"/>
                  <w:vAlign w:val="center"/>
                </w:tcPr>
                <w:p w14:paraId="50214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BDB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tcBorders>
                    <w:tl2br w:val="nil"/>
                    <w:tr2bl w:val="nil"/>
                  </w:tcBorders>
                  <w:noWrap w:val="0"/>
                  <w:vAlign w:val="center"/>
                </w:tcPr>
                <w:p w14:paraId="0F511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192" w:type="pct"/>
                  <w:gridSpan w:val="4"/>
                  <w:tcBorders>
                    <w:tl2br w:val="nil"/>
                    <w:tr2bl w:val="nil"/>
                  </w:tcBorders>
                  <w:noWrap w:val="0"/>
                  <w:vAlign w:val="center"/>
                </w:tcPr>
                <w:p w14:paraId="1B374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w:t>
                  </w:r>
                  <w:r>
                    <w:rPr>
                      <w:rFonts w:hint="eastAsia" w:ascii="Times New Roman" w:hAnsi="Times New Roman" w:eastAsia="宋体" w:cs="Times New Roman"/>
                      <w:color w:val="auto"/>
                      <w:sz w:val="21"/>
                      <w:szCs w:val="21"/>
                      <w:lang w:val="en-US" w:eastAsia="zh-CN"/>
                    </w:rPr>
                    <w:t>《排污许可证自行监测技术指南 金属铸造工业》（HJ1251-2022）</w:t>
                  </w:r>
                  <w:r>
                    <w:rPr>
                      <w:rFonts w:hint="default" w:ascii="Times New Roman" w:hAnsi="Times New Roman" w:eastAsia="宋体" w:cs="Times New Roman"/>
                      <w:color w:val="auto"/>
                      <w:sz w:val="21"/>
                      <w:szCs w:val="21"/>
                      <w:lang w:val="en-US" w:eastAsia="zh-CN"/>
                    </w:rPr>
                    <w:t>，间接排放的生活污水单独排放口无自行监测要求。因此，本评价不对生活污水提出自行监测要求。</w:t>
                  </w:r>
                </w:p>
              </w:tc>
            </w:tr>
            <w:tr w14:paraId="14E55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tcBorders>
                    <w:tl2br w:val="nil"/>
                    <w:tr2bl w:val="nil"/>
                  </w:tcBorders>
                  <w:noWrap w:val="0"/>
                  <w:vAlign w:val="center"/>
                </w:tcPr>
                <w:p w14:paraId="7A7F0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699" w:type="pct"/>
                  <w:tcBorders>
                    <w:tl2br w:val="nil"/>
                    <w:tr2bl w:val="nil"/>
                  </w:tcBorders>
                  <w:noWrap w:val="0"/>
                  <w:vAlign w:val="center"/>
                </w:tcPr>
                <w:p w14:paraId="2EF55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厂界四周外1m</w:t>
                  </w:r>
                </w:p>
              </w:tc>
              <w:tc>
                <w:tcPr>
                  <w:tcW w:w="1220" w:type="pct"/>
                  <w:tcBorders>
                    <w:tl2br w:val="nil"/>
                    <w:tr2bl w:val="nil"/>
                  </w:tcBorders>
                  <w:noWrap w:val="0"/>
                  <w:vAlign w:val="center"/>
                </w:tcPr>
                <w:p w14:paraId="54BF9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645" w:type="pct"/>
                  <w:tcBorders>
                    <w:tl2br w:val="nil"/>
                    <w:tr2bl w:val="nil"/>
                  </w:tcBorders>
                  <w:noWrap w:val="0"/>
                  <w:vAlign w:val="center"/>
                </w:tcPr>
                <w:p w14:paraId="5DEE2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1次/季度</w:t>
                  </w:r>
                </w:p>
              </w:tc>
              <w:tc>
                <w:tcPr>
                  <w:tcW w:w="626" w:type="pct"/>
                  <w:tcBorders>
                    <w:tl2br w:val="nil"/>
                    <w:tr2bl w:val="nil"/>
                  </w:tcBorders>
                  <w:noWrap w:val="0"/>
                  <w:vAlign w:val="center"/>
                </w:tcPr>
                <w:p w14:paraId="149792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委托专业检测单位</w:t>
                  </w:r>
                </w:p>
              </w:tc>
            </w:tr>
          </w:tbl>
          <w:p w14:paraId="0F506C57">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94" w:name="_Toc7744"/>
            <w:bookmarkStart w:id="195" w:name="_Toc25365"/>
            <w:bookmarkStart w:id="196" w:name="_Toc26125"/>
            <w:bookmarkStart w:id="197" w:name="_Toc11633"/>
            <w:bookmarkStart w:id="198" w:name="_Toc12062"/>
            <w:bookmarkStart w:id="199" w:name="_Toc30083"/>
          </w:p>
          <w:p w14:paraId="219126E1">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00" w:name="_Toc5834"/>
            <w:r>
              <w:rPr>
                <w:rFonts w:hint="eastAsia" w:ascii="Times New Roman" w:hAnsi="Times New Roman" w:eastAsia="宋体" w:cs="Times New Roman"/>
                <w:color w:val="auto"/>
                <w:sz w:val="28"/>
                <w:szCs w:val="28"/>
                <w:u w:val="none"/>
                <w:lang w:val="en-US" w:eastAsia="zh-CN"/>
              </w:rPr>
              <w:t>4.8环保投资估算</w:t>
            </w:r>
            <w:bookmarkEnd w:id="194"/>
            <w:bookmarkEnd w:id="195"/>
            <w:bookmarkEnd w:id="196"/>
            <w:bookmarkEnd w:id="197"/>
            <w:bookmarkEnd w:id="198"/>
            <w:bookmarkEnd w:id="199"/>
            <w:bookmarkEnd w:id="200"/>
          </w:p>
          <w:p w14:paraId="79369063">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本项目环保措施包括废水、废气、噪声治理措施、固体废物收集场所等。具体见表4.9-1。</w:t>
            </w:r>
          </w:p>
          <w:p w14:paraId="692E0ED7">
            <w:pPr>
              <w:pStyle w:val="69"/>
              <w:bidi w:val="0"/>
              <w:rPr>
                <w:rFonts w:hint="default"/>
                <w:color w:val="000000"/>
                <w:lang w:val="en-US" w:eastAsia="zh-CN"/>
              </w:rPr>
            </w:pPr>
            <w:r>
              <w:rPr>
                <w:rFonts w:hint="eastAsia"/>
                <w:color w:val="000000"/>
                <w:lang w:val="en-US" w:eastAsia="zh-CN"/>
              </w:rPr>
              <w:t>表4.9-1环保投资估算</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06"/>
              <w:gridCol w:w="5516"/>
              <w:gridCol w:w="1473"/>
            </w:tblGrid>
            <w:tr w14:paraId="6BB29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081669CF">
                  <w:pPr>
                    <w:pStyle w:val="52"/>
                    <w:bidi w:val="0"/>
                    <w:rPr>
                      <w:rFonts w:hint="default"/>
                      <w:color w:val="000000"/>
                      <w:lang w:val="en-US" w:eastAsia="zh-CN"/>
                    </w:rPr>
                  </w:pPr>
                  <w:r>
                    <w:rPr>
                      <w:rFonts w:hint="eastAsia"/>
                      <w:color w:val="000000"/>
                      <w:lang w:val="en-US" w:eastAsia="zh-CN"/>
                    </w:rPr>
                    <w:t>序号</w:t>
                  </w:r>
                </w:p>
              </w:tc>
              <w:tc>
                <w:tcPr>
                  <w:tcW w:w="527" w:type="pct"/>
                  <w:tcBorders>
                    <w:tl2br w:val="nil"/>
                    <w:tr2bl w:val="nil"/>
                  </w:tcBorders>
                  <w:noWrap w:val="0"/>
                  <w:vAlign w:val="center"/>
                </w:tcPr>
                <w:p w14:paraId="0568A64A">
                  <w:pPr>
                    <w:pStyle w:val="52"/>
                    <w:bidi w:val="0"/>
                    <w:rPr>
                      <w:rFonts w:hint="default"/>
                      <w:color w:val="000000"/>
                      <w:lang w:val="en-US" w:eastAsia="zh-CN"/>
                    </w:rPr>
                  </w:pPr>
                  <w:r>
                    <w:rPr>
                      <w:rFonts w:hint="eastAsia"/>
                      <w:color w:val="000000"/>
                      <w:lang w:val="en-US" w:eastAsia="zh-CN"/>
                    </w:rPr>
                    <w:t>污染源</w:t>
                  </w:r>
                </w:p>
              </w:tc>
              <w:tc>
                <w:tcPr>
                  <w:tcW w:w="3208" w:type="pct"/>
                  <w:tcBorders>
                    <w:tl2br w:val="nil"/>
                    <w:tr2bl w:val="nil"/>
                  </w:tcBorders>
                  <w:noWrap w:val="0"/>
                  <w:vAlign w:val="center"/>
                </w:tcPr>
                <w:p w14:paraId="732ADA07">
                  <w:pPr>
                    <w:pStyle w:val="52"/>
                    <w:bidi w:val="0"/>
                    <w:rPr>
                      <w:rFonts w:hint="default"/>
                      <w:color w:val="000000"/>
                      <w:lang w:val="en-US" w:eastAsia="zh-CN"/>
                    </w:rPr>
                  </w:pPr>
                  <w:r>
                    <w:rPr>
                      <w:rFonts w:hint="eastAsia"/>
                      <w:color w:val="000000"/>
                      <w:lang w:val="en-US" w:eastAsia="zh-CN"/>
                    </w:rPr>
                    <w:t>措施</w:t>
                  </w:r>
                </w:p>
              </w:tc>
              <w:tc>
                <w:tcPr>
                  <w:tcW w:w="857" w:type="pct"/>
                  <w:tcBorders>
                    <w:tl2br w:val="nil"/>
                    <w:tr2bl w:val="nil"/>
                  </w:tcBorders>
                  <w:noWrap w:val="0"/>
                  <w:vAlign w:val="center"/>
                </w:tcPr>
                <w:p w14:paraId="2940D05D">
                  <w:pPr>
                    <w:pStyle w:val="52"/>
                    <w:bidi w:val="0"/>
                    <w:rPr>
                      <w:rFonts w:hint="default"/>
                      <w:color w:val="000000"/>
                      <w:lang w:val="en-US" w:eastAsia="zh-CN"/>
                    </w:rPr>
                  </w:pPr>
                  <w:r>
                    <w:rPr>
                      <w:rFonts w:hint="eastAsia"/>
                      <w:color w:val="000000"/>
                      <w:lang w:val="en-US" w:eastAsia="zh-CN"/>
                    </w:rPr>
                    <w:t>投资</w:t>
                  </w:r>
                </w:p>
              </w:tc>
            </w:tr>
            <w:tr w14:paraId="5151C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12E8EE6B">
                  <w:pPr>
                    <w:pStyle w:val="52"/>
                    <w:bidi w:val="0"/>
                    <w:rPr>
                      <w:rFonts w:hint="default"/>
                      <w:color w:val="000000"/>
                      <w:lang w:val="en-US" w:eastAsia="zh-CN"/>
                    </w:rPr>
                  </w:pPr>
                  <w:r>
                    <w:rPr>
                      <w:rFonts w:hint="eastAsia"/>
                      <w:color w:val="000000"/>
                      <w:lang w:val="en-US" w:eastAsia="zh-CN"/>
                    </w:rPr>
                    <w:t>1</w:t>
                  </w:r>
                </w:p>
              </w:tc>
              <w:tc>
                <w:tcPr>
                  <w:tcW w:w="527" w:type="pct"/>
                  <w:tcBorders>
                    <w:tl2br w:val="nil"/>
                    <w:tr2bl w:val="nil"/>
                  </w:tcBorders>
                  <w:noWrap w:val="0"/>
                  <w:vAlign w:val="center"/>
                </w:tcPr>
                <w:p w14:paraId="198D69F6">
                  <w:pPr>
                    <w:pStyle w:val="52"/>
                    <w:bidi w:val="0"/>
                    <w:rPr>
                      <w:rFonts w:hint="default"/>
                      <w:color w:val="000000"/>
                      <w:lang w:val="en-US" w:eastAsia="zh-CN"/>
                    </w:rPr>
                  </w:pPr>
                  <w:r>
                    <w:rPr>
                      <w:rFonts w:hint="eastAsia"/>
                      <w:color w:val="000000"/>
                      <w:lang w:val="en-US" w:eastAsia="zh-CN"/>
                    </w:rPr>
                    <w:t>废水</w:t>
                  </w:r>
                </w:p>
              </w:tc>
              <w:tc>
                <w:tcPr>
                  <w:tcW w:w="3208" w:type="pct"/>
                  <w:tcBorders>
                    <w:tl2br w:val="nil"/>
                    <w:tr2bl w:val="nil"/>
                  </w:tcBorders>
                  <w:noWrap w:val="0"/>
                  <w:vAlign w:val="center"/>
                </w:tcPr>
                <w:p w14:paraId="344ED334">
                  <w:pPr>
                    <w:pStyle w:val="52"/>
                    <w:bidi w:val="0"/>
                    <w:rPr>
                      <w:rFonts w:hint="default"/>
                      <w:lang w:val="en-US" w:eastAsia="zh-CN"/>
                    </w:rPr>
                  </w:pPr>
                  <w:r>
                    <w:rPr>
                      <w:rFonts w:hint="eastAsia"/>
                      <w:color w:val="auto"/>
                      <w:lang w:val="en-US" w:eastAsia="zh-CN"/>
                    </w:rPr>
                    <w:t>压铸工序采用间接冷却水，经冷却塔冷却后循环使用。半成品清洗用水及研磨工序冷却用水，经循环水处理设施处理后回用，不外排。生活污水依托厂内现有化粪池处理后排入市政污水管网</w:t>
                  </w:r>
                </w:p>
              </w:tc>
              <w:tc>
                <w:tcPr>
                  <w:tcW w:w="857" w:type="pct"/>
                  <w:tcBorders>
                    <w:tl2br w:val="nil"/>
                    <w:tr2bl w:val="nil"/>
                  </w:tcBorders>
                  <w:noWrap w:val="0"/>
                  <w:vAlign w:val="center"/>
                </w:tcPr>
                <w:p w14:paraId="513598BA">
                  <w:pPr>
                    <w:pStyle w:val="52"/>
                    <w:bidi w:val="0"/>
                    <w:rPr>
                      <w:rFonts w:hint="default"/>
                      <w:color w:val="000000"/>
                      <w:lang w:val="en-US" w:eastAsia="zh-CN"/>
                    </w:rPr>
                  </w:pPr>
                  <w:r>
                    <w:rPr>
                      <w:rFonts w:hint="eastAsia"/>
                      <w:color w:val="000000"/>
                      <w:lang w:val="en-US" w:eastAsia="zh-CN"/>
                    </w:rPr>
                    <w:t>冷却塔投资5万元、循环水处理系统投资15万元</w:t>
                  </w:r>
                </w:p>
              </w:tc>
            </w:tr>
            <w:tr w14:paraId="7E8A5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pct"/>
                  <w:tcBorders>
                    <w:tl2br w:val="nil"/>
                    <w:tr2bl w:val="nil"/>
                  </w:tcBorders>
                  <w:noWrap w:val="0"/>
                  <w:vAlign w:val="center"/>
                </w:tcPr>
                <w:p w14:paraId="47CF09B6">
                  <w:pPr>
                    <w:pStyle w:val="52"/>
                    <w:bidi w:val="0"/>
                    <w:rPr>
                      <w:rFonts w:hint="default"/>
                      <w:color w:val="000000"/>
                      <w:lang w:val="en-US" w:eastAsia="zh-CN"/>
                    </w:rPr>
                  </w:pPr>
                  <w:r>
                    <w:rPr>
                      <w:rFonts w:hint="eastAsia"/>
                      <w:color w:val="000000"/>
                      <w:lang w:val="en-US" w:eastAsia="zh-CN"/>
                    </w:rPr>
                    <w:t>2</w:t>
                  </w:r>
                </w:p>
              </w:tc>
              <w:tc>
                <w:tcPr>
                  <w:tcW w:w="527" w:type="pct"/>
                  <w:tcBorders>
                    <w:tl2br w:val="nil"/>
                    <w:tr2bl w:val="nil"/>
                  </w:tcBorders>
                  <w:noWrap w:val="0"/>
                  <w:vAlign w:val="center"/>
                </w:tcPr>
                <w:p w14:paraId="4386A28B">
                  <w:pPr>
                    <w:pStyle w:val="52"/>
                    <w:bidi w:val="0"/>
                    <w:rPr>
                      <w:rFonts w:hint="default"/>
                      <w:color w:val="000000"/>
                      <w:lang w:val="en-US" w:eastAsia="zh-CN"/>
                    </w:rPr>
                  </w:pPr>
                  <w:r>
                    <w:rPr>
                      <w:rFonts w:hint="eastAsia"/>
                      <w:color w:val="000000"/>
                      <w:lang w:val="en-US" w:eastAsia="zh-CN"/>
                    </w:rPr>
                    <w:t>废气</w:t>
                  </w:r>
                </w:p>
              </w:tc>
              <w:tc>
                <w:tcPr>
                  <w:tcW w:w="3208" w:type="pct"/>
                  <w:tcBorders>
                    <w:tl2br w:val="nil"/>
                    <w:tr2bl w:val="nil"/>
                  </w:tcBorders>
                  <w:noWrap w:val="0"/>
                  <w:vAlign w:val="center"/>
                </w:tcPr>
                <w:p w14:paraId="1C47F076">
                  <w:pPr>
                    <w:rPr>
                      <w:rFonts w:hint="default" w:ascii="Times New Roman" w:hAnsi="Times New Roman" w:cs="Times New Roman"/>
                      <w:b w:val="0"/>
                      <w:bCs w:val="0"/>
                      <w:color w:val="auto"/>
                      <w:sz w:val="21"/>
                      <w:szCs w:val="21"/>
                      <w:highlight w:val="none"/>
                      <w:lang w:val="en-US" w:eastAsia="zh-CN"/>
                    </w:rPr>
                  </w:pPr>
                  <w:r>
                    <w:rPr>
                      <w:rFonts w:hint="eastAsia" w:cs="Times New Roman"/>
                      <w:color w:val="auto"/>
                      <w:sz w:val="21"/>
                      <w:szCs w:val="21"/>
                      <w:highlight w:val="none"/>
                      <w:vertAlign w:val="baseline"/>
                      <w:lang w:val="en-US" w:eastAsia="zh-CN"/>
                    </w:rPr>
                    <w:t>项目熔融、压铸脱模所产生的废气通过“集气罩+布袋除尘器+活性炭吸附装置”处理后，通过一根15m高排气筒DA001排放。设置密闭生产车间，加强车间管理。定期采用移动式吸尘器对车间进行清扫，减少颗粒物无组织排放。</w:t>
                  </w:r>
                </w:p>
              </w:tc>
              <w:tc>
                <w:tcPr>
                  <w:tcW w:w="857" w:type="pct"/>
                  <w:tcBorders>
                    <w:tl2br w:val="nil"/>
                    <w:tr2bl w:val="nil"/>
                  </w:tcBorders>
                  <w:noWrap w:val="0"/>
                  <w:vAlign w:val="center"/>
                </w:tcPr>
                <w:p w14:paraId="49D6D728">
                  <w:pPr>
                    <w:pStyle w:val="52"/>
                    <w:bidi w:val="0"/>
                    <w:rPr>
                      <w:rFonts w:hint="default"/>
                      <w:color w:val="000000"/>
                      <w:lang w:val="en-US" w:eastAsia="zh-CN"/>
                    </w:rPr>
                  </w:pPr>
                  <w:r>
                    <w:rPr>
                      <w:rFonts w:hint="eastAsia"/>
                      <w:color w:val="000000"/>
                      <w:lang w:val="en-US" w:eastAsia="zh-CN"/>
                    </w:rPr>
                    <w:t>15万元</w:t>
                  </w:r>
                </w:p>
              </w:tc>
            </w:tr>
            <w:tr w14:paraId="4ABE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4A880A5C">
                  <w:pPr>
                    <w:pStyle w:val="52"/>
                    <w:bidi w:val="0"/>
                    <w:rPr>
                      <w:rFonts w:hint="default"/>
                      <w:color w:val="000000"/>
                      <w:lang w:val="en-US" w:eastAsia="zh-CN"/>
                    </w:rPr>
                  </w:pPr>
                  <w:r>
                    <w:rPr>
                      <w:rFonts w:hint="eastAsia"/>
                      <w:color w:val="000000"/>
                      <w:lang w:val="en-US" w:eastAsia="zh-CN"/>
                    </w:rPr>
                    <w:t>3</w:t>
                  </w:r>
                </w:p>
              </w:tc>
              <w:tc>
                <w:tcPr>
                  <w:tcW w:w="527" w:type="pct"/>
                  <w:tcBorders>
                    <w:tl2br w:val="nil"/>
                    <w:tr2bl w:val="nil"/>
                  </w:tcBorders>
                  <w:noWrap w:val="0"/>
                  <w:vAlign w:val="center"/>
                </w:tcPr>
                <w:p w14:paraId="7CDCF599">
                  <w:pPr>
                    <w:pStyle w:val="52"/>
                    <w:bidi w:val="0"/>
                    <w:rPr>
                      <w:rFonts w:hint="default"/>
                      <w:color w:val="000000"/>
                      <w:lang w:val="en-US" w:eastAsia="zh-CN"/>
                    </w:rPr>
                  </w:pPr>
                  <w:r>
                    <w:rPr>
                      <w:rFonts w:hint="eastAsia"/>
                      <w:color w:val="000000"/>
                      <w:lang w:val="en-US" w:eastAsia="zh-CN"/>
                    </w:rPr>
                    <w:t>噪声</w:t>
                  </w:r>
                </w:p>
              </w:tc>
              <w:tc>
                <w:tcPr>
                  <w:tcW w:w="3208" w:type="pct"/>
                  <w:tcBorders>
                    <w:tl2br w:val="nil"/>
                    <w:tr2bl w:val="nil"/>
                  </w:tcBorders>
                  <w:noWrap w:val="0"/>
                  <w:vAlign w:val="center"/>
                </w:tcPr>
                <w:p w14:paraId="40A1F659">
                  <w:pPr>
                    <w:pStyle w:val="52"/>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857" w:type="pct"/>
                  <w:tcBorders>
                    <w:tl2br w:val="nil"/>
                    <w:tr2bl w:val="nil"/>
                  </w:tcBorders>
                  <w:noWrap w:val="0"/>
                  <w:vAlign w:val="center"/>
                </w:tcPr>
                <w:p w14:paraId="2472EE8F">
                  <w:pPr>
                    <w:pStyle w:val="52"/>
                    <w:bidi w:val="0"/>
                    <w:rPr>
                      <w:rFonts w:hint="default"/>
                      <w:color w:val="000000"/>
                      <w:lang w:val="en-US" w:eastAsia="zh-CN"/>
                    </w:rPr>
                  </w:pPr>
                  <w:r>
                    <w:rPr>
                      <w:rFonts w:hint="eastAsia"/>
                      <w:color w:val="000000"/>
                      <w:lang w:val="en-US" w:eastAsia="zh-CN"/>
                    </w:rPr>
                    <w:t>2万元</w:t>
                  </w:r>
                </w:p>
              </w:tc>
            </w:tr>
            <w:tr w14:paraId="68F89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2EFFFD52">
                  <w:pPr>
                    <w:pStyle w:val="52"/>
                    <w:bidi w:val="0"/>
                    <w:rPr>
                      <w:rFonts w:hint="default"/>
                      <w:color w:val="000000"/>
                      <w:lang w:val="en-US" w:eastAsia="zh-CN"/>
                    </w:rPr>
                  </w:pPr>
                  <w:r>
                    <w:rPr>
                      <w:rFonts w:hint="eastAsia"/>
                      <w:color w:val="000000"/>
                      <w:lang w:val="en-US" w:eastAsia="zh-CN"/>
                    </w:rPr>
                    <w:t>4</w:t>
                  </w:r>
                </w:p>
              </w:tc>
              <w:tc>
                <w:tcPr>
                  <w:tcW w:w="527" w:type="pct"/>
                  <w:tcBorders>
                    <w:tl2br w:val="nil"/>
                    <w:tr2bl w:val="nil"/>
                  </w:tcBorders>
                  <w:noWrap w:val="0"/>
                  <w:vAlign w:val="center"/>
                </w:tcPr>
                <w:p w14:paraId="3A32BC4B">
                  <w:pPr>
                    <w:pStyle w:val="52"/>
                    <w:bidi w:val="0"/>
                    <w:rPr>
                      <w:rFonts w:hint="default"/>
                      <w:color w:val="000000"/>
                      <w:lang w:val="en-US" w:eastAsia="zh-CN"/>
                    </w:rPr>
                  </w:pPr>
                  <w:r>
                    <w:rPr>
                      <w:rFonts w:hint="eastAsia"/>
                      <w:color w:val="000000"/>
                      <w:lang w:val="en-US" w:eastAsia="zh-CN"/>
                    </w:rPr>
                    <w:t>固体废物</w:t>
                  </w:r>
                </w:p>
              </w:tc>
              <w:tc>
                <w:tcPr>
                  <w:tcW w:w="3208" w:type="pct"/>
                  <w:tcBorders>
                    <w:tl2br w:val="nil"/>
                    <w:tr2bl w:val="nil"/>
                  </w:tcBorders>
                  <w:noWrap w:val="0"/>
                  <w:vAlign w:val="center"/>
                </w:tcPr>
                <w:p w14:paraId="40BB6C85">
                  <w:pPr>
                    <w:pStyle w:val="52"/>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贮存库，定</w:t>
                  </w:r>
                  <w:r>
                    <w:rPr>
                      <w:rFonts w:hint="eastAsia"/>
                      <w:color w:val="000000"/>
                      <w:lang w:val="en-US" w:eastAsia="zh-CN"/>
                    </w:rPr>
                    <w:t>期委托有处置危险废物资质的单位处置</w:t>
                  </w:r>
                </w:p>
              </w:tc>
              <w:tc>
                <w:tcPr>
                  <w:tcW w:w="857" w:type="pct"/>
                  <w:tcBorders>
                    <w:tl2br w:val="nil"/>
                    <w:tr2bl w:val="nil"/>
                  </w:tcBorders>
                  <w:noWrap w:val="0"/>
                  <w:vAlign w:val="center"/>
                </w:tcPr>
                <w:p w14:paraId="5D2DC293">
                  <w:pPr>
                    <w:pStyle w:val="52"/>
                    <w:bidi w:val="0"/>
                    <w:rPr>
                      <w:rFonts w:hint="default"/>
                      <w:color w:val="000000"/>
                      <w:lang w:val="en-US" w:eastAsia="zh-CN"/>
                    </w:rPr>
                  </w:pPr>
                  <w:r>
                    <w:rPr>
                      <w:rFonts w:hint="eastAsia"/>
                      <w:color w:val="000000"/>
                      <w:lang w:val="en-US" w:eastAsia="zh-CN"/>
                    </w:rPr>
                    <w:t>3万元</w:t>
                  </w:r>
                </w:p>
              </w:tc>
            </w:tr>
            <w:tr w14:paraId="6D448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2" w:type="pct"/>
                  <w:gridSpan w:val="3"/>
                  <w:tcBorders>
                    <w:tl2br w:val="nil"/>
                    <w:tr2bl w:val="nil"/>
                  </w:tcBorders>
                  <w:noWrap w:val="0"/>
                  <w:vAlign w:val="center"/>
                </w:tcPr>
                <w:p w14:paraId="2D131CB0">
                  <w:pPr>
                    <w:pStyle w:val="52"/>
                    <w:bidi w:val="0"/>
                    <w:rPr>
                      <w:rFonts w:hint="default"/>
                      <w:color w:val="000000"/>
                      <w:lang w:val="en-US" w:eastAsia="zh-CN"/>
                    </w:rPr>
                  </w:pPr>
                  <w:r>
                    <w:rPr>
                      <w:rFonts w:hint="eastAsia"/>
                      <w:color w:val="000000"/>
                      <w:lang w:val="en-US" w:eastAsia="zh-CN"/>
                    </w:rPr>
                    <w:t>合计</w:t>
                  </w:r>
                </w:p>
              </w:tc>
              <w:tc>
                <w:tcPr>
                  <w:tcW w:w="857" w:type="pct"/>
                  <w:tcBorders>
                    <w:tl2br w:val="nil"/>
                    <w:tr2bl w:val="nil"/>
                  </w:tcBorders>
                  <w:noWrap w:val="0"/>
                  <w:vAlign w:val="center"/>
                </w:tcPr>
                <w:p w14:paraId="6A442A08">
                  <w:pPr>
                    <w:pStyle w:val="52"/>
                    <w:bidi w:val="0"/>
                    <w:rPr>
                      <w:rFonts w:hint="default"/>
                      <w:color w:val="000000"/>
                      <w:lang w:val="en-US" w:eastAsia="zh-CN"/>
                    </w:rPr>
                  </w:pPr>
                  <w:r>
                    <w:rPr>
                      <w:rFonts w:hint="eastAsia"/>
                      <w:color w:val="000000"/>
                      <w:lang w:val="en-US" w:eastAsia="zh-CN"/>
                    </w:rPr>
                    <w:t>40万元</w:t>
                  </w:r>
                </w:p>
              </w:tc>
            </w:tr>
          </w:tbl>
          <w:p w14:paraId="5C46BAB4">
            <w:pPr>
              <w:pStyle w:val="4"/>
              <w:rPr>
                <w:rFonts w:hint="default"/>
                <w:lang w:val="en-US" w:eastAsia="zh-CN"/>
              </w:rPr>
            </w:pPr>
          </w:p>
        </w:tc>
      </w:tr>
    </w:tbl>
    <w:p w14:paraId="408C9A8B">
      <w:pPr>
        <w:rPr>
          <w:color w:val="auto"/>
          <w:highlight w:val="none"/>
        </w:rPr>
      </w:pPr>
      <w:bookmarkStart w:id="201" w:name="_Toc25037"/>
      <w:bookmarkStart w:id="202" w:name="_Toc12951"/>
      <w:bookmarkStart w:id="203" w:name="_Toc28805"/>
      <w:bookmarkStart w:id="204" w:name="_Toc31345"/>
      <w:bookmarkStart w:id="205" w:name="_Toc9430"/>
      <w:bookmarkStart w:id="206" w:name="_Toc1654"/>
      <w:bookmarkStart w:id="207" w:name="_Toc27194"/>
      <w:bookmarkStart w:id="208" w:name="_Toc28426"/>
      <w:r>
        <w:rPr>
          <w:color w:val="auto"/>
          <w:highlight w:val="none"/>
        </w:rPr>
        <w:br w:type="page"/>
      </w:r>
    </w:p>
    <w:p w14:paraId="04038DAC">
      <w:pPr>
        <w:pStyle w:val="73"/>
        <w:rPr>
          <w:color w:val="auto"/>
          <w:highlight w:val="none"/>
        </w:rPr>
      </w:pPr>
      <w:bookmarkStart w:id="209" w:name="_Toc23872"/>
      <w:r>
        <w:rPr>
          <w:color w:val="auto"/>
          <w:highlight w:val="none"/>
        </w:rPr>
        <w:t>五、</w:t>
      </w:r>
      <w:bookmarkStart w:id="210" w:name="_Hlk54167917"/>
      <w:r>
        <w:rPr>
          <w:color w:val="auto"/>
          <w:highlight w:val="none"/>
        </w:rPr>
        <w:t>环境保护措施监督检查清单</w:t>
      </w:r>
      <w:bookmarkEnd w:id="201"/>
      <w:bookmarkEnd w:id="202"/>
      <w:bookmarkEnd w:id="203"/>
      <w:bookmarkEnd w:id="204"/>
      <w:bookmarkEnd w:id="205"/>
      <w:bookmarkEnd w:id="206"/>
      <w:bookmarkEnd w:id="207"/>
      <w:bookmarkEnd w:id="208"/>
      <w:bookmarkEnd w:id="209"/>
      <w:bookmarkEnd w:id="210"/>
    </w:p>
    <w:tbl>
      <w:tblPr>
        <w:tblStyle w:val="2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5"/>
        <w:gridCol w:w="1614"/>
        <w:gridCol w:w="777"/>
        <w:gridCol w:w="2618"/>
        <w:gridCol w:w="3521"/>
      </w:tblGrid>
      <w:tr w14:paraId="17803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58" w:type="dxa"/>
            <w:gridSpan w:val="2"/>
            <w:tcBorders>
              <w:tl2br w:val="single" w:color="auto" w:sz="4" w:space="0"/>
            </w:tcBorders>
            <w:noWrap w:val="0"/>
            <w:vAlign w:val="top"/>
          </w:tcPr>
          <w:p w14:paraId="0757F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highlight w:val="none"/>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7D8118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27113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614" w:type="dxa"/>
            <w:noWrap w:val="0"/>
            <w:vAlign w:val="center"/>
          </w:tcPr>
          <w:p w14:paraId="7C3D6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777" w:type="dxa"/>
            <w:noWrap w:val="0"/>
            <w:vAlign w:val="center"/>
          </w:tcPr>
          <w:p w14:paraId="02F913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618" w:type="dxa"/>
            <w:noWrap w:val="0"/>
            <w:vAlign w:val="center"/>
          </w:tcPr>
          <w:p w14:paraId="061BB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521" w:type="dxa"/>
            <w:noWrap w:val="0"/>
            <w:vAlign w:val="center"/>
          </w:tcPr>
          <w:p w14:paraId="1DC58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213A9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758" w:type="dxa"/>
            <w:gridSpan w:val="2"/>
            <w:vMerge w:val="restart"/>
            <w:noWrap w:val="0"/>
            <w:vAlign w:val="center"/>
          </w:tcPr>
          <w:p w14:paraId="4AF35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614" w:type="dxa"/>
            <w:vMerge w:val="restart"/>
            <w:noWrap w:val="0"/>
            <w:vAlign w:val="center"/>
          </w:tcPr>
          <w:p w14:paraId="706E8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排气筒</w:t>
            </w:r>
          </w:p>
          <w:p w14:paraId="24032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(DA001)</w:t>
            </w:r>
          </w:p>
          <w:p w14:paraId="55E32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熔融、压铸脱模废气</w:t>
            </w:r>
          </w:p>
        </w:tc>
        <w:tc>
          <w:tcPr>
            <w:tcW w:w="777" w:type="dxa"/>
            <w:noWrap w:val="0"/>
            <w:vAlign w:val="center"/>
          </w:tcPr>
          <w:p w14:paraId="0E460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颗粒物</w:t>
            </w:r>
          </w:p>
        </w:tc>
        <w:tc>
          <w:tcPr>
            <w:tcW w:w="2618" w:type="dxa"/>
            <w:vMerge w:val="restart"/>
            <w:noWrap w:val="0"/>
            <w:vAlign w:val="center"/>
          </w:tcPr>
          <w:p w14:paraId="49DC0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熔融、压铸脱模废气经“集气罩收集+布袋除尘器+活性炭吸附装置”处理后由15m高排气筒（DA001）排放，风机风量为25000m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521" w:type="dxa"/>
            <w:vMerge w:val="restart"/>
            <w:noWrap w:val="0"/>
            <w:vAlign w:val="center"/>
          </w:tcPr>
          <w:p w14:paraId="43197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z w:val="21"/>
                <w:szCs w:val="21"/>
                <w:highlight w:val="none"/>
                <w:lang w:val="en-US" w:eastAsia="zh-CN"/>
              </w:rPr>
              <w:t>颗粒物执行《铸造工业大气污染物排放标准》（GB39726-2020）中表1标准限值；VOCs执行《工业企业挥发性有机物排放标准》（DB35/1782-2018）表1中其他行业非甲烷总烃排放标准（即颗粒物</w:t>
            </w:r>
            <w:r>
              <w:rPr>
                <w:rFonts w:hint="eastAsia" w:cs="Times New Roman"/>
                <w:color w:val="auto"/>
                <w:kern w:val="18"/>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ascii="Times New Roman" w:hAnsi="Times New Roman" w:cs="Times New Roman"/>
                <w:color w:val="auto"/>
                <w:szCs w:val="21"/>
                <w:highlight w:val="none"/>
                <w:vertAlign w:val="baseline"/>
                <w:lang w:val="en-US" w:eastAsia="zh-CN"/>
              </w:rPr>
              <w:t>非甲烷总烃</w:t>
            </w:r>
            <w:r>
              <w:rPr>
                <w:rFonts w:hint="eastAsia" w:cs="Times New Roman"/>
                <w:color w:val="auto"/>
                <w:kern w:val="18"/>
                <w:highlight w:val="none"/>
                <w:lang w:val="en-US" w:eastAsia="zh-CN"/>
              </w:rPr>
              <w:t>≤100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 w:val="21"/>
                <w:szCs w:val="21"/>
                <w:highlight w:val="none"/>
                <w:lang w:val="en-US" w:eastAsia="zh-CN"/>
              </w:rPr>
              <w:t>）</w:t>
            </w:r>
          </w:p>
        </w:tc>
      </w:tr>
      <w:tr w14:paraId="188AD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58" w:type="dxa"/>
            <w:gridSpan w:val="2"/>
            <w:vMerge w:val="continue"/>
            <w:noWrap w:val="0"/>
            <w:vAlign w:val="center"/>
          </w:tcPr>
          <w:p w14:paraId="73FA7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614" w:type="dxa"/>
            <w:vMerge w:val="continue"/>
            <w:noWrap w:val="0"/>
            <w:vAlign w:val="center"/>
          </w:tcPr>
          <w:p w14:paraId="6D99E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p>
        </w:tc>
        <w:tc>
          <w:tcPr>
            <w:tcW w:w="777" w:type="dxa"/>
            <w:noWrap w:val="0"/>
            <w:vAlign w:val="center"/>
          </w:tcPr>
          <w:p w14:paraId="5ADC9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VOCs</w:t>
            </w:r>
          </w:p>
        </w:tc>
        <w:tc>
          <w:tcPr>
            <w:tcW w:w="2618" w:type="dxa"/>
            <w:vMerge w:val="continue"/>
            <w:noWrap w:val="0"/>
            <w:vAlign w:val="center"/>
          </w:tcPr>
          <w:p w14:paraId="0E0C4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sz w:val="21"/>
                <w:szCs w:val="21"/>
                <w:highlight w:val="none"/>
                <w:lang w:val="en-US" w:eastAsia="zh-CN"/>
              </w:rPr>
            </w:pPr>
          </w:p>
        </w:tc>
        <w:tc>
          <w:tcPr>
            <w:tcW w:w="3521" w:type="dxa"/>
            <w:vMerge w:val="continue"/>
            <w:noWrap w:val="0"/>
            <w:vAlign w:val="center"/>
          </w:tcPr>
          <w:p w14:paraId="7A8B5B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kern w:val="18"/>
                <w:highlight w:val="none"/>
                <w:lang w:val="en-US" w:eastAsia="zh-CN"/>
              </w:rPr>
            </w:pPr>
          </w:p>
        </w:tc>
      </w:tr>
      <w:tr w14:paraId="14EE7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758" w:type="dxa"/>
            <w:gridSpan w:val="2"/>
            <w:vMerge w:val="continue"/>
            <w:noWrap w:val="0"/>
            <w:vAlign w:val="center"/>
          </w:tcPr>
          <w:p w14:paraId="54731E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614" w:type="dxa"/>
            <w:noWrap w:val="0"/>
            <w:vAlign w:val="center"/>
          </w:tcPr>
          <w:p w14:paraId="0D6FA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777" w:type="dxa"/>
            <w:noWrap w:val="0"/>
            <w:vAlign w:val="center"/>
          </w:tcPr>
          <w:p w14:paraId="03106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VOCs、颗粒物</w:t>
            </w:r>
          </w:p>
        </w:tc>
        <w:tc>
          <w:tcPr>
            <w:tcW w:w="2618" w:type="dxa"/>
            <w:vMerge w:val="restart"/>
            <w:noWrap w:val="0"/>
            <w:vAlign w:val="center"/>
          </w:tcPr>
          <w:p w14:paraId="24765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eastAsia" w:ascii="Times New Roman" w:hAnsi="Times New Roman" w:eastAsia="宋体" w:cs="Times New Roman"/>
                <w:bCs/>
                <w:color w:val="000000"/>
                <w:sz w:val="21"/>
                <w:szCs w:val="21"/>
                <w:highlight w:val="none"/>
                <w:lang w:val="en-US" w:eastAsia="zh-CN"/>
              </w:rPr>
              <w:t>设置密闭生产车间，加强车间管理。定期对车间内进行清扫减少颗粒物无组织排放</w:t>
            </w:r>
            <w:r>
              <w:rPr>
                <w:rFonts w:hint="default" w:ascii="Times New Roman" w:hAnsi="Times New Roman" w:eastAsia="宋体" w:cs="Times New Roman"/>
                <w:bCs/>
                <w:color w:val="000000"/>
                <w:sz w:val="21"/>
                <w:szCs w:val="21"/>
                <w:highlight w:val="none"/>
                <w:lang w:val="en-US" w:eastAsia="zh-CN"/>
              </w:rPr>
              <w:t>。</w:t>
            </w:r>
            <w:r>
              <w:rPr>
                <w:rFonts w:hint="eastAsia" w:ascii="Times New Roman" w:hAnsi="Times New Roman" w:eastAsia="宋体" w:cs="Times New Roman"/>
                <w:bCs/>
                <w:color w:val="000000"/>
                <w:sz w:val="21"/>
                <w:szCs w:val="21"/>
                <w:highlight w:val="none"/>
                <w:lang w:val="en-US" w:eastAsia="zh-CN"/>
              </w:rPr>
              <w:t>收集后作为一般固体废物，外售综合利用。</w:t>
            </w:r>
          </w:p>
        </w:tc>
        <w:tc>
          <w:tcPr>
            <w:tcW w:w="3521" w:type="dxa"/>
            <w:tcBorders>
              <w:bottom w:val="single" w:color="000000" w:sz="4" w:space="0"/>
            </w:tcBorders>
            <w:noWrap w:val="0"/>
            <w:vAlign w:val="center"/>
          </w:tcPr>
          <w:p w14:paraId="27EBD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eastAsia" w:cs="Times New Roman"/>
                <w:color w:val="auto"/>
                <w:sz w:val="21"/>
                <w:szCs w:val="21"/>
                <w:highlight w:val="none"/>
                <w:lang w:val="en-US" w:eastAsia="zh-CN"/>
              </w:rPr>
              <w:t>、</w:t>
            </w:r>
            <w:r>
              <w:rPr>
                <w:rFonts w:hint="eastAsia" w:cs="Times New Roman"/>
                <w:color w:val="auto"/>
                <w:sz w:val="21"/>
                <w:szCs w:val="21"/>
                <w:highlight w:val="none"/>
                <w:shd w:val="clear" w:color="auto" w:fill="FFFFFF"/>
                <w:lang w:val="en-US" w:eastAsia="zh-CN"/>
              </w:rPr>
              <w:t>颗粒物企业厂区内执行</w:t>
            </w:r>
            <w:r>
              <w:rPr>
                <w:rFonts w:hint="default" w:ascii="Times New Roman" w:hAnsi="Times New Roman" w:eastAsia="宋体" w:cs="Times New Roman"/>
                <w:b w:val="0"/>
                <w:bCs w:val="0"/>
                <w:color w:val="auto"/>
                <w:sz w:val="21"/>
                <w:szCs w:val="21"/>
                <w:highlight w:val="none"/>
                <w:vertAlign w:val="baseline"/>
                <w:lang w:val="en-US" w:eastAsia="zh-CN"/>
              </w:rPr>
              <w:t>《铸造工业大气污染物排放标准》（GB39726-2020）中</w:t>
            </w:r>
            <w:r>
              <w:rPr>
                <w:rFonts w:hint="eastAsia" w:ascii="Times New Roman" w:hAnsi="Times New Roman" w:eastAsia="宋体" w:cs="Times New Roman"/>
                <w:b w:val="0"/>
                <w:bCs w:val="0"/>
                <w:color w:val="auto"/>
                <w:sz w:val="21"/>
                <w:szCs w:val="21"/>
                <w:highlight w:val="none"/>
                <w:vertAlign w:val="baseline"/>
                <w:lang w:val="en-US" w:eastAsia="zh-CN"/>
              </w:rPr>
              <w:t>表A.1 厂区内颗粒物</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VOCs无组织排放限值</w:t>
            </w:r>
            <w:r>
              <w:rPr>
                <w:rFonts w:hint="eastAsia" w:ascii="Times New Roman" w:hAnsi="Times New Roman"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w:t>
            </w:r>
            <w:r>
              <w:rPr>
                <w:rFonts w:hint="eastAsia" w:cs="Times New Roman"/>
                <w:color w:val="auto"/>
                <w:sz w:val="21"/>
                <w:szCs w:val="21"/>
                <w:highlight w:val="none"/>
                <w:lang w:val="en-US" w:eastAsia="zh-CN"/>
              </w:rPr>
              <w:t>厂区内</w:t>
            </w:r>
            <w:r>
              <w:rPr>
                <w:rFonts w:hint="default" w:ascii="Times New Roman" w:hAnsi="Times New Roman" w:eastAsia="宋体" w:cs="Times New Roman"/>
                <w:color w:val="auto"/>
                <w:sz w:val="21"/>
                <w:szCs w:val="21"/>
                <w:highlight w:val="none"/>
                <w:lang w:val="en-US" w:eastAsia="zh-CN"/>
              </w:rPr>
              <w:t>无组织排放</w:t>
            </w:r>
            <w:r>
              <w:rPr>
                <w:rFonts w:hint="default" w:ascii="Times New Roman" w:hAnsi="Times New Roman" w:eastAsia="宋体" w:cs="Times New Roman"/>
                <w:color w:val="auto"/>
                <w:sz w:val="21"/>
                <w:szCs w:val="21"/>
                <w:highlight w:val="none"/>
                <w:shd w:val="clear" w:color="auto" w:fill="FFFFFF"/>
                <w:lang w:eastAsia="zh-CN"/>
              </w:rPr>
              <w:t>监控点处</w:t>
            </w:r>
            <w:r>
              <w:rPr>
                <w:rFonts w:hint="default" w:ascii="Times New Roman" w:hAnsi="Times New Roman" w:eastAsia="宋体" w:cs="Times New Roman"/>
                <w:color w:val="auto"/>
                <w:sz w:val="21"/>
                <w:szCs w:val="21"/>
                <w:highlight w:val="none"/>
                <w:shd w:val="clear" w:color="auto" w:fill="FFFFFF"/>
                <w:lang w:val="en-US" w:eastAsia="zh-CN"/>
              </w:rPr>
              <w:t>1h平均浓度值</w:t>
            </w:r>
            <w:r>
              <w:rPr>
                <w:rFonts w:hint="eastAsia" w:ascii="Times New Roman" w:hAnsi="Times New Roman" w:eastAsia="宋体" w:cs="Times New Roman"/>
                <w:color w:val="auto"/>
                <w:sz w:val="21"/>
                <w:szCs w:val="21"/>
                <w:highlight w:val="none"/>
                <w:shd w:val="clear" w:color="auto" w:fill="FFFFFF"/>
                <w:lang w:val="en-US" w:eastAsia="zh-CN"/>
              </w:rPr>
              <w:t>≤</w:t>
            </w:r>
            <w:r>
              <w:rPr>
                <w:rFonts w:hint="eastAsia" w:cs="Times New Roman"/>
                <w:color w:val="auto"/>
                <w:sz w:val="21"/>
                <w:szCs w:val="21"/>
                <w:highlight w:val="none"/>
                <w:shd w:val="clear" w:color="auto" w:fill="FFFFFF"/>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，颗粒物</w:t>
            </w:r>
            <w:r>
              <w:rPr>
                <w:rFonts w:hint="eastAsia" w:cs="Times New Roman"/>
                <w:b w:val="0"/>
                <w:bCs w:val="0"/>
                <w:color w:val="auto"/>
                <w:kern w:val="2"/>
                <w:sz w:val="21"/>
                <w:szCs w:val="21"/>
                <w:highlight w:val="none"/>
                <w:vertAlign w:val="baseline"/>
                <w:lang w:val="en-US" w:eastAsia="zh-CN" w:bidi="ar-SA"/>
              </w:rPr>
              <w:t>厂区内监控点处1h平均浓度值5</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008CB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58" w:type="dxa"/>
            <w:gridSpan w:val="2"/>
            <w:vMerge w:val="continue"/>
            <w:noWrap w:val="0"/>
            <w:vAlign w:val="center"/>
          </w:tcPr>
          <w:p w14:paraId="167097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614" w:type="dxa"/>
            <w:noWrap w:val="0"/>
            <w:vAlign w:val="center"/>
          </w:tcPr>
          <w:p w14:paraId="2C936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777" w:type="dxa"/>
            <w:noWrap w:val="0"/>
            <w:vAlign w:val="center"/>
          </w:tcPr>
          <w:p w14:paraId="709DD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颗粒物</w:t>
            </w:r>
          </w:p>
        </w:tc>
        <w:tc>
          <w:tcPr>
            <w:tcW w:w="2618" w:type="dxa"/>
            <w:vMerge w:val="continue"/>
            <w:noWrap w:val="0"/>
            <w:vAlign w:val="center"/>
          </w:tcPr>
          <w:p w14:paraId="0B5E0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521" w:type="dxa"/>
            <w:noWrap w:val="0"/>
            <w:vAlign w:val="center"/>
          </w:tcPr>
          <w:p w14:paraId="13FB3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0"/>
                <w:sz w:val="21"/>
                <w:szCs w:val="21"/>
                <w:highlight w:val="none"/>
                <w:lang w:val="en-US" w:eastAsia="zh-CN"/>
              </w:rPr>
              <w:t>VOCs</w:t>
            </w:r>
            <w:r>
              <w:rPr>
                <w:rFonts w:hint="eastAsia" w:ascii="Times New Roman" w:hAnsi="Times New Roman" w:eastAsia="宋体" w:cs="Times New Roman"/>
                <w:color w:val="auto"/>
                <w:spacing w:val="0"/>
                <w:sz w:val="21"/>
                <w:szCs w:val="21"/>
                <w:highlight w:val="none"/>
                <w:lang w:val="en-US" w:eastAsia="zh-CN"/>
              </w:rPr>
              <w:t>执行《</w:t>
            </w:r>
            <w:r>
              <w:rPr>
                <w:rFonts w:hint="eastAsia" w:cs="Times New Roman"/>
                <w:color w:val="auto"/>
                <w:spacing w:val="0"/>
                <w:sz w:val="21"/>
                <w:szCs w:val="21"/>
                <w:highlight w:val="none"/>
                <w:lang w:val="en-US" w:eastAsia="zh-CN"/>
              </w:rPr>
              <w:t>工业企业挥发性有机物排放标准</w:t>
            </w:r>
            <w:r>
              <w:rPr>
                <w:rFonts w:hint="eastAsia" w:ascii="Times New Roman" w:hAnsi="Times New Roman" w:eastAsia="宋体"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DB35/1782-2018</w:t>
            </w:r>
            <w:r>
              <w:rPr>
                <w:rFonts w:hint="eastAsia" w:ascii="Times New Roman" w:hAnsi="Times New Roman" w:eastAsia="宋体" w:cs="Times New Roman"/>
                <w:color w:val="auto"/>
                <w:spacing w:val="0"/>
                <w:sz w:val="21"/>
                <w:szCs w:val="21"/>
                <w:highlight w:val="none"/>
                <w:lang w:val="en-US" w:eastAsia="zh-CN"/>
              </w:rPr>
              <w:t>）中表</w:t>
            </w:r>
            <w:r>
              <w:rPr>
                <w:rFonts w:hint="eastAsia" w:cs="Times New Roman"/>
                <w:color w:val="auto"/>
                <w:spacing w:val="0"/>
                <w:sz w:val="21"/>
                <w:szCs w:val="21"/>
                <w:highlight w:val="none"/>
                <w:lang w:val="en-US" w:eastAsia="zh-CN"/>
              </w:rPr>
              <w:t>3中非甲烷总烃排放标准；颗粒物执行《大气污染物综合排放标准》（GB16297-1996）中表2无组织排放标准</w:t>
            </w:r>
            <w:r>
              <w:rPr>
                <w:rFonts w:hint="eastAsia" w:cs="Times New Roman"/>
                <w:color w:val="auto"/>
                <w:kern w:val="18"/>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即非甲烷总烃≤</w:t>
            </w:r>
            <w:r>
              <w:rPr>
                <w:rFonts w:hint="eastAsia" w:cs="Times New Roman"/>
                <w:color w:val="auto"/>
                <w:kern w:val="2"/>
                <w:sz w:val="21"/>
                <w:szCs w:val="21"/>
                <w:highlight w:val="none"/>
                <w:lang w:val="en-US" w:eastAsia="zh-CN" w:bidi="ar-SA"/>
              </w:rPr>
              <w:t>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；颗粒物</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r>
      <w:tr w14:paraId="7B3E2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58" w:type="dxa"/>
            <w:gridSpan w:val="2"/>
            <w:vMerge w:val="restart"/>
            <w:noWrap w:val="0"/>
            <w:vAlign w:val="center"/>
          </w:tcPr>
          <w:p w14:paraId="7CB1F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0286D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614" w:type="dxa"/>
            <w:noWrap w:val="0"/>
            <w:vAlign w:val="center"/>
          </w:tcPr>
          <w:p w14:paraId="144A8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压铸间接冷却水（循环使用不外排）</w:t>
            </w:r>
          </w:p>
        </w:tc>
        <w:tc>
          <w:tcPr>
            <w:tcW w:w="777" w:type="dxa"/>
            <w:noWrap w:val="0"/>
            <w:vAlign w:val="center"/>
          </w:tcPr>
          <w:p w14:paraId="44B5B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18" w:type="dxa"/>
            <w:noWrap w:val="0"/>
            <w:vAlign w:val="center"/>
          </w:tcPr>
          <w:p w14:paraId="0F2BD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000000"/>
                <w:sz w:val="21"/>
                <w:szCs w:val="21"/>
                <w:highlight w:val="none"/>
                <w:lang w:val="en-US" w:eastAsia="zh-CN"/>
              </w:rPr>
            </w:pPr>
            <w:r>
              <w:rPr>
                <w:rFonts w:hint="eastAsia" w:cs="Times New Roman"/>
                <w:bCs/>
                <w:color w:val="000000"/>
                <w:sz w:val="21"/>
                <w:szCs w:val="21"/>
                <w:highlight w:val="none"/>
                <w:lang w:val="en-US" w:eastAsia="zh-CN"/>
              </w:rPr>
              <w:t>冷却塔冷却后循环使用不外排</w:t>
            </w:r>
          </w:p>
        </w:tc>
        <w:tc>
          <w:tcPr>
            <w:tcW w:w="3521" w:type="dxa"/>
            <w:noWrap w:val="0"/>
            <w:vAlign w:val="center"/>
          </w:tcPr>
          <w:p w14:paraId="32DB0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w:t>
            </w:r>
          </w:p>
        </w:tc>
      </w:tr>
      <w:tr w14:paraId="21DCB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58" w:type="dxa"/>
            <w:gridSpan w:val="2"/>
            <w:vMerge w:val="continue"/>
            <w:noWrap w:val="0"/>
            <w:vAlign w:val="center"/>
          </w:tcPr>
          <w:p w14:paraId="45039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614" w:type="dxa"/>
            <w:noWrap w:val="0"/>
            <w:vAlign w:val="center"/>
          </w:tcPr>
          <w:p w14:paraId="7E124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产品清洗废水、研磨冷却水</w:t>
            </w:r>
          </w:p>
        </w:tc>
        <w:tc>
          <w:tcPr>
            <w:tcW w:w="777" w:type="dxa"/>
            <w:noWrap w:val="0"/>
            <w:vAlign w:val="center"/>
          </w:tcPr>
          <w:p w14:paraId="7146E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18" w:type="dxa"/>
            <w:noWrap w:val="0"/>
            <w:vAlign w:val="center"/>
          </w:tcPr>
          <w:p w14:paraId="4EDA4F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bCs/>
                <w:color w:val="000000"/>
                <w:sz w:val="21"/>
                <w:szCs w:val="21"/>
                <w:highlight w:val="none"/>
                <w:lang w:val="en-US" w:eastAsia="zh-CN"/>
              </w:rPr>
            </w:pPr>
            <w:r>
              <w:rPr>
                <w:rFonts w:hint="eastAsia" w:cs="Times New Roman"/>
                <w:bCs/>
                <w:color w:val="auto"/>
                <w:sz w:val="21"/>
                <w:szCs w:val="21"/>
                <w:highlight w:val="none"/>
                <w:lang w:val="en-US" w:eastAsia="zh-CN"/>
              </w:rPr>
              <w:t>生产废水经循环水处理系统处理后循环使用不外排</w:t>
            </w:r>
          </w:p>
        </w:tc>
        <w:tc>
          <w:tcPr>
            <w:tcW w:w="3521" w:type="dxa"/>
            <w:noWrap w:val="0"/>
            <w:vAlign w:val="center"/>
          </w:tcPr>
          <w:p w14:paraId="5D640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C9D9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7BF5C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614" w:type="dxa"/>
            <w:noWrap w:val="0"/>
            <w:vAlign w:val="center"/>
          </w:tcPr>
          <w:p w14:paraId="3552F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w:t>
            </w:r>
            <w:r>
              <w:rPr>
                <w:rFonts w:hint="eastAsia" w:cs="Times New Roman"/>
                <w:color w:val="auto"/>
                <w:sz w:val="21"/>
                <w:szCs w:val="21"/>
                <w:highlight w:val="none"/>
                <w:lang w:val="en-US" w:eastAsia="zh-CN"/>
              </w:rPr>
              <w:t>污水（DW001）</w:t>
            </w:r>
          </w:p>
        </w:tc>
        <w:tc>
          <w:tcPr>
            <w:tcW w:w="777" w:type="dxa"/>
            <w:noWrap w:val="0"/>
            <w:vAlign w:val="center"/>
          </w:tcPr>
          <w:p w14:paraId="2116E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618" w:type="dxa"/>
            <w:noWrap w:val="0"/>
            <w:vAlign w:val="center"/>
          </w:tcPr>
          <w:p w14:paraId="664FF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highlight w:val="none"/>
                <w:lang w:val="en-US" w:eastAsia="zh-CN"/>
              </w:rPr>
              <w:t>生活污水</w:t>
            </w:r>
            <w:r>
              <w:rPr>
                <w:rFonts w:hint="default" w:ascii="Times New Roman" w:hAnsi="Times New Roman" w:eastAsia="宋体" w:cs="Times New Roman"/>
                <w:bCs/>
                <w:color w:val="000000"/>
                <w:sz w:val="21"/>
                <w:szCs w:val="21"/>
                <w:highlight w:val="none"/>
              </w:rPr>
              <w:t>经化粪池预处理后接入市政污水管网排入</w:t>
            </w:r>
            <w:r>
              <w:rPr>
                <w:rFonts w:hint="default" w:ascii="Times New Roman" w:hAnsi="Times New Roman" w:eastAsia="宋体" w:cs="Times New Roman"/>
                <w:bCs/>
                <w:color w:val="auto"/>
                <w:sz w:val="21"/>
                <w:szCs w:val="21"/>
                <w:highlight w:val="none"/>
              </w:rPr>
              <w:t>福清市融元污水处理厂集中</w:t>
            </w:r>
            <w:r>
              <w:rPr>
                <w:rFonts w:hint="default" w:ascii="Times New Roman" w:hAnsi="Times New Roman" w:eastAsia="宋体" w:cs="Times New Roman"/>
                <w:bCs/>
                <w:color w:val="000000"/>
                <w:sz w:val="21"/>
                <w:szCs w:val="21"/>
                <w:highlight w:val="none"/>
              </w:rPr>
              <w:t>处理</w:t>
            </w:r>
          </w:p>
        </w:tc>
        <w:tc>
          <w:tcPr>
            <w:tcW w:w="3521" w:type="dxa"/>
            <w:noWrap w:val="0"/>
            <w:vAlign w:val="center"/>
          </w:tcPr>
          <w:p w14:paraId="6A64F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6FE05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noWrap w:val="0"/>
            <w:vAlign w:val="center"/>
          </w:tcPr>
          <w:p w14:paraId="62F7C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614" w:type="dxa"/>
            <w:noWrap w:val="0"/>
            <w:vAlign w:val="center"/>
          </w:tcPr>
          <w:p w14:paraId="3AA47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777" w:type="dxa"/>
            <w:noWrap w:val="0"/>
            <w:vAlign w:val="center"/>
          </w:tcPr>
          <w:p w14:paraId="1709F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618" w:type="dxa"/>
            <w:noWrap w:val="0"/>
            <w:vAlign w:val="center"/>
          </w:tcPr>
          <w:p w14:paraId="34119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eastAsia" w:cs="Times New Roman"/>
                <w:color w:val="auto"/>
                <w:kern w:val="2"/>
                <w:sz w:val="21"/>
                <w:szCs w:val="21"/>
                <w:highlight w:val="none"/>
                <w:lang w:val="en-US" w:eastAsia="zh-CN" w:bidi="ar-SA"/>
              </w:rPr>
              <w:t>本项目生产时间为8小时工作制，夜间不进行生产。</w:t>
            </w: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521" w:type="dxa"/>
            <w:noWrap w:val="0"/>
            <w:vAlign w:val="center"/>
          </w:tcPr>
          <w:p w14:paraId="67CA2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31EA9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758" w:type="dxa"/>
            <w:gridSpan w:val="2"/>
            <w:noWrap w:val="0"/>
            <w:vAlign w:val="center"/>
          </w:tcPr>
          <w:p w14:paraId="3A65E9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570E91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614" w:type="dxa"/>
            <w:noWrap w:val="0"/>
            <w:vAlign w:val="center"/>
          </w:tcPr>
          <w:p w14:paraId="7263AA8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777" w:type="dxa"/>
            <w:noWrap w:val="0"/>
            <w:vAlign w:val="center"/>
          </w:tcPr>
          <w:p w14:paraId="74BF89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618" w:type="dxa"/>
            <w:noWrap w:val="0"/>
            <w:vAlign w:val="center"/>
          </w:tcPr>
          <w:p w14:paraId="18E784C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521" w:type="dxa"/>
            <w:noWrap w:val="0"/>
            <w:vAlign w:val="center"/>
          </w:tcPr>
          <w:p w14:paraId="779AA94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33DBE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3" w:hRule="atLeast"/>
          <w:jc w:val="center"/>
        </w:trPr>
        <w:tc>
          <w:tcPr>
            <w:tcW w:w="758" w:type="dxa"/>
            <w:gridSpan w:val="2"/>
            <w:noWrap w:val="0"/>
            <w:vAlign w:val="center"/>
          </w:tcPr>
          <w:p w14:paraId="23416E6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495211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530" w:type="dxa"/>
            <w:gridSpan w:val="4"/>
            <w:noWrap w:val="0"/>
            <w:vAlign w:val="center"/>
          </w:tcPr>
          <w:p w14:paraId="1A79C674">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熔融炉渣（不沾染油）、不合格产品、废边角料、碎屑、废包装纸箱、包装袋、收集的粉尘颗粒及废布袋</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 18599-2020）的相关要求；</w:t>
            </w:r>
          </w:p>
          <w:p w14:paraId="4077BC52">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熔融炉渣（沾染油）、脱模剂废包装桶、废切削液及金属渣、废活性炭、废机油、废液压油、污泥</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 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6BB7A7F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7DE1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6" w:hRule="atLeast"/>
          <w:jc w:val="center"/>
        </w:trPr>
        <w:tc>
          <w:tcPr>
            <w:tcW w:w="758" w:type="dxa"/>
            <w:gridSpan w:val="2"/>
            <w:noWrap w:val="0"/>
            <w:vAlign w:val="center"/>
          </w:tcPr>
          <w:p w14:paraId="4F467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530" w:type="dxa"/>
            <w:gridSpan w:val="4"/>
            <w:noWrap w:val="0"/>
            <w:vAlign w:val="center"/>
          </w:tcPr>
          <w:p w14:paraId="114FCB6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42F2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758" w:type="dxa"/>
            <w:gridSpan w:val="2"/>
            <w:noWrap w:val="0"/>
            <w:vAlign w:val="center"/>
          </w:tcPr>
          <w:p w14:paraId="177BB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530" w:type="dxa"/>
            <w:gridSpan w:val="4"/>
            <w:noWrap w:val="0"/>
            <w:vAlign w:val="center"/>
          </w:tcPr>
          <w:p w14:paraId="1BD18CA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6CA89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758" w:type="dxa"/>
            <w:gridSpan w:val="2"/>
            <w:noWrap w:val="0"/>
            <w:vAlign w:val="center"/>
          </w:tcPr>
          <w:p w14:paraId="61E88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530" w:type="dxa"/>
            <w:gridSpan w:val="4"/>
            <w:noWrap w:val="0"/>
            <w:vAlign w:val="center"/>
          </w:tcPr>
          <w:p w14:paraId="638902A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6743C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dxa"/>
            <w:noWrap w:val="0"/>
            <w:vAlign w:val="center"/>
          </w:tcPr>
          <w:p w14:paraId="6A3F25F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641B868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05" w:type="dxa"/>
            <w:gridSpan w:val="5"/>
            <w:noWrap w:val="0"/>
            <w:vAlign w:val="center"/>
          </w:tcPr>
          <w:p w14:paraId="5EE9FEE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288781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1717E882">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p>
          <w:p w14:paraId="56768258">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  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1390"/>
              <w:gridCol w:w="1391"/>
              <w:gridCol w:w="1391"/>
              <w:gridCol w:w="1440"/>
              <w:gridCol w:w="1339"/>
            </w:tblGrid>
            <w:tr w14:paraId="4770A8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7E348D62">
                  <w:pPr>
                    <w:pStyle w:val="62"/>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211" w:name="_Toc24814499"/>
                  <w:r>
                    <w:rPr>
                      <w:color w:val="auto"/>
                      <w:sz w:val="21"/>
                      <w:highlight w:val="none"/>
                      <w:lang w:val="en-GB"/>
                    </w:rPr>
                    <w:t xml:space="preserve">  排放部位</w:t>
                  </w:r>
                </w:p>
                <w:p w14:paraId="6AFD8358">
                  <w:pPr>
                    <w:pStyle w:val="62"/>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43972F1">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2B6E1A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3C6A32A">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5FF70AC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04D73619">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21B704E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A052F23">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647B15E">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43" name="组合 4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52"/>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53"/>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54"/>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55"/>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59264;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&#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52"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53"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54"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55" o:title=""/>
                              <o:lock v:ext="edit" aspectratio="f"/>
                            </v:shape>
                          </v:group>
                        </w:pict>
                      </mc:Fallback>
                    </mc:AlternateContent>
                  </w:r>
                </w:p>
                <w:p w14:paraId="3A953D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39E765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F9F767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72FE851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1A1884A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963D3E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68301F1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6EC4BC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98F4B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3D3E72FD">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43BBBF1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56"/>
                                <a:stretch>
                                  <a:fillRect/>
                                </a:stretch>
                              </pic:blipFill>
                              <pic:spPr>
                                <a:xfrm>
                                  <a:off x="0" y="0"/>
                                  <a:ext cx="660400" cy="600710"/>
                                </a:xfrm>
                                <a:prstGeom prst="rect">
                                  <a:avLst/>
                                </a:prstGeom>
                                <a:noFill/>
                                <a:ln>
                                  <a:noFill/>
                                </a:ln>
                              </pic:spPr>
                            </pic:pic>
                          </a:graphicData>
                        </a:graphic>
                      </wp:inline>
                    </w:drawing>
                  </w:r>
                </w:p>
              </w:tc>
            </w:tr>
            <w:tr w14:paraId="145A4D2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F1CDCE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C59054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5A25307">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533895B">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DFDD337">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50A42015">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4DA3F8C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6BF2417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3F892C3">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791D17A">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1DADCAC">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562B1262">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45BC9F9E">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661629F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570AC585">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E6E73D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D21128C">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BFE1243">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3E9B059F">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0AC3E7E8">
                  <w:pPr>
                    <w:pStyle w:val="62"/>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1EED67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6655EA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许可简化管理</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许可证申报</w:t>
            </w:r>
            <w:r>
              <w:rPr>
                <w:rFonts w:hint="default" w:ascii="Times New Roman" w:hAnsi="Times New Roman" w:eastAsia="宋体" w:cs="Times New Roman"/>
                <w:color w:val="auto"/>
                <w:kern w:val="2"/>
                <w:sz w:val="24"/>
                <w:szCs w:val="24"/>
                <w:highlight w:val="none"/>
                <w:lang w:val="en-US" w:eastAsia="zh-CN" w:bidi="ar-SA"/>
              </w:rPr>
              <w:t>。</w:t>
            </w:r>
          </w:p>
          <w:p w14:paraId="3C050ED6">
            <w:pPr>
              <w:pStyle w:val="2"/>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 5.1-2 </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8"/>
              <w:gridCol w:w="1064"/>
              <w:gridCol w:w="2338"/>
              <w:gridCol w:w="2550"/>
              <w:gridCol w:w="1754"/>
            </w:tblGrid>
            <w:tr w14:paraId="447B5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8" w:type="dxa"/>
                  <w:shd w:val="clear" w:color="auto" w:fill="auto"/>
                  <w:vAlign w:val="center"/>
                </w:tcPr>
                <w:p w14:paraId="4BFFCB4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64" w:type="dxa"/>
                  <w:shd w:val="clear" w:color="auto" w:fill="auto"/>
                  <w:vAlign w:val="center"/>
                </w:tcPr>
                <w:p w14:paraId="712749C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2338" w:type="dxa"/>
                  <w:shd w:val="clear" w:color="auto" w:fill="auto"/>
                  <w:vAlign w:val="center"/>
                </w:tcPr>
                <w:p w14:paraId="69D76A14">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重点管理</w:t>
                  </w:r>
                </w:p>
              </w:tc>
              <w:tc>
                <w:tcPr>
                  <w:tcW w:w="2550" w:type="dxa"/>
                  <w:tcBorders>
                    <w:top w:val="single" w:color="auto" w:sz="12" w:space="0"/>
                    <w:bottom w:val="single" w:color="auto" w:sz="4" w:space="0"/>
                  </w:tcBorders>
                  <w:shd w:val="clear" w:color="auto" w:fill="BEBEBE" w:themeFill="background1" w:themeFillShade="BF"/>
                  <w:vAlign w:val="center"/>
                </w:tcPr>
                <w:p w14:paraId="1E247C96">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简化管理</w:t>
                  </w:r>
                </w:p>
              </w:tc>
              <w:tc>
                <w:tcPr>
                  <w:tcW w:w="1754" w:type="dxa"/>
                  <w:tcBorders>
                    <w:top w:val="single" w:color="auto" w:sz="12" w:space="0"/>
                    <w:bottom w:val="single" w:color="auto" w:sz="4" w:space="0"/>
                  </w:tcBorders>
                  <w:shd w:val="clear" w:color="auto" w:fill="auto"/>
                  <w:vAlign w:val="center"/>
                </w:tcPr>
                <w:p w14:paraId="6DE38C82">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登记管理</w:t>
                  </w:r>
                </w:p>
              </w:tc>
            </w:tr>
            <w:tr w14:paraId="69474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03D3F199">
                  <w:pPr>
                    <w:adjustRightInd w:val="0"/>
                    <w:snapToGrid w:val="0"/>
                    <w:spacing w:line="340" w:lineRule="exac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二十八、金属制品业33</w:t>
                  </w:r>
                </w:p>
              </w:tc>
            </w:tr>
            <w:tr w14:paraId="3540C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8" w:type="dxa"/>
                  <w:shd w:val="clear" w:color="auto" w:fill="auto"/>
                  <w:vAlign w:val="center"/>
                </w:tcPr>
                <w:p w14:paraId="0E377871">
                  <w:pPr>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1064" w:type="dxa"/>
                  <w:shd w:val="clear" w:color="auto" w:fill="auto"/>
                  <w:vAlign w:val="center"/>
                </w:tcPr>
                <w:p w14:paraId="1CAB730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铸造及其他金属制品制造339</w:t>
                  </w:r>
                </w:p>
              </w:tc>
              <w:tc>
                <w:tcPr>
                  <w:tcW w:w="2338" w:type="dxa"/>
                  <w:shd w:val="clear" w:color="auto" w:fill="auto"/>
                  <w:vAlign w:val="center"/>
                </w:tcPr>
                <w:p w14:paraId="6F7228C4">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黑色金属铸造3391（使用冲天炉的），有色金属铸造3392（生产铅基及铅青铜铸件的）</w:t>
                  </w:r>
                </w:p>
              </w:tc>
              <w:tc>
                <w:tcPr>
                  <w:tcW w:w="2550" w:type="dxa"/>
                  <w:tcBorders>
                    <w:top w:val="single" w:color="auto" w:sz="4" w:space="0"/>
                    <w:bottom w:val="single" w:color="auto" w:sz="4" w:space="0"/>
                  </w:tcBorders>
                  <w:shd w:val="clear" w:color="auto" w:fill="BEBEBE" w:themeFill="background1" w:themeFillShade="BF"/>
                  <w:vAlign w:val="center"/>
                </w:tcPr>
                <w:p w14:paraId="36D11160">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除重点管理以外的黑色金属铸造3391、有色金属铸造3392</w:t>
                  </w:r>
                </w:p>
              </w:tc>
              <w:tc>
                <w:tcPr>
                  <w:tcW w:w="1754" w:type="dxa"/>
                  <w:tcBorders>
                    <w:top w:val="single" w:color="auto" w:sz="4" w:space="0"/>
                    <w:bottom w:val="single" w:color="auto" w:sz="4" w:space="0"/>
                  </w:tcBorders>
                  <w:shd w:val="clear" w:color="auto" w:fill="auto"/>
                  <w:vAlign w:val="center"/>
                </w:tcPr>
                <w:p w14:paraId="15549507">
                  <w:pPr>
                    <w:adjustRightInd w:val="0"/>
                    <w:snapToGrid w:val="0"/>
                    <w:spacing w:line="340" w:lineRule="exact"/>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628C8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shd w:val="clear" w:color="auto" w:fill="BEBEBE" w:themeFill="background1" w:themeFillShade="BF"/>
                  <w:vAlign w:val="center"/>
                </w:tcPr>
                <w:p w14:paraId="147E6CD8">
                  <w:pPr>
                    <w:adjustRightInd w:val="0"/>
                    <w:snapToGrid w:val="0"/>
                    <w:spacing w:line="340" w:lineRule="exact"/>
                    <w:jc w:val="left"/>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五十一、通用工序</w:t>
                  </w:r>
                </w:p>
              </w:tc>
            </w:tr>
            <w:tr w14:paraId="64316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98" w:type="dxa"/>
                  <w:shd w:val="clear" w:color="auto" w:fill="auto"/>
                  <w:vAlign w:val="center"/>
                </w:tcPr>
                <w:p w14:paraId="1C5C43E4">
                  <w:pPr>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110</w:t>
                  </w:r>
                </w:p>
              </w:tc>
              <w:tc>
                <w:tcPr>
                  <w:tcW w:w="1064" w:type="dxa"/>
                  <w:shd w:val="clear" w:color="auto" w:fill="auto"/>
                  <w:vAlign w:val="center"/>
                </w:tcPr>
                <w:p w14:paraId="28519FEA">
                  <w:pPr>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工业炉窑</w:t>
                  </w:r>
                </w:p>
              </w:tc>
              <w:tc>
                <w:tcPr>
                  <w:tcW w:w="2338" w:type="dxa"/>
                  <w:shd w:val="clear" w:color="auto" w:fill="auto"/>
                  <w:vAlign w:val="center"/>
                </w:tcPr>
                <w:p w14:paraId="3AAB0028">
                  <w:pPr>
                    <w:adjustRightInd w:val="0"/>
                    <w:snapToGrid w:val="0"/>
                    <w:spacing w:line="340" w:lineRule="exact"/>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纳入重点排污单位名录的</w:t>
                  </w:r>
                </w:p>
              </w:tc>
              <w:tc>
                <w:tcPr>
                  <w:tcW w:w="2550" w:type="dxa"/>
                  <w:tcBorders>
                    <w:top w:val="single" w:color="auto" w:sz="4" w:space="0"/>
                    <w:bottom w:val="single" w:color="auto" w:sz="12" w:space="0"/>
                  </w:tcBorders>
                  <w:shd w:val="clear" w:color="auto" w:fill="auto"/>
                  <w:vAlign w:val="center"/>
                </w:tcPr>
                <w:p w14:paraId="4FA84DBF">
                  <w:pPr>
                    <w:adjustRightInd w:val="0"/>
                    <w:snapToGrid w:val="0"/>
                    <w:spacing w:line="340" w:lineRule="exac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FFFFFF"/>
                    </w:rPr>
                    <w:t>除纳入重点排污单位名录的，除以天然气或者电为能源的加热炉、热处理炉、干燥炉（窑）以外的其他工业炉窑</w:t>
                  </w:r>
                </w:p>
              </w:tc>
              <w:tc>
                <w:tcPr>
                  <w:tcW w:w="1754" w:type="dxa"/>
                  <w:tcBorders>
                    <w:top w:val="single" w:color="auto" w:sz="4" w:space="0"/>
                    <w:bottom w:val="single" w:color="auto" w:sz="12" w:space="0"/>
                  </w:tcBorders>
                  <w:shd w:val="clear" w:color="auto" w:fill="BEBEBE" w:themeFill="background1" w:themeFillShade="BF"/>
                  <w:vAlign w:val="center"/>
                </w:tcPr>
                <w:p w14:paraId="1278D311">
                  <w:pPr>
                    <w:adjustRightInd w:val="0"/>
                    <w:snapToGrid w:val="0"/>
                    <w:spacing w:line="34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除纳入重点排污单位名录的，以天然气或者电为能源的加热炉、热处理炉或者干燥炉（窑）</w:t>
                  </w:r>
                </w:p>
              </w:tc>
            </w:tr>
          </w:tbl>
          <w:p w14:paraId="5F24265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211"/>
            <w:bookmarkStart w:id="212"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212"/>
          </w:p>
          <w:p w14:paraId="6596A1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5A0DF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根据生态环境部《建设项目竣工环境保护验收技术指南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093D4BAD">
      <w:r>
        <w:br w:type="page"/>
      </w:r>
    </w:p>
    <w:p w14:paraId="79D59C06">
      <w:pPr>
        <w:pStyle w:val="21"/>
        <w:jc w:val="center"/>
        <w:outlineLvl w:val="0"/>
        <w:rPr>
          <w:rFonts w:ascii="Times New Roman" w:hAnsi="Times New Roman" w:eastAsia="黑体"/>
          <w:snapToGrid w:val="0"/>
          <w:sz w:val="30"/>
          <w:szCs w:val="30"/>
        </w:rPr>
      </w:pPr>
      <w:bookmarkStart w:id="213" w:name="_Toc4252"/>
      <w:bookmarkStart w:id="214" w:name="_Toc8670"/>
      <w:bookmarkStart w:id="215" w:name="_Toc17280"/>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年</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月</w:t>
      </w:r>
      <w:r>
        <w:rPr>
          <w:rFonts w:hint="eastAsia" w:cs="Times New Roman"/>
          <w:b w:val="0"/>
          <w:bCs w:val="0"/>
          <w:color w:val="auto"/>
          <w:sz w:val="24"/>
          <w:szCs w:val="24"/>
          <w:u w:val="none"/>
          <w:vertAlign w:val="baseline"/>
          <w:lang w:val="en-US" w:eastAsia="zh-CN"/>
        </w:rPr>
        <w:t>**</w:t>
      </w:r>
      <w:r>
        <w:rPr>
          <w:rFonts w:hint="eastAsia" w:ascii="Times New Roman" w:hAnsi="Times New Roman" w:cs="Times New Roman"/>
          <w:b w:val="0"/>
          <w:bCs w:val="0"/>
          <w:color w:val="auto"/>
          <w:sz w:val="24"/>
          <w:szCs w:val="24"/>
          <w:u w:val="none"/>
          <w:vertAlign w:val="baseline"/>
          <w:lang w:val="en-US" w:eastAsia="zh-CN"/>
        </w:rPr>
        <w:t>日</w:t>
      </w:r>
      <w:r>
        <w:drawing>
          <wp:anchor distT="0" distB="0" distL="114300" distR="114300" simplePos="0" relativeHeight="251687936" behindDoc="0" locked="0" layoutInCell="1" allowOverlap="1">
            <wp:simplePos x="0" y="0"/>
            <wp:positionH relativeFrom="column">
              <wp:posOffset>40005</wp:posOffset>
            </wp:positionH>
            <wp:positionV relativeFrom="paragraph">
              <wp:posOffset>52070</wp:posOffset>
            </wp:positionV>
            <wp:extent cx="5882005" cy="8578215"/>
            <wp:effectExtent l="0" t="0" r="4445" b="13335"/>
            <wp:wrapNone/>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57"/>
                    <a:stretch>
                      <a:fillRect/>
                    </a:stretch>
                  </pic:blipFill>
                  <pic:spPr>
                    <a:xfrm>
                      <a:off x="0" y="0"/>
                      <a:ext cx="5882005" cy="8578215"/>
                    </a:xfrm>
                    <a:prstGeom prst="rect">
                      <a:avLst/>
                    </a:prstGeom>
                    <a:noFill/>
                    <a:ln>
                      <a:noFill/>
                    </a:ln>
                  </pic:spPr>
                </pic:pic>
              </a:graphicData>
            </a:graphic>
          </wp:anchor>
        </w:drawing>
      </w:r>
      <w:r>
        <w:rPr>
          <w:rFonts w:ascii="Times New Roman" w:hAnsi="Times New Roman" w:eastAsia="黑体"/>
          <w:snapToGrid w:val="0"/>
          <w:sz w:val="30"/>
          <w:szCs w:val="30"/>
        </w:rPr>
        <w:t>六、结论</w:t>
      </w:r>
      <w:bookmarkEnd w:id="213"/>
      <w:bookmarkEnd w:id="214"/>
      <w:bookmarkEnd w:id="21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D9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4C96DE39">
            <w:pPr>
              <w:spacing w:line="360" w:lineRule="auto"/>
              <w:rPr>
                <w:b/>
                <w:bCs/>
                <w:sz w:val="28"/>
                <w:szCs w:val="28"/>
              </w:rPr>
            </w:pPr>
            <w:r>
              <w:rPr>
                <w:b/>
                <w:bCs/>
                <w:sz w:val="28"/>
                <w:szCs w:val="28"/>
              </w:rPr>
              <w:t>6.1 总结论</w:t>
            </w:r>
          </w:p>
          <w:p w14:paraId="23ED5480">
            <w:pPr>
              <w:spacing w:line="360" w:lineRule="auto"/>
              <w:ind w:firstLine="480" w:firstLineChars="200"/>
              <w:rPr>
                <w:rFonts w:ascii="Times New Roman" w:hAnsi="Times New Roman"/>
                <w:color w:val="auto"/>
                <w:sz w:val="24"/>
                <w:szCs w:val="24"/>
              </w:rPr>
            </w:pPr>
            <w:r>
              <w:rPr>
                <w:rFonts w:hint="eastAsia"/>
                <w:color w:val="auto"/>
                <w:sz w:val="24"/>
              </w:rPr>
              <w:t>本项目</w:t>
            </w:r>
            <w:r>
              <w:rPr>
                <w:rFonts w:hint="eastAsia"/>
                <w:color w:val="auto"/>
                <w:sz w:val="24"/>
                <w:lang w:val="en-US" w:eastAsia="zh-CN"/>
              </w:rPr>
              <w:t>位于</w:t>
            </w:r>
            <w:r>
              <w:rPr>
                <w:rFonts w:hint="eastAsia" w:cs="Times New Roman"/>
                <w:color w:val="auto"/>
                <w:sz w:val="24"/>
                <w:szCs w:val="24"/>
                <w:highlight w:val="none"/>
                <w:lang w:eastAsia="zh-CN"/>
              </w:rPr>
              <w:t>福清融侨经济技术开发区（均和云谷·福清科技港33#厂房）</w:t>
            </w:r>
            <w:r>
              <w:rPr>
                <w:rFonts w:hint="eastAsia"/>
                <w:color w:val="auto"/>
                <w:sz w:val="24"/>
                <w:lang w:val="en-US" w:eastAsia="zh-CN"/>
              </w:rPr>
              <w:t>，项目主要</w:t>
            </w:r>
            <w:r>
              <w:rPr>
                <w:rFonts w:hint="eastAsia" w:ascii="Times New Roman" w:hAnsi="Times New Roman" w:eastAsia="宋体" w:cs="Times New Roman"/>
                <w:color w:val="auto"/>
                <w:sz w:val="24"/>
                <w:szCs w:val="24"/>
                <w:highlight w:val="none"/>
                <w:u w:val="none"/>
                <w:lang w:val="en-US" w:eastAsia="zh-CN"/>
              </w:rPr>
              <w:t>从事五金配件</w:t>
            </w:r>
            <w:r>
              <w:rPr>
                <w:rFonts w:hint="eastAsia" w:cs="Times New Roman"/>
                <w:color w:val="auto"/>
                <w:sz w:val="24"/>
                <w:szCs w:val="24"/>
                <w:highlight w:val="none"/>
                <w:u w:val="none"/>
                <w:lang w:val="en-US" w:eastAsia="zh-CN"/>
              </w:rPr>
              <w:t>加工</w:t>
            </w:r>
            <w:r>
              <w:rPr>
                <w:rFonts w:hint="eastAsia" w:ascii="Times New Roman" w:hAnsi="Times New Roman" w:eastAsia="宋体" w:cs="Times New Roman"/>
                <w:color w:val="auto"/>
                <w:sz w:val="24"/>
                <w:szCs w:val="24"/>
                <w:highlight w:val="none"/>
                <w:u w:val="none"/>
                <w:lang w:val="en-US" w:eastAsia="zh-CN"/>
              </w:rPr>
              <w:t>生产等业务。</w:t>
            </w:r>
            <w:r>
              <w:rPr>
                <w:rFonts w:hint="eastAsia"/>
                <w:color w:val="auto"/>
                <w:sz w:val="24"/>
                <w:lang w:val="en-US" w:eastAsia="zh-CN"/>
              </w:rPr>
              <w:t>建设符合国家相关产业政策、符合《福清融侨经济技术开发区总体规划环境影响报告书（2018-2035年）》中的相关要求。符合“三线一单”以及生态分区管控控制要求，选址可行。经采取综合性、积极有效性的防治措施并确保污染物达标排放后，可避免或减少这些不利影响，使这些不利影响均在可接受范围内。</w:t>
            </w:r>
            <w:r>
              <w:rPr>
                <w:rFonts w:ascii="Times New Roman" w:hAnsi="Times New Roman"/>
                <w:color w:val="auto"/>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44C4D557">
            <w:pPr>
              <w:spacing w:line="360" w:lineRule="auto"/>
              <w:ind w:firstLine="480" w:firstLineChars="200"/>
              <w:rPr>
                <w:rFonts w:ascii="Times New Roman" w:hAnsi="Times New Roman" w:eastAsia="宋体" w:cs="Times New Roman"/>
                <w:color w:val="auto"/>
                <w:sz w:val="24"/>
              </w:rPr>
            </w:pPr>
            <w:r>
              <w:rPr>
                <w:color w:val="auto"/>
                <w:sz w:val="24"/>
              </w:rPr>
              <w:t>综上所述，在认真执行建设项目</w:t>
            </w:r>
            <w:r>
              <w:rPr>
                <w:rFonts w:hint="eastAsia"/>
                <w:color w:val="auto"/>
                <w:sz w:val="24"/>
                <w:lang w:eastAsia="zh-CN"/>
              </w:rPr>
              <w:t>“</w:t>
            </w:r>
            <w:r>
              <w:rPr>
                <w:color w:val="auto"/>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确保各污染物达标排放，对周围的环境影响较小。从环</w:t>
            </w:r>
            <w:r>
              <w:rPr>
                <w:rFonts w:ascii="Times New Roman" w:hAnsi="Times New Roman" w:eastAsia="宋体" w:cs="Times New Roman"/>
                <w:color w:val="auto"/>
                <w:sz w:val="24"/>
              </w:rPr>
              <w:t>境</w:t>
            </w:r>
            <w:r>
              <w:rPr>
                <w:rFonts w:hint="eastAsia" w:ascii="Times New Roman" w:hAnsi="Times New Roman" w:eastAsia="宋体" w:cs="Times New Roman"/>
                <w:color w:val="auto"/>
                <w:sz w:val="24"/>
                <w:lang w:val="en-US" w:eastAsia="zh-CN"/>
              </w:rPr>
              <w:t>影响</w:t>
            </w:r>
            <w:r>
              <w:rPr>
                <w:rFonts w:ascii="Times New Roman" w:hAnsi="Times New Roman" w:eastAsia="宋体" w:cs="Times New Roman"/>
                <w:color w:val="auto"/>
                <w:sz w:val="24"/>
              </w:rPr>
              <w:t>角度分析，该项目的建设是可行的。</w:t>
            </w:r>
          </w:p>
          <w:p w14:paraId="20F92617">
            <w:pPr>
              <w:spacing w:line="360" w:lineRule="auto"/>
              <w:ind w:firstLine="482" w:firstLineChars="200"/>
              <w:rPr>
                <w:b/>
                <w:bCs/>
                <w:sz w:val="24"/>
              </w:rPr>
            </w:pPr>
          </w:p>
          <w:p w14:paraId="5669BF3E">
            <w:pPr>
              <w:spacing w:line="360" w:lineRule="auto"/>
              <w:ind w:firstLine="482" w:firstLineChars="200"/>
              <w:jc w:val="right"/>
              <w:rPr>
                <w:rFonts w:hint="default" w:eastAsia="宋体"/>
                <w:b/>
                <w:bCs/>
                <w:sz w:val="24"/>
                <w:lang w:val="en-US" w:eastAsia="zh-CN"/>
              </w:rPr>
            </w:pPr>
          </w:p>
          <w:p w14:paraId="411302FA">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sz w:val="24"/>
              </w:rPr>
              <mc:AlternateContent>
                <mc:Choice Requires="wps">
                  <w:drawing>
                    <wp:anchor distT="0" distB="0" distL="114300" distR="114300" simplePos="0" relativeHeight="251723776" behindDoc="0" locked="0" layoutInCell="1" allowOverlap="1">
                      <wp:simplePos x="0" y="0"/>
                      <wp:positionH relativeFrom="column">
                        <wp:posOffset>2663190</wp:posOffset>
                      </wp:positionH>
                      <wp:positionV relativeFrom="paragraph">
                        <wp:posOffset>90805</wp:posOffset>
                      </wp:positionV>
                      <wp:extent cx="2486025" cy="552450"/>
                      <wp:effectExtent l="6350" t="6350" r="22225" b="12700"/>
                      <wp:wrapNone/>
                      <wp:docPr id="140" name="矩形 140"/>
                      <wp:cNvGraphicFramePr/>
                      <a:graphic xmlns:a="http://schemas.openxmlformats.org/drawingml/2006/main">
                        <a:graphicData uri="http://schemas.microsoft.com/office/word/2010/wordprocessingShape">
                          <wps:wsp>
                            <wps:cNvSpPr/>
                            <wps:spPr>
                              <a:xfrm>
                                <a:off x="3725545" y="6669405"/>
                                <a:ext cx="2486025" cy="5524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7pt;margin-top:7.15pt;height:43.5pt;width:195.75pt;z-index:251723776;v-text-anchor:middle;mso-width-relative:page;mso-height-relative:page;" fillcolor="#FFFFFF [3212]" filled="t" stroked="t" coordsize="21600,21600" o:gfxdata="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JvGcf2AAAAAoBAAAPAAAAAAAAAAEAIAAAACIA&#10;AABkcnMvZG93bnJldi54bWxQSwECFAAUAAAACACHTuJAxui73nsCAAAEBQAADgAAAAAAAAABACAA&#10;AAAnAQAAZHJzL2Uyb0RvYy54bWxQSwUGAAAAAAYABgBZAQAAFAYAAAAA&#10;">
                      <v:fill on="t" focussize="0,0"/>
                      <v:stroke weight="1pt" color="#FFFFFF [3212]" miterlimit="8" joinstyle="miter"/>
                      <v:imagedata o:title=""/>
                      <o:lock v:ext="edit" aspectratio="f"/>
                    </v:rect>
                  </w:pict>
                </mc:Fallback>
              </mc:AlternateContent>
            </w:r>
            <w:r>
              <w:rPr>
                <w:rFonts w:hint="eastAsia"/>
                <w:b w:val="0"/>
                <w:bCs w:val="0"/>
                <w:sz w:val="24"/>
                <w:highlight w:val="none"/>
                <w:lang w:val="en-US" w:eastAsia="zh-CN"/>
              </w:rPr>
              <w:t xml:space="preserve">福州朴诚至信环保科技有限公司    </w:t>
            </w:r>
          </w:p>
          <w:p w14:paraId="58547A9E">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b w:val="0"/>
                <w:bCs w:val="0"/>
                <w:sz w:val="24"/>
                <w:highlight w:val="none"/>
              </w:rPr>
              <w:t>202</w:t>
            </w:r>
            <w:r>
              <w:rPr>
                <w:rFonts w:hint="eastAsia"/>
                <w:b w:val="0"/>
                <w:bCs w:val="0"/>
                <w:sz w:val="24"/>
                <w:highlight w:val="none"/>
                <w:lang w:val="en-US" w:eastAsia="zh-CN"/>
              </w:rPr>
              <w:t>5</w:t>
            </w:r>
            <w:r>
              <w:rPr>
                <w:b w:val="0"/>
                <w:bCs w:val="0"/>
                <w:sz w:val="24"/>
                <w:highlight w:val="none"/>
              </w:rPr>
              <w:t>年</w:t>
            </w:r>
            <w:r>
              <w:rPr>
                <w:rFonts w:hint="eastAsia"/>
                <w:b w:val="0"/>
                <w:bCs w:val="0"/>
                <w:sz w:val="24"/>
                <w:highlight w:val="none"/>
                <w:lang w:val="en-US" w:eastAsia="zh-CN"/>
              </w:rPr>
              <w:t>11</w:t>
            </w:r>
            <w:r>
              <w:rPr>
                <w:b w:val="0"/>
                <w:bCs w:val="0"/>
                <w:sz w:val="24"/>
                <w:highlight w:val="none"/>
              </w:rPr>
              <w:t>月</w:t>
            </w:r>
            <w:r>
              <w:rPr>
                <w:rFonts w:hint="eastAsia"/>
                <w:b w:val="0"/>
                <w:bCs w:val="0"/>
                <w:sz w:val="24"/>
                <w:highlight w:val="none"/>
                <w:lang w:val="en-US" w:eastAsia="zh-CN"/>
              </w:rPr>
              <w:t xml:space="preserve">            </w:t>
            </w:r>
          </w:p>
          <w:p w14:paraId="01F9BB8C">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sz w:val="24"/>
                <w:highlight w:val="none"/>
              </w:rPr>
            </w:pPr>
          </w:p>
          <w:p w14:paraId="4448CC7F">
            <w:pPr>
              <w:spacing w:line="360" w:lineRule="auto"/>
              <w:ind w:firstLine="482" w:firstLineChars="200"/>
              <w:rPr>
                <w:b/>
                <w:bCs/>
                <w:sz w:val="24"/>
              </w:rPr>
            </w:pPr>
          </w:p>
          <w:p w14:paraId="67EC127E">
            <w:pPr>
              <w:spacing w:line="360" w:lineRule="auto"/>
              <w:ind w:firstLine="482" w:firstLineChars="200"/>
              <w:rPr>
                <w:b/>
                <w:bCs/>
                <w:sz w:val="24"/>
              </w:rPr>
            </w:pPr>
          </w:p>
          <w:p w14:paraId="02820C61">
            <w:pPr>
              <w:spacing w:line="360" w:lineRule="auto"/>
              <w:ind w:firstLine="482" w:firstLineChars="200"/>
              <w:rPr>
                <w:b/>
                <w:bCs/>
                <w:sz w:val="24"/>
              </w:rPr>
            </w:pPr>
          </w:p>
          <w:p w14:paraId="0C67ECE4">
            <w:pPr>
              <w:spacing w:line="360" w:lineRule="auto"/>
              <w:rPr>
                <w:sz w:val="24"/>
              </w:rPr>
            </w:pPr>
          </w:p>
        </w:tc>
      </w:tr>
    </w:tbl>
    <w:p w14:paraId="32DCF3EA">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03C36563">
      <w:pPr>
        <w:pStyle w:val="21"/>
        <w:adjustRightInd w:val="0"/>
        <w:snapToGrid w:val="0"/>
        <w:spacing w:before="120" w:beforeLines="50" w:beforeAutospacing="0" w:after="0" w:afterAutospacing="0"/>
        <w:jc w:val="both"/>
        <w:outlineLvl w:val="0"/>
        <w:rPr>
          <w:rFonts w:ascii="Times New Roman" w:hAnsi="Times New Roman" w:eastAsia="方正小标宋_GBK"/>
          <w:snapToGrid w:val="0"/>
          <w:sz w:val="38"/>
          <w:szCs w:val="38"/>
        </w:rPr>
      </w:pPr>
      <w:bookmarkStart w:id="216" w:name="_Toc7093"/>
      <w:bookmarkStart w:id="217" w:name="_Toc14450"/>
      <w:bookmarkStart w:id="218" w:name="_Toc1015"/>
      <w:r>
        <w:rPr>
          <w:rFonts w:ascii="Times New Roman" w:hAnsi="Times New Roman" w:eastAsia="方正小标宋_GBK"/>
          <w:b/>
          <w:bCs/>
          <w:snapToGrid w:val="0"/>
          <w:sz w:val="38"/>
          <w:szCs w:val="38"/>
        </w:rPr>
        <w:t>附</w:t>
      </w:r>
      <w:r>
        <w:rPr>
          <w:rFonts w:ascii="Times New Roman" w:hAnsi="Times New Roman" w:eastAsia="方正小标宋_GBK" w:cs="Times New Roman"/>
          <w:b/>
          <w:bCs/>
          <w:snapToGrid w:val="0"/>
          <w:sz w:val="38"/>
          <w:szCs w:val="38"/>
        </w:rPr>
        <w:t>表</w:t>
      </w:r>
      <w:bookmarkEnd w:id="216"/>
      <w:bookmarkEnd w:id="217"/>
      <w:bookmarkEnd w:id="218"/>
    </w:p>
    <w:p w14:paraId="4F63F605">
      <w:pPr>
        <w:pStyle w:val="21"/>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219" w:name="_Toc17929"/>
      <w:bookmarkStart w:id="220" w:name="_Toc13012"/>
      <w:bookmarkStart w:id="221" w:name="_Toc539"/>
      <w:bookmarkStart w:id="222" w:name="_Toc96"/>
      <w:r>
        <w:rPr>
          <w:rFonts w:ascii="Times New Roman" w:hAnsi="Times New Roman" w:eastAsia="方正小标宋_GBK"/>
          <w:snapToGrid w:val="0"/>
          <w:color w:val="auto"/>
          <w:sz w:val="38"/>
          <w:szCs w:val="38"/>
        </w:rPr>
        <w:t>建设项目污染物排放量汇总表</w:t>
      </w:r>
      <w:bookmarkEnd w:id="219"/>
      <w:bookmarkEnd w:id="220"/>
      <w:bookmarkEnd w:id="221"/>
      <w:bookmarkEnd w:id="222"/>
    </w:p>
    <w:tbl>
      <w:tblPr>
        <w:tblStyle w:val="23"/>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3030"/>
        <w:gridCol w:w="1436"/>
        <w:gridCol w:w="1150"/>
        <w:gridCol w:w="1450"/>
        <w:gridCol w:w="1500"/>
        <w:gridCol w:w="1667"/>
        <w:gridCol w:w="1633"/>
        <w:gridCol w:w="989"/>
      </w:tblGrid>
      <w:tr w14:paraId="591A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29" w:type="dxa"/>
            <w:tcBorders>
              <w:tl2br w:val="single" w:color="auto" w:sz="4" w:space="0"/>
            </w:tcBorders>
            <w:noWrap w:val="0"/>
            <w:tcMar>
              <w:left w:w="28" w:type="dxa"/>
              <w:right w:w="28" w:type="dxa"/>
            </w:tcMar>
            <w:vAlign w:val="center"/>
          </w:tcPr>
          <w:p w14:paraId="7EE2A71E">
            <w:pPr>
              <w:pStyle w:val="75"/>
              <w:bidi w:val="0"/>
              <w:jc w:val="right"/>
              <w:rPr>
                <w:color w:val="auto"/>
              </w:rPr>
            </w:pPr>
            <w:r>
              <w:rPr>
                <w:color w:val="auto"/>
              </w:rPr>
              <w:t>项目</w:t>
            </w:r>
          </w:p>
          <w:p w14:paraId="4F4375E2">
            <w:pPr>
              <w:pStyle w:val="75"/>
              <w:bidi w:val="0"/>
              <w:jc w:val="left"/>
              <w:rPr>
                <w:color w:val="auto"/>
              </w:rPr>
            </w:pPr>
            <w:r>
              <w:rPr>
                <w:color w:val="auto"/>
              </w:rPr>
              <w:t>分类</w:t>
            </w:r>
          </w:p>
        </w:tc>
        <w:tc>
          <w:tcPr>
            <w:tcW w:w="3030" w:type="dxa"/>
            <w:noWrap w:val="0"/>
            <w:tcMar>
              <w:left w:w="28" w:type="dxa"/>
              <w:right w:w="28" w:type="dxa"/>
            </w:tcMar>
            <w:vAlign w:val="center"/>
          </w:tcPr>
          <w:p w14:paraId="33A94768">
            <w:pPr>
              <w:pStyle w:val="75"/>
              <w:bidi w:val="0"/>
              <w:rPr>
                <w:color w:val="auto"/>
              </w:rPr>
            </w:pPr>
            <w:r>
              <w:rPr>
                <w:color w:val="auto"/>
              </w:rPr>
              <w:t>污染物名称</w:t>
            </w:r>
          </w:p>
        </w:tc>
        <w:tc>
          <w:tcPr>
            <w:tcW w:w="1436" w:type="dxa"/>
            <w:noWrap w:val="0"/>
            <w:tcMar>
              <w:left w:w="28" w:type="dxa"/>
              <w:right w:w="28" w:type="dxa"/>
            </w:tcMar>
            <w:vAlign w:val="center"/>
          </w:tcPr>
          <w:p w14:paraId="699274D9">
            <w:pPr>
              <w:pStyle w:val="75"/>
              <w:bidi w:val="0"/>
              <w:rPr>
                <w:color w:val="auto"/>
              </w:rPr>
            </w:pPr>
            <w:r>
              <w:rPr>
                <w:color w:val="auto"/>
              </w:rPr>
              <w:t>现有工程</w:t>
            </w:r>
          </w:p>
          <w:p w14:paraId="744AD8E6">
            <w:pPr>
              <w:pStyle w:val="75"/>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150" w:type="dxa"/>
            <w:noWrap w:val="0"/>
            <w:tcMar>
              <w:left w:w="28" w:type="dxa"/>
              <w:right w:w="28" w:type="dxa"/>
            </w:tcMar>
            <w:vAlign w:val="center"/>
          </w:tcPr>
          <w:p w14:paraId="32C19947">
            <w:pPr>
              <w:pStyle w:val="75"/>
              <w:bidi w:val="0"/>
              <w:rPr>
                <w:color w:val="auto"/>
              </w:rPr>
            </w:pPr>
            <w:r>
              <w:rPr>
                <w:color w:val="auto"/>
              </w:rPr>
              <w:t>现有工程</w:t>
            </w:r>
          </w:p>
          <w:p w14:paraId="3F624E35">
            <w:pPr>
              <w:pStyle w:val="75"/>
              <w:bidi w:val="0"/>
              <w:rPr>
                <w:color w:val="auto"/>
              </w:rPr>
            </w:pPr>
            <w:r>
              <w:rPr>
                <w:color w:val="auto"/>
              </w:rPr>
              <w:t>许可排放量</w:t>
            </w:r>
          </w:p>
          <w:p w14:paraId="52AC24BD">
            <w:pPr>
              <w:pStyle w:val="75"/>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450" w:type="dxa"/>
            <w:noWrap w:val="0"/>
            <w:tcMar>
              <w:left w:w="28" w:type="dxa"/>
              <w:right w:w="28" w:type="dxa"/>
            </w:tcMar>
            <w:vAlign w:val="center"/>
          </w:tcPr>
          <w:p w14:paraId="74B38EE3">
            <w:pPr>
              <w:pStyle w:val="75"/>
              <w:bidi w:val="0"/>
              <w:rPr>
                <w:color w:val="auto"/>
              </w:rPr>
            </w:pPr>
            <w:r>
              <w:rPr>
                <w:color w:val="auto"/>
              </w:rPr>
              <w:t>在建工程</w:t>
            </w:r>
          </w:p>
          <w:p w14:paraId="7A583D09">
            <w:pPr>
              <w:pStyle w:val="75"/>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00" w:type="dxa"/>
            <w:noWrap w:val="0"/>
            <w:tcMar>
              <w:left w:w="28" w:type="dxa"/>
              <w:right w:w="28" w:type="dxa"/>
            </w:tcMar>
            <w:vAlign w:val="center"/>
          </w:tcPr>
          <w:p w14:paraId="785CA085">
            <w:pPr>
              <w:pStyle w:val="75"/>
              <w:bidi w:val="0"/>
              <w:rPr>
                <w:color w:val="auto"/>
              </w:rPr>
            </w:pPr>
            <w:r>
              <w:rPr>
                <w:color w:val="auto"/>
              </w:rPr>
              <w:t>本项目</w:t>
            </w:r>
          </w:p>
          <w:p w14:paraId="435541D9">
            <w:pPr>
              <w:pStyle w:val="75"/>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667" w:type="dxa"/>
            <w:noWrap w:val="0"/>
            <w:tcMar>
              <w:left w:w="28" w:type="dxa"/>
              <w:right w:w="28" w:type="dxa"/>
            </w:tcMar>
            <w:vAlign w:val="center"/>
          </w:tcPr>
          <w:p w14:paraId="6E518270">
            <w:pPr>
              <w:pStyle w:val="75"/>
              <w:bidi w:val="0"/>
              <w:rPr>
                <w:color w:val="auto"/>
              </w:rPr>
            </w:pPr>
            <w:r>
              <w:rPr>
                <w:color w:val="auto"/>
              </w:rPr>
              <w:t>以新带老削减量</w:t>
            </w:r>
          </w:p>
          <w:p w14:paraId="3C1DD6B0">
            <w:pPr>
              <w:pStyle w:val="75"/>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633" w:type="dxa"/>
            <w:noWrap w:val="0"/>
            <w:tcMar>
              <w:left w:w="28" w:type="dxa"/>
              <w:right w:w="28" w:type="dxa"/>
            </w:tcMar>
            <w:vAlign w:val="center"/>
          </w:tcPr>
          <w:p w14:paraId="39F4EAB2">
            <w:pPr>
              <w:pStyle w:val="75"/>
              <w:bidi w:val="0"/>
              <w:rPr>
                <w:color w:val="auto"/>
              </w:rPr>
            </w:pPr>
            <w:r>
              <w:rPr>
                <w:color w:val="auto"/>
              </w:rPr>
              <w:t>本项目建成后</w:t>
            </w:r>
          </w:p>
          <w:p w14:paraId="065AE30C">
            <w:pPr>
              <w:pStyle w:val="75"/>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989" w:type="dxa"/>
            <w:noWrap w:val="0"/>
            <w:tcMar>
              <w:left w:w="28" w:type="dxa"/>
              <w:right w:w="28" w:type="dxa"/>
            </w:tcMar>
            <w:vAlign w:val="center"/>
          </w:tcPr>
          <w:p w14:paraId="79B06125">
            <w:pPr>
              <w:pStyle w:val="75"/>
              <w:bidi w:val="0"/>
              <w:rPr>
                <w:color w:val="auto"/>
              </w:rPr>
            </w:pPr>
            <w:r>
              <w:rPr>
                <w:color w:val="auto"/>
              </w:rPr>
              <w:t>变化量</w:t>
            </w:r>
          </w:p>
          <w:p w14:paraId="570FF7B2">
            <w:pPr>
              <w:pStyle w:val="75"/>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49316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229" w:type="dxa"/>
            <w:vMerge w:val="restart"/>
            <w:noWrap w:val="0"/>
            <w:vAlign w:val="center"/>
          </w:tcPr>
          <w:p w14:paraId="6F2F14AF">
            <w:pPr>
              <w:pStyle w:val="75"/>
              <w:bidi w:val="0"/>
              <w:rPr>
                <w:rFonts w:hint="eastAsia"/>
                <w:color w:val="auto"/>
                <w:lang w:val="en-US" w:eastAsia="zh-CN"/>
              </w:rPr>
            </w:pPr>
            <w:r>
              <w:rPr>
                <w:rFonts w:hint="eastAsia"/>
                <w:color w:val="auto"/>
                <w:lang w:val="en-US" w:eastAsia="zh-CN"/>
              </w:rPr>
              <w:t>废气</w:t>
            </w:r>
          </w:p>
        </w:tc>
        <w:tc>
          <w:tcPr>
            <w:tcW w:w="3030" w:type="dxa"/>
            <w:noWrap w:val="0"/>
            <w:vAlign w:val="center"/>
          </w:tcPr>
          <w:p w14:paraId="5156E3D0">
            <w:pPr>
              <w:pStyle w:val="75"/>
              <w:bidi w:val="0"/>
              <w:rPr>
                <w:rFonts w:hint="eastAsia" w:eastAsia="宋体"/>
                <w:color w:val="auto"/>
                <w:highlight w:val="none"/>
                <w:lang w:eastAsia="zh-CN"/>
              </w:rPr>
            </w:pPr>
            <w:r>
              <w:rPr>
                <w:rFonts w:hint="eastAsia"/>
                <w:color w:val="auto"/>
                <w:highlight w:val="none"/>
                <w:lang w:val="en-US" w:eastAsia="zh-CN"/>
              </w:rPr>
              <w:t>挥发性有机物</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436" w:type="dxa"/>
            <w:shd w:val="clear" w:color="auto" w:fill="auto"/>
            <w:noWrap w:val="0"/>
            <w:vAlign w:val="center"/>
          </w:tcPr>
          <w:p w14:paraId="529AF884">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150" w:type="dxa"/>
            <w:shd w:val="clear" w:color="auto" w:fill="auto"/>
            <w:noWrap w:val="0"/>
            <w:vAlign w:val="center"/>
          </w:tcPr>
          <w:p w14:paraId="154382E3">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450" w:type="dxa"/>
            <w:shd w:val="clear" w:color="auto" w:fill="auto"/>
            <w:noWrap w:val="0"/>
            <w:vAlign w:val="center"/>
          </w:tcPr>
          <w:p w14:paraId="44EBE297">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500" w:type="dxa"/>
            <w:shd w:val="clear" w:color="auto" w:fill="auto"/>
            <w:noWrap w:val="0"/>
            <w:vAlign w:val="center"/>
          </w:tcPr>
          <w:p w14:paraId="2ADB97EF">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0.0293</w:t>
            </w:r>
          </w:p>
        </w:tc>
        <w:tc>
          <w:tcPr>
            <w:tcW w:w="1667" w:type="dxa"/>
            <w:noWrap w:val="0"/>
            <w:vAlign w:val="center"/>
          </w:tcPr>
          <w:p w14:paraId="6E42D6DC">
            <w:pPr>
              <w:pStyle w:val="75"/>
              <w:bidi w:val="0"/>
              <w:rPr>
                <w:rFonts w:hint="eastAsia"/>
                <w:color w:val="auto"/>
                <w:highlight w:val="none"/>
              </w:rPr>
            </w:pPr>
            <w:r>
              <w:rPr>
                <w:rFonts w:hint="eastAsia"/>
                <w:color w:val="auto"/>
                <w:highlight w:val="none"/>
                <w:lang w:val="en-US" w:eastAsia="zh-CN"/>
              </w:rPr>
              <w:t>/</w:t>
            </w:r>
          </w:p>
        </w:tc>
        <w:tc>
          <w:tcPr>
            <w:tcW w:w="1633" w:type="dxa"/>
            <w:shd w:val="clear" w:color="auto" w:fill="auto"/>
            <w:noWrap w:val="0"/>
            <w:vAlign w:val="center"/>
          </w:tcPr>
          <w:p w14:paraId="0E307F21">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0.0293</w:t>
            </w:r>
          </w:p>
        </w:tc>
        <w:tc>
          <w:tcPr>
            <w:tcW w:w="989" w:type="dxa"/>
            <w:shd w:val="clear" w:color="auto" w:fill="auto"/>
            <w:noWrap w:val="0"/>
            <w:vAlign w:val="center"/>
          </w:tcPr>
          <w:p w14:paraId="0CF7DCE8">
            <w:pPr>
              <w:pStyle w:val="75"/>
              <w:bidi w:val="0"/>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+0.0293</w:t>
            </w:r>
          </w:p>
        </w:tc>
      </w:tr>
      <w:tr w14:paraId="2A22D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43D208D5">
            <w:pPr>
              <w:pStyle w:val="75"/>
              <w:bidi w:val="0"/>
              <w:rPr>
                <w:rFonts w:hint="eastAsia"/>
                <w:color w:val="auto"/>
                <w:lang w:val="en-US" w:eastAsia="zh-CN"/>
              </w:rPr>
            </w:pPr>
          </w:p>
        </w:tc>
        <w:tc>
          <w:tcPr>
            <w:tcW w:w="3030" w:type="dxa"/>
            <w:noWrap w:val="0"/>
            <w:vAlign w:val="center"/>
          </w:tcPr>
          <w:p w14:paraId="328C3C6F">
            <w:pPr>
              <w:pStyle w:val="75"/>
              <w:bidi w:val="0"/>
              <w:rPr>
                <w:rFonts w:hint="default" w:eastAsia="宋体"/>
                <w:color w:val="auto"/>
                <w:lang w:val="en-US" w:eastAsia="zh-CN"/>
              </w:rPr>
            </w:pPr>
            <w:r>
              <w:rPr>
                <w:rFonts w:hint="eastAsia"/>
                <w:color w:val="auto"/>
                <w:lang w:val="en-US" w:eastAsia="zh-CN"/>
              </w:rPr>
              <w:t>颗粒物（t/a）</w:t>
            </w:r>
          </w:p>
        </w:tc>
        <w:tc>
          <w:tcPr>
            <w:tcW w:w="1436" w:type="dxa"/>
            <w:shd w:val="clear" w:color="auto" w:fill="auto"/>
            <w:noWrap w:val="0"/>
            <w:vAlign w:val="center"/>
          </w:tcPr>
          <w:p w14:paraId="28069C64">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05C8FFC6">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63DAB1EB">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7C0A6B1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0.3518</w:t>
            </w:r>
          </w:p>
        </w:tc>
        <w:tc>
          <w:tcPr>
            <w:tcW w:w="1667" w:type="dxa"/>
            <w:noWrap w:val="0"/>
            <w:vAlign w:val="center"/>
          </w:tcPr>
          <w:p w14:paraId="776C0EB4">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1BBBD7B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0.3518</w:t>
            </w:r>
          </w:p>
        </w:tc>
        <w:tc>
          <w:tcPr>
            <w:tcW w:w="989" w:type="dxa"/>
            <w:shd w:val="clear" w:color="auto" w:fill="auto"/>
            <w:noWrap w:val="0"/>
            <w:vAlign w:val="center"/>
          </w:tcPr>
          <w:p w14:paraId="094B0AEE">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+0.3518</w:t>
            </w:r>
          </w:p>
        </w:tc>
      </w:tr>
      <w:tr w14:paraId="194FB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229" w:type="dxa"/>
            <w:vMerge w:val="restart"/>
            <w:noWrap w:val="0"/>
            <w:vAlign w:val="center"/>
          </w:tcPr>
          <w:p w14:paraId="7A817273">
            <w:pPr>
              <w:pStyle w:val="75"/>
              <w:bidi w:val="0"/>
              <w:rPr>
                <w:color w:val="auto"/>
              </w:rPr>
            </w:pPr>
            <w:r>
              <w:rPr>
                <w:color w:val="auto"/>
              </w:rPr>
              <w:t>废水</w:t>
            </w:r>
          </w:p>
        </w:tc>
        <w:tc>
          <w:tcPr>
            <w:tcW w:w="3030" w:type="dxa"/>
            <w:noWrap w:val="0"/>
            <w:vAlign w:val="center"/>
          </w:tcPr>
          <w:p w14:paraId="27F96A43">
            <w:pPr>
              <w:pStyle w:val="75"/>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103D1696">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18E22812">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3CCB969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675C6A73">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0.072</w:t>
            </w:r>
          </w:p>
        </w:tc>
        <w:tc>
          <w:tcPr>
            <w:tcW w:w="1667" w:type="dxa"/>
            <w:noWrap w:val="0"/>
            <w:vAlign w:val="center"/>
          </w:tcPr>
          <w:p w14:paraId="1755F35B">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7FC1CCB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0.072</w:t>
            </w:r>
          </w:p>
        </w:tc>
        <w:tc>
          <w:tcPr>
            <w:tcW w:w="989" w:type="dxa"/>
            <w:shd w:val="clear" w:color="auto" w:fill="auto"/>
            <w:noWrap w:val="0"/>
            <w:vAlign w:val="center"/>
          </w:tcPr>
          <w:p w14:paraId="16854B84">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+0.072</w:t>
            </w:r>
          </w:p>
        </w:tc>
      </w:tr>
      <w:tr w14:paraId="2A00B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F1E6C82">
            <w:pPr>
              <w:pStyle w:val="75"/>
              <w:bidi w:val="0"/>
              <w:rPr>
                <w:color w:val="auto"/>
              </w:rPr>
            </w:pPr>
          </w:p>
        </w:tc>
        <w:tc>
          <w:tcPr>
            <w:tcW w:w="3030" w:type="dxa"/>
            <w:noWrap w:val="0"/>
            <w:vAlign w:val="center"/>
          </w:tcPr>
          <w:p w14:paraId="7B205CF3">
            <w:pPr>
              <w:pStyle w:val="75"/>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436" w:type="dxa"/>
            <w:shd w:val="clear" w:color="auto" w:fill="auto"/>
            <w:noWrap w:val="0"/>
            <w:vAlign w:val="center"/>
          </w:tcPr>
          <w:p w14:paraId="3E6C1900">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27C16663">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6E8648B2">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1D198027">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0.0337</w:t>
            </w:r>
          </w:p>
        </w:tc>
        <w:tc>
          <w:tcPr>
            <w:tcW w:w="1667" w:type="dxa"/>
            <w:noWrap w:val="0"/>
            <w:vAlign w:val="center"/>
          </w:tcPr>
          <w:p w14:paraId="1B776C16">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19C0085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0.0337</w:t>
            </w:r>
          </w:p>
        </w:tc>
        <w:tc>
          <w:tcPr>
            <w:tcW w:w="989" w:type="dxa"/>
            <w:shd w:val="clear" w:color="auto" w:fill="auto"/>
            <w:noWrap w:val="0"/>
            <w:vAlign w:val="center"/>
          </w:tcPr>
          <w:p w14:paraId="7F7FDD6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+0.0337</w:t>
            </w:r>
          </w:p>
        </w:tc>
      </w:tr>
      <w:tr w14:paraId="2C75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573C810A">
            <w:pPr>
              <w:pStyle w:val="75"/>
              <w:bidi w:val="0"/>
              <w:rPr>
                <w:color w:val="auto"/>
              </w:rPr>
            </w:pPr>
          </w:p>
        </w:tc>
        <w:tc>
          <w:tcPr>
            <w:tcW w:w="3030" w:type="dxa"/>
            <w:noWrap w:val="0"/>
            <w:vAlign w:val="center"/>
          </w:tcPr>
          <w:p w14:paraId="293B86E4">
            <w:pPr>
              <w:pStyle w:val="75"/>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117B2D7B">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4298D7B3">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70A68D9D">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1CD46FD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0.0252</w:t>
            </w:r>
          </w:p>
        </w:tc>
        <w:tc>
          <w:tcPr>
            <w:tcW w:w="1667" w:type="dxa"/>
            <w:noWrap w:val="0"/>
            <w:vAlign w:val="center"/>
          </w:tcPr>
          <w:p w14:paraId="7F2A6589">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0E0AC575">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0.0252</w:t>
            </w:r>
          </w:p>
        </w:tc>
        <w:tc>
          <w:tcPr>
            <w:tcW w:w="989" w:type="dxa"/>
            <w:shd w:val="clear" w:color="auto" w:fill="auto"/>
            <w:noWrap w:val="0"/>
            <w:vAlign w:val="center"/>
          </w:tcPr>
          <w:p w14:paraId="57B58689">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+0.0252</w:t>
            </w:r>
          </w:p>
        </w:tc>
      </w:tr>
      <w:tr w14:paraId="61069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5E4FA04">
            <w:pPr>
              <w:pStyle w:val="75"/>
              <w:bidi w:val="0"/>
              <w:rPr>
                <w:color w:val="auto"/>
              </w:rPr>
            </w:pPr>
          </w:p>
        </w:tc>
        <w:tc>
          <w:tcPr>
            <w:tcW w:w="3030" w:type="dxa"/>
            <w:noWrap w:val="0"/>
            <w:vAlign w:val="center"/>
          </w:tcPr>
          <w:p w14:paraId="55889C40">
            <w:pPr>
              <w:pStyle w:val="75"/>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436" w:type="dxa"/>
            <w:shd w:val="clear" w:color="auto" w:fill="auto"/>
            <w:noWrap w:val="0"/>
            <w:vAlign w:val="center"/>
          </w:tcPr>
          <w:p w14:paraId="4677B5D9">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0FF5A504">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2693660C">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40E7A8CE">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0.0086</w:t>
            </w:r>
          </w:p>
        </w:tc>
        <w:tc>
          <w:tcPr>
            <w:tcW w:w="1667" w:type="dxa"/>
            <w:noWrap w:val="0"/>
            <w:vAlign w:val="center"/>
          </w:tcPr>
          <w:p w14:paraId="1415276B">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2C18480F">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0.0086</w:t>
            </w:r>
          </w:p>
        </w:tc>
        <w:tc>
          <w:tcPr>
            <w:tcW w:w="989" w:type="dxa"/>
            <w:shd w:val="clear" w:color="auto" w:fill="auto"/>
            <w:noWrap w:val="0"/>
            <w:vAlign w:val="center"/>
          </w:tcPr>
          <w:p w14:paraId="7AB9018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+0.0086</w:t>
            </w:r>
          </w:p>
        </w:tc>
      </w:tr>
      <w:tr w14:paraId="47BE7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restart"/>
            <w:noWrap w:val="0"/>
            <w:vAlign w:val="center"/>
          </w:tcPr>
          <w:p w14:paraId="6D3D45B1">
            <w:pPr>
              <w:pStyle w:val="75"/>
              <w:bidi w:val="0"/>
              <w:rPr>
                <w:color w:val="auto"/>
              </w:rPr>
            </w:pPr>
            <w:r>
              <w:rPr>
                <w:color w:val="auto"/>
              </w:rPr>
              <w:t>一般工业</w:t>
            </w:r>
          </w:p>
          <w:p w14:paraId="00513C34">
            <w:pPr>
              <w:pStyle w:val="75"/>
              <w:bidi w:val="0"/>
              <w:rPr>
                <w:color w:val="auto"/>
              </w:rPr>
            </w:pPr>
            <w:r>
              <w:rPr>
                <w:color w:val="auto"/>
              </w:rPr>
              <w:t>固体废物</w:t>
            </w:r>
          </w:p>
        </w:tc>
        <w:tc>
          <w:tcPr>
            <w:tcW w:w="3030" w:type="dxa"/>
            <w:noWrap w:val="0"/>
            <w:vAlign w:val="center"/>
          </w:tcPr>
          <w:p w14:paraId="5A3D5710">
            <w:pPr>
              <w:pStyle w:val="75"/>
              <w:bidi w:val="0"/>
              <w:rPr>
                <w:rFonts w:hint="default"/>
                <w:color w:val="auto"/>
                <w:lang w:val="en-US" w:eastAsia="zh-CN"/>
              </w:rPr>
            </w:pPr>
            <w:r>
              <w:rPr>
                <w:rFonts w:hint="eastAsia"/>
                <w:color w:val="auto"/>
                <w:lang w:val="en-US" w:eastAsia="zh-CN"/>
              </w:rPr>
              <w:t>熔融炉渣（不沾染油）（t/a）</w:t>
            </w:r>
          </w:p>
        </w:tc>
        <w:tc>
          <w:tcPr>
            <w:tcW w:w="1436" w:type="dxa"/>
            <w:shd w:val="clear" w:color="auto" w:fill="auto"/>
            <w:noWrap w:val="0"/>
            <w:vAlign w:val="center"/>
          </w:tcPr>
          <w:p w14:paraId="69A1AFF1">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3EB838C8">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40A7D832">
            <w:pPr>
              <w:pStyle w:val="75"/>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364F7116">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3.8057</w:t>
            </w:r>
          </w:p>
        </w:tc>
        <w:tc>
          <w:tcPr>
            <w:tcW w:w="1667" w:type="dxa"/>
            <w:noWrap w:val="0"/>
            <w:vAlign w:val="center"/>
          </w:tcPr>
          <w:p w14:paraId="703DA217">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434B3B9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3.8057</w:t>
            </w:r>
          </w:p>
        </w:tc>
        <w:tc>
          <w:tcPr>
            <w:tcW w:w="989" w:type="dxa"/>
            <w:shd w:val="clear" w:color="auto" w:fill="auto"/>
            <w:noWrap w:val="0"/>
            <w:vAlign w:val="center"/>
          </w:tcPr>
          <w:p w14:paraId="528039E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+3.8057</w:t>
            </w:r>
          </w:p>
        </w:tc>
      </w:tr>
      <w:tr w14:paraId="57479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0F0435FB">
            <w:pPr>
              <w:pStyle w:val="75"/>
              <w:bidi w:val="0"/>
              <w:rPr>
                <w:color w:val="auto"/>
              </w:rPr>
            </w:pPr>
          </w:p>
        </w:tc>
        <w:tc>
          <w:tcPr>
            <w:tcW w:w="3030" w:type="dxa"/>
            <w:noWrap w:val="0"/>
            <w:vAlign w:val="center"/>
          </w:tcPr>
          <w:p w14:paraId="2851FFE8">
            <w:pPr>
              <w:pStyle w:val="75"/>
              <w:bidi w:val="0"/>
              <w:rPr>
                <w:rFonts w:hint="default"/>
                <w:color w:val="auto"/>
                <w:lang w:val="en-US" w:eastAsia="zh-CN"/>
              </w:rPr>
            </w:pPr>
            <w:r>
              <w:rPr>
                <w:rFonts w:hint="eastAsia"/>
                <w:color w:val="auto"/>
                <w:lang w:val="en-US" w:eastAsia="zh-CN"/>
              </w:rPr>
              <w:t>不合格产品（t/a）</w:t>
            </w:r>
          </w:p>
        </w:tc>
        <w:tc>
          <w:tcPr>
            <w:tcW w:w="1436" w:type="dxa"/>
            <w:shd w:val="clear" w:color="auto" w:fill="auto"/>
            <w:noWrap w:val="0"/>
            <w:vAlign w:val="center"/>
          </w:tcPr>
          <w:p w14:paraId="5244C778">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150" w:type="dxa"/>
            <w:shd w:val="clear" w:color="auto" w:fill="auto"/>
            <w:noWrap w:val="0"/>
            <w:vAlign w:val="center"/>
          </w:tcPr>
          <w:p w14:paraId="2BDBEA95">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450" w:type="dxa"/>
            <w:shd w:val="clear" w:color="auto" w:fill="auto"/>
            <w:noWrap w:val="0"/>
            <w:vAlign w:val="center"/>
          </w:tcPr>
          <w:p w14:paraId="64C50590">
            <w:pPr>
              <w:pStyle w:val="75"/>
              <w:bidi w:val="0"/>
              <w:rPr>
                <w:rFonts w:hint="eastAsia" w:ascii="Times New Roman" w:hAnsi="Times New Roman" w:eastAsia="宋体" w:cs="Times New Roman"/>
                <w:color w:val="auto"/>
                <w:kern w:val="0"/>
                <w:sz w:val="21"/>
                <w:szCs w:val="20"/>
                <w:highlight w:val="none"/>
                <w:lang w:val="en-US" w:eastAsia="zh-CN" w:bidi="ar-SA"/>
              </w:rPr>
            </w:pPr>
            <w:r>
              <w:rPr>
                <w:rFonts w:hint="eastAsia"/>
                <w:color w:val="auto"/>
                <w:highlight w:val="none"/>
                <w:lang w:val="en-US" w:eastAsia="zh-CN"/>
              </w:rPr>
              <w:t>/</w:t>
            </w:r>
          </w:p>
        </w:tc>
        <w:tc>
          <w:tcPr>
            <w:tcW w:w="1500" w:type="dxa"/>
            <w:shd w:val="clear" w:color="auto" w:fill="auto"/>
            <w:noWrap w:val="0"/>
            <w:vAlign w:val="center"/>
          </w:tcPr>
          <w:p w14:paraId="35F674E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36.5</w:t>
            </w:r>
          </w:p>
        </w:tc>
        <w:tc>
          <w:tcPr>
            <w:tcW w:w="1667" w:type="dxa"/>
            <w:shd w:val="clear" w:color="auto" w:fill="auto"/>
            <w:noWrap w:val="0"/>
            <w:vAlign w:val="center"/>
          </w:tcPr>
          <w:p w14:paraId="5CDB02AA">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1C2964AF">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36.5</w:t>
            </w:r>
          </w:p>
        </w:tc>
        <w:tc>
          <w:tcPr>
            <w:tcW w:w="989" w:type="dxa"/>
            <w:shd w:val="clear" w:color="auto" w:fill="auto"/>
            <w:noWrap w:val="0"/>
            <w:vAlign w:val="center"/>
          </w:tcPr>
          <w:p w14:paraId="7FCBF0D9">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+36.5</w:t>
            </w:r>
          </w:p>
        </w:tc>
      </w:tr>
      <w:tr w14:paraId="7B40E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7A2BAE69">
            <w:pPr>
              <w:pStyle w:val="75"/>
              <w:bidi w:val="0"/>
              <w:rPr>
                <w:color w:val="auto"/>
              </w:rPr>
            </w:pPr>
          </w:p>
        </w:tc>
        <w:tc>
          <w:tcPr>
            <w:tcW w:w="3030" w:type="dxa"/>
            <w:noWrap w:val="0"/>
            <w:vAlign w:val="center"/>
          </w:tcPr>
          <w:p w14:paraId="15B61F61">
            <w:pPr>
              <w:pStyle w:val="75"/>
              <w:bidi w:val="0"/>
              <w:rPr>
                <w:rFonts w:hint="eastAsia"/>
                <w:color w:val="auto"/>
                <w:lang w:val="en-US" w:eastAsia="zh-CN"/>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废边角</w:t>
            </w:r>
            <w:r>
              <w:rPr>
                <w:rFonts w:hint="eastAsia" w:cs="Times New Roman"/>
                <w:color w:val="000000" w:themeColor="text1"/>
                <w:sz w:val="21"/>
                <w:szCs w:val="21"/>
                <w:highlight w:val="none"/>
                <w:lang w:val="en-US" w:eastAsia="zh-CN"/>
                <w14:textFill>
                  <w14:solidFill>
                    <w14:schemeClr w14:val="tx1"/>
                  </w14:solidFill>
                </w14:textFill>
              </w:rPr>
              <w:t>、碎屑</w:t>
            </w:r>
            <w:r>
              <w:rPr>
                <w:rFonts w:hint="eastAsia"/>
                <w:color w:val="auto"/>
                <w:lang w:val="en-US" w:eastAsia="zh-CN"/>
              </w:rPr>
              <w:t>（t/a）</w:t>
            </w:r>
          </w:p>
        </w:tc>
        <w:tc>
          <w:tcPr>
            <w:tcW w:w="1436" w:type="dxa"/>
            <w:shd w:val="clear" w:color="auto" w:fill="auto"/>
            <w:noWrap w:val="0"/>
            <w:vAlign w:val="center"/>
          </w:tcPr>
          <w:p w14:paraId="5BBF164E">
            <w:pPr>
              <w:pStyle w:val="75"/>
              <w:bidi w:val="0"/>
              <w:rPr>
                <w:rFonts w:hint="default"/>
                <w:color w:val="auto"/>
                <w:highlight w:val="none"/>
                <w:lang w:val="en-US" w:eastAsia="zh-CN"/>
              </w:rPr>
            </w:pPr>
            <w:r>
              <w:rPr>
                <w:rFonts w:hint="eastAsia"/>
                <w:color w:val="auto"/>
                <w:highlight w:val="none"/>
                <w:lang w:val="en-US" w:eastAsia="zh-CN"/>
              </w:rPr>
              <w:t>/</w:t>
            </w:r>
          </w:p>
        </w:tc>
        <w:tc>
          <w:tcPr>
            <w:tcW w:w="1150" w:type="dxa"/>
            <w:shd w:val="clear" w:color="auto" w:fill="auto"/>
            <w:noWrap w:val="0"/>
            <w:vAlign w:val="center"/>
          </w:tcPr>
          <w:p w14:paraId="78FD36AD">
            <w:pPr>
              <w:pStyle w:val="75"/>
              <w:bidi w:val="0"/>
              <w:rPr>
                <w:rFonts w:hint="default"/>
                <w:color w:val="auto"/>
                <w:highlight w:val="none"/>
                <w:lang w:val="en-US" w:eastAsia="zh-CN"/>
              </w:rPr>
            </w:pPr>
            <w:r>
              <w:rPr>
                <w:rFonts w:hint="eastAsia"/>
                <w:color w:val="auto"/>
                <w:highlight w:val="none"/>
                <w:lang w:val="en-US" w:eastAsia="zh-CN"/>
              </w:rPr>
              <w:t>/</w:t>
            </w:r>
          </w:p>
        </w:tc>
        <w:tc>
          <w:tcPr>
            <w:tcW w:w="1450" w:type="dxa"/>
            <w:shd w:val="clear" w:color="auto" w:fill="auto"/>
            <w:noWrap w:val="0"/>
            <w:vAlign w:val="center"/>
          </w:tcPr>
          <w:p w14:paraId="05599237">
            <w:pPr>
              <w:pStyle w:val="75"/>
              <w:bidi w:val="0"/>
              <w:rPr>
                <w:rFonts w:hint="default"/>
                <w:color w:val="auto"/>
                <w:highlight w:val="none"/>
                <w:lang w:val="en-US" w:eastAsia="zh-CN"/>
              </w:rPr>
            </w:pPr>
            <w:r>
              <w:rPr>
                <w:rFonts w:hint="eastAsia"/>
                <w:color w:val="auto"/>
                <w:highlight w:val="none"/>
                <w:lang w:val="en-US" w:eastAsia="zh-CN"/>
              </w:rPr>
              <w:t>/</w:t>
            </w:r>
          </w:p>
        </w:tc>
        <w:tc>
          <w:tcPr>
            <w:tcW w:w="1500" w:type="dxa"/>
            <w:shd w:val="clear" w:color="auto" w:fill="auto"/>
            <w:noWrap w:val="0"/>
            <w:vAlign w:val="center"/>
          </w:tcPr>
          <w:p w14:paraId="482D8E94">
            <w:pPr>
              <w:pStyle w:val="75"/>
              <w:bidi w:val="0"/>
              <w:rPr>
                <w:rFonts w:hint="default" w:cs="Times New Roman"/>
                <w:color w:val="auto"/>
                <w:kern w:val="0"/>
                <w:sz w:val="21"/>
                <w:szCs w:val="20"/>
                <w:lang w:val="en-US" w:eastAsia="zh-CN" w:bidi="ar-SA"/>
              </w:rPr>
            </w:pPr>
            <w:r>
              <w:rPr>
                <w:rFonts w:hint="eastAsia" w:cs="Times New Roman"/>
                <w:color w:val="auto"/>
                <w:kern w:val="0"/>
                <w:sz w:val="21"/>
                <w:szCs w:val="20"/>
                <w:lang w:val="en-US" w:eastAsia="zh-CN" w:bidi="ar-SA"/>
              </w:rPr>
              <w:t>7.3</w:t>
            </w:r>
          </w:p>
        </w:tc>
        <w:tc>
          <w:tcPr>
            <w:tcW w:w="1667" w:type="dxa"/>
            <w:shd w:val="clear" w:color="auto" w:fill="auto"/>
            <w:noWrap w:val="0"/>
            <w:vAlign w:val="center"/>
          </w:tcPr>
          <w:p w14:paraId="1B7FC66C">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6BF32B33">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7.3</w:t>
            </w:r>
          </w:p>
        </w:tc>
        <w:tc>
          <w:tcPr>
            <w:tcW w:w="989" w:type="dxa"/>
            <w:shd w:val="clear" w:color="auto" w:fill="auto"/>
            <w:noWrap w:val="0"/>
            <w:vAlign w:val="center"/>
          </w:tcPr>
          <w:p w14:paraId="29F6E627">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+7.3</w:t>
            </w:r>
          </w:p>
        </w:tc>
      </w:tr>
      <w:tr w14:paraId="432AD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B93CD97">
            <w:pPr>
              <w:pStyle w:val="75"/>
              <w:bidi w:val="0"/>
              <w:rPr>
                <w:color w:val="auto"/>
              </w:rPr>
            </w:pPr>
          </w:p>
        </w:tc>
        <w:tc>
          <w:tcPr>
            <w:tcW w:w="3030" w:type="dxa"/>
            <w:noWrap w:val="0"/>
            <w:vAlign w:val="center"/>
          </w:tcPr>
          <w:p w14:paraId="51F4AC5A">
            <w:pPr>
              <w:pStyle w:val="75"/>
              <w:bidi w:val="0"/>
              <w:rPr>
                <w:rFonts w:hint="default"/>
                <w:color w:val="auto"/>
                <w:lang w:val="en-US" w:eastAsia="zh-CN"/>
              </w:rPr>
            </w:pPr>
            <w:r>
              <w:rPr>
                <w:rFonts w:hint="eastAsia"/>
                <w:color w:val="auto"/>
                <w:lang w:val="en-US" w:eastAsia="zh-CN"/>
              </w:rPr>
              <w:t>收集粉尘（t/a）</w:t>
            </w:r>
          </w:p>
        </w:tc>
        <w:tc>
          <w:tcPr>
            <w:tcW w:w="1436" w:type="dxa"/>
            <w:shd w:val="clear" w:color="auto" w:fill="auto"/>
            <w:noWrap w:val="0"/>
            <w:vAlign w:val="center"/>
          </w:tcPr>
          <w:p w14:paraId="5E3673B3">
            <w:pPr>
              <w:pStyle w:val="75"/>
              <w:bidi w:val="0"/>
              <w:rPr>
                <w:rFonts w:hint="default"/>
                <w:color w:val="auto"/>
                <w:highlight w:val="none"/>
                <w:lang w:val="en-US" w:eastAsia="zh-CN"/>
              </w:rPr>
            </w:pPr>
            <w:r>
              <w:rPr>
                <w:rFonts w:hint="eastAsia"/>
                <w:color w:val="auto"/>
                <w:highlight w:val="none"/>
                <w:lang w:val="en-US" w:eastAsia="zh-CN"/>
              </w:rPr>
              <w:t>/</w:t>
            </w:r>
          </w:p>
        </w:tc>
        <w:tc>
          <w:tcPr>
            <w:tcW w:w="1150" w:type="dxa"/>
            <w:shd w:val="clear" w:color="auto" w:fill="auto"/>
            <w:noWrap w:val="0"/>
            <w:vAlign w:val="center"/>
          </w:tcPr>
          <w:p w14:paraId="5CF92606">
            <w:pPr>
              <w:pStyle w:val="75"/>
              <w:bidi w:val="0"/>
              <w:rPr>
                <w:rFonts w:hint="default"/>
                <w:color w:val="auto"/>
                <w:highlight w:val="none"/>
                <w:lang w:val="en-US" w:eastAsia="zh-CN"/>
              </w:rPr>
            </w:pPr>
            <w:r>
              <w:rPr>
                <w:rFonts w:hint="eastAsia"/>
                <w:color w:val="auto"/>
                <w:highlight w:val="none"/>
                <w:lang w:val="en-US" w:eastAsia="zh-CN"/>
              </w:rPr>
              <w:t>/</w:t>
            </w:r>
          </w:p>
        </w:tc>
        <w:tc>
          <w:tcPr>
            <w:tcW w:w="1450" w:type="dxa"/>
            <w:shd w:val="clear" w:color="auto" w:fill="auto"/>
            <w:noWrap w:val="0"/>
            <w:vAlign w:val="center"/>
          </w:tcPr>
          <w:p w14:paraId="24CC1448">
            <w:pPr>
              <w:pStyle w:val="75"/>
              <w:bidi w:val="0"/>
              <w:rPr>
                <w:rFonts w:hint="default"/>
                <w:color w:val="auto"/>
                <w:highlight w:val="none"/>
                <w:lang w:val="en-US" w:eastAsia="zh-CN"/>
              </w:rPr>
            </w:pPr>
            <w:r>
              <w:rPr>
                <w:rFonts w:hint="eastAsia"/>
                <w:color w:val="auto"/>
                <w:highlight w:val="none"/>
                <w:lang w:val="en-US" w:eastAsia="zh-CN"/>
              </w:rPr>
              <w:t>/</w:t>
            </w:r>
          </w:p>
        </w:tc>
        <w:tc>
          <w:tcPr>
            <w:tcW w:w="1500" w:type="dxa"/>
            <w:shd w:val="clear" w:color="auto" w:fill="auto"/>
            <w:noWrap w:val="0"/>
            <w:vAlign w:val="center"/>
          </w:tcPr>
          <w:p w14:paraId="71DC313C">
            <w:pPr>
              <w:pStyle w:val="75"/>
              <w:bidi w:val="0"/>
              <w:rPr>
                <w:rFonts w:hint="default" w:cs="Times New Roman"/>
                <w:color w:val="auto"/>
                <w:kern w:val="0"/>
                <w:sz w:val="21"/>
                <w:szCs w:val="20"/>
                <w:lang w:val="en-US" w:eastAsia="zh-CN" w:bidi="ar-SA"/>
              </w:rPr>
            </w:pPr>
            <w:r>
              <w:rPr>
                <w:rFonts w:hint="eastAsia" w:cs="Times New Roman"/>
                <w:color w:val="auto"/>
                <w:kern w:val="0"/>
                <w:sz w:val="21"/>
                <w:szCs w:val="20"/>
                <w:lang w:val="en-US" w:eastAsia="zh-CN" w:bidi="ar-SA"/>
              </w:rPr>
              <w:t>1.4999</w:t>
            </w:r>
          </w:p>
        </w:tc>
        <w:tc>
          <w:tcPr>
            <w:tcW w:w="1667" w:type="dxa"/>
            <w:shd w:val="clear" w:color="auto" w:fill="auto"/>
            <w:noWrap w:val="0"/>
            <w:vAlign w:val="center"/>
          </w:tcPr>
          <w:p w14:paraId="4B0A72AB">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3A65BE56">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1.4999</w:t>
            </w:r>
          </w:p>
        </w:tc>
        <w:tc>
          <w:tcPr>
            <w:tcW w:w="989" w:type="dxa"/>
            <w:shd w:val="clear" w:color="auto" w:fill="auto"/>
            <w:noWrap w:val="0"/>
            <w:vAlign w:val="center"/>
          </w:tcPr>
          <w:p w14:paraId="5F7563F5">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+1.4999</w:t>
            </w:r>
          </w:p>
        </w:tc>
      </w:tr>
      <w:tr w14:paraId="6A6C4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9" w:type="dxa"/>
            <w:vMerge w:val="continue"/>
            <w:noWrap w:val="0"/>
            <w:vAlign w:val="center"/>
          </w:tcPr>
          <w:p w14:paraId="15F4C4E7">
            <w:pPr>
              <w:pStyle w:val="75"/>
              <w:bidi w:val="0"/>
              <w:rPr>
                <w:color w:val="auto"/>
              </w:rPr>
            </w:pPr>
          </w:p>
        </w:tc>
        <w:tc>
          <w:tcPr>
            <w:tcW w:w="3030" w:type="dxa"/>
            <w:noWrap w:val="0"/>
            <w:vAlign w:val="center"/>
          </w:tcPr>
          <w:p w14:paraId="0EB325F7">
            <w:pPr>
              <w:pStyle w:val="75"/>
              <w:bidi w:val="0"/>
              <w:rPr>
                <w:rFonts w:hint="default"/>
                <w:color w:val="auto"/>
                <w:lang w:val="en-US" w:eastAsia="zh-CN"/>
              </w:rPr>
            </w:pPr>
            <w:r>
              <w:rPr>
                <w:rFonts w:hint="eastAsia"/>
                <w:color w:val="auto"/>
                <w:lang w:val="en-US" w:eastAsia="zh-CN"/>
              </w:rPr>
              <w:t>废包装纸箱、包装袋（t/a）</w:t>
            </w:r>
          </w:p>
        </w:tc>
        <w:tc>
          <w:tcPr>
            <w:tcW w:w="1436" w:type="dxa"/>
            <w:shd w:val="clear" w:color="auto" w:fill="auto"/>
            <w:noWrap w:val="0"/>
            <w:vAlign w:val="center"/>
          </w:tcPr>
          <w:p w14:paraId="2C207B4D">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45B0046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61E9AA05">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649FF36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1667" w:type="dxa"/>
            <w:shd w:val="clear" w:color="auto" w:fill="auto"/>
            <w:noWrap w:val="0"/>
            <w:vAlign w:val="center"/>
          </w:tcPr>
          <w:p w14:paraId="068EB24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3D0E162">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989" w:type="dxa"/>
            <w:shd w:val="clear" w:color="auto" w:fill="auto"/>
            <w:noWrap w:val="0"/>
            <w:vAlign w:val="center"/>
          </w:tcPr>
          <w:p w14:paraId="2856B0F6">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r>
      <w:tr w14:paraId="137B0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56D19B50">
            <w:pPr>
              <w:pStyle w:val="75"/>
              <w:bidi w:val="0"/>
              <w:rPr>
                <w:color w:val="auto"/>
              </w:rPr>
            </w:pPr>
            <w:r>
              <w:rPr>
                <w:color w:val="auto"/>
              </w:rPr>
              <w:t>危险废物</w:t>
            </w:r>
          </w:p>
        </w:tc>
        <w:tc>
          <w:tcPr>
            <w:tcW w:w="3030" w:type="dxa"/>
            <w:noWrap w:val="0"/>
            <w:vAlign w:val="center"/>
          </w:tcPr>
          <w:p w14:paraId="3C43A3C1">
            <w:pPr>
              <w:pStyle w:val="75"/>
              <w:bidi w:val="0"/>
              <w:rPr>
                <w:rFonts w:hint="default"/>
                <w:color w:val="auto"/>
                <w:lang w:val="en-US" w:eastAsia="zh-CN"/>
              </w:rPr>
            </w:pPr>
            <w:r>
              <w:rPr>
                <w:rFonts w:hint="eastAsia"/>
                <w:color w:val="auto"/>
                <w:lang w:val="en-US" w:eastAsia="zh-CN"/>
              </w:rPr>
              <w:t>熔融炉渣（沾染油）（t/a）</w:t>
            </w:r>
          </w:p>
        </w:tc>
        <w:tc>
          <w:tcPr>
            <w:tcW w:w="1436" w:type="dxa"/>
            <w:shd w:val="clear" w:color="auto" w:fill="auto"/>
            <w:noWrap w:val="0"/>
            <w:vAlign w:val="center"/>
          </w:tcPr>
          <w:p w14:paraId="21699A1E">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5DBD1C34">
            <w:pPr>
              <w:pStyle w:val="75"/>
              <w:bidi w:val="0"/>
              <w:rPr>
                <w:rFonts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18418B7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320D2E5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0.1142</w:t>
            </w:r>
          </w:p>
        </w:tc>
        <w:tc>
          <w:tcPr>
            <w:tcW w:w="1667" w:type="dxa"/>
            <w:shd w:val="clear" w:color="auto" w:fill="auto"/>
            <w:noWrap w:val="0"/>
            <w:vAlign w:val="center"/>
          </w:tcPr>
          <w:p w14:paraId="03EBF6B1">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1FB4AC5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0.1142</w:t>
            </w:r>
          </w:p>
        </w:tc>
        <w:tc>
          <w:tcPr>
            <w:tcW w:w="989" w:type="dxa"/>
            <w:shd w:val="clear" w:color="auto" w:fill="auto"/>
            <w:noWrap w:val="0"/>
            <w:vAlign w:val="center"/>
          </w:tcPr>
          <w:p w14:paraId="1BF4657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+0.1142</w:t>
            </w:r>
          </w:p>
        </w:tc>
      </w:tr>
      <w:tr w14:paraId="579B6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2B6C97D7">
            <w:pPr>
              <w:pStyle w:val="75"/>
              <w:bidi w:val="0"/>
              <w:rPr>
                <w:color w:val="auto"/>
              </w:rPr>
            </w:pPr>
          </w:p>
        </w:tc>
        <w:tc>
          <w:tcPr>
            <w:tcW w:w="3030" w:type="dxa"/>
            <w:noWrap w:val="0"/>
            <w:vAlign w:val="center"/>
          </w:tcPr>
          <w:p w14:paraId="21E8B7C3">
            <w:pPr>
              <w:pStyle w:val="75"/>
              <w:bidi w:val="0"/>
              <w:rPr>
                <w:rFonts w:hint="default"/>
                <w:color w:val="auto"/>
                <w:lang w:val="en-US" w:eastAsia="zh-CN"/>
              </w:rPr>
            </w:pPr>
            <w:r>
              <w:rPr>
                <w:rFonts w:hint="eastAsia"/>
                <w:color w:val="auto"/>
                <w:lang w:val="en-US" w:eastAsia="zh-CN"/>
              </w:rPr>
              <w:t>脱模剂废包装桶（t/a）</w:t>
            </w:r>
          </w:p>
        </w:tc>
        <w:tc>
          <w:tcPr>
            <w:tcW w:w="1436" w:type="dxa"/>
            <w:shd w:val="clear" w:color="auto" w:fill="auto"/>
            <w:noWrap w:val="0"/>
            <w:vAlign w:val="center"/>
          </w:tcPr>
          <w:p w14:paraId="28D0ADBC">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56A12832">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74BBFF5B">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13A1D4B1">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c>
          <w:tcPr>
            <w:tcW w:w="1667" w:type="dxa"/>
            <w:shd w:val="clear" w:color="auto" w:fill="auto"/>
            <w:noWrap w:val="0"/>
            <w:vAlign w:val="center"/>
          </w:tcPr>
          <w:p w14:paraId="6C2843D5">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9944F8C">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c>
          <w:tcPr>
            <w:tcW w:w="989" w:type="dxa"/>
            <w:shd w:val="clear" w:color="auto" w:fill="auto"/>
            <w:noWrap w:val="0"/>
            <w:vAlign w:val="center"/>
          </w:tcPr>
          <w:p w14:paraId="789CD8A3">
            <w:pPr>
              <w:pStyle w:val="75"/>
              <w:bidi w:val="0"/>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+0.05</w:t>
            </w:r>
          </w:p>
        </w:tc>
      </w:tr>
      <w:tr w14:paraId="69D76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41397551">
            <w:pPr>
              <w:pStyle w:val="75"/>
              <w:bidi w:val="0"/>
              <w:rPr>
                <w:color w:val="auto"/>
              </w:rPr>
            </w:pPr>
          </w:p>
        </w:tc>
        <w:tc>
          <w:tcPr>
            <w:tcW w:w="3030" w:type="dxa"/>
            <w:noWrap w:val="0"/>
            <w:vAlign w:val="center"/>
          </w:tcPr>
          <w:p w14:paraId="4EB37B78">
            <w:pPr>
              <w:pStyle w:val="75"/>
              <w:bidi w:val="0"/>
              <w:rPr>
                <w:rFonts w:hint="default"/>
                <w:color w:val="auto"/>
                <w:lang w:val="en-US" w:eastAsia="zh-CN"/>
              </w:rPr>
            </w:pPr>
            <w:r>
              <w:rPr>
                <w:rFonts w:hint="eastAsia"/>
                <w:color w:val="auto"/>
                <w:lang w:val="en-US" w:eastAsia="zh-CN"/>
              </w:rPr>
              <w:t>废切削液及金属渣（t/a）</w:t>
            </w:r>
          </w:p>
        </w:tc>
        <w:tc>
          <w:tcPr>
            <w:tcW w:w="1436" w:type="dxa"/>
            <w:shd w:val="clear" w:color="auto" w:fill="auto"/>
            <w:noWrap w:val="0"/>
            <w:vAlign w:val="center"/>
          </w:tcPr>
          <w:p w14:paraId="11F8527C">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7808A870">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397B8A8B">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7C7D3F8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1667" w:type="dxa"/>
            <w:shd w:val="clear" w:color="auto" w:fill="auto"/>
            <w:noWrap w:val="0"/>
            <w:vAlign w:val="center"/>
          </w:tcPr>
          <w:p w14:paraId="1D27C8D9">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2A188659">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c>
          <w:tcPr>
            <w:tcW w:w="989" w:type="dxa"/>
            <w:shd w:val="clear" w:color="auto" w:fill="auto"/>
            <w:noWrap w:val="0"/>
            <w:vAlign w:val="center"/>
          </w:tcPr>
          <w:p w14:paraId="7C202671">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w:t>
            </w:r>
          </w:p>
        </w:tc>
      </w:tr>
      <w:tr w14:paraId="4F79B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FC3CFC8">
            <w:pPr>
              <w:pStyle w:val="75"/>
              <w:bidi w:val="0"/>
              <w:rPr>
                <w:color w:val="auto"/>
              </w:rPr>
            </w:pPr>
          </w:p>
        </w:tc>
        <w:tc>
          <w:tcPr>
            <w:tcW w:w="3030" w:type="dxa"/>
            <w:noWrap w:val="0"/>
            <w:vAlign w:val="center"/>
          </w:tcPr>
          <w:p w14:paraId="1717BE01">
            <w:pPr>
              <w:pStyle w:val="75"/>
              <w:bidi w:val="0"/>
              <w:rPr>
                <w:rFonts w:hint="eastAsia"/>
                <w:color w:val="auto"/>
                <w:lang w:val="en-US" w:eastAsia="zh-CN"/>
              </w:rPr>
            </w:pPr>
            <w:r>
              <w:rPr>
                <w:rFonts w:hint="eastAsia"/>
                <w:color w:val="auto"/>
                <w:lang w:val="en-US" w:eastAsia="zh-CN"/>
              </w:rPr>
              <w:t>废活性炭（t/a）</w:t>
            </w:r>
          </w:p>
        </w:tc>
        <w:tc>
          <w:tcPr>
            <w:tcW w:w="1436" w:type="dxa"/>
            <w:shd w:val="clear" w:color="auto" w:fill="auto"/>
            <w:noWrap w:val="0"/>
            <w:vAlign w:val="center"/>
          </w:tcPr>
          <w:p w14:paraId="3091FA49">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150" w:type="dxa"/>
            <w:shd w:val="clear" w:color="auto" w:fill="auto"/>
            <w:noWrap w:val="0"/>
            <w:vAlign w:val="center"/>
          </w:tcPr>
          <w:p w14:paraId="577F3EF0">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450" w:type="dxa"/>
            <w:shd w:val="clear" w:color="auto" w:fill="auto"/>
            <w:noWrap w:val="0"/>
            <w:vAlign w:val="center"/>
          </w:tcPr>
          <w:p w14:paraId="5DDD92A7">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00" w:type="dxa"/>
            <w:shd w:val="clear" w:color="auto" w:fill="auto"/>
            <w:noWrap w:val="0"/>
            <w:vAlign w:val="center"/>
          </w:tcPr>
          <w:p w14:paraId="21AC9C42">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0.2633</w:t>
            </w:r>
          </w:p>
        </w:tc>
        <w:tc>
          <w:tcPr>
            <w:tcW w:w="1667" w:type="dxa"/>
            <w:shd w:val="clear" w:color="auto" w:fill="auto"/>
            <w:noWrap w:val="0"/>
            <w:vAlign w:val="center"/>
          </w:tcPr>
          <w:p w14:paraId="30D09BBD">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803E70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0.2633</w:t>
            </w:r>
          </w:p>
        </w:tc>
        <w:tc>
          <w:tcPr>
            <w:tcW w:w="989" w:type="dxa"/>
            <w:shd w:val="clear" w:color="auto" w:fill="auto"/>
            <w:noWrap w:val="0"/>
            <w:vAlign w:val="center"/>
          </w:tcPr>
          <w:p w14:paraId="0168C9E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+0.2633</w:t>
            </w:r>
          </w:p>
        </w:tc>
      </w:tr>
      <w:tr w14:paraId="6C070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FD37456">
            <w:pPr>
              <w:pStyle w:val="75"/>
              <w:bidi w:val="0"/>
              <w:rPr>
                <w:color w:val="auto"/>
              </w:rPr>
            </w:pPr>
          </w:p>
        </w:tc>
        <w:tc>
          <w:tcPr>
            <w:tcW w:w="3030" w:type="dxa"/>
            <w:noWrap w:val="0"/>
            <w:vAlign w:val="center"/>
          </w:tcPr>
          <w:p w14:paraId="286B3594">
            <w:pPr>
              <w:pStyle w:val="52"/>
              <w:bidi w:val="0"/>
              <w:rPr>
                <w:rFonts w:hint="eastAsia"/>
                <w:color w:val="auto"/>
                <w:lang w:val="en-US" w:eastAsia="zh-CN"/>
              </w:rPr>
            </w:pPr>
            <w:r>
              <w:rPr>
                <w:rFonts w:hint="eastAsia"/>
                <w:color w:val="auto"/>
                <w:lang w:val="en-US" w:eastAsia="zh-CN"/>
              </w:rPr>
              <w:t>废机油、废液压油（t/a）</w:t>
            </w:r>
          </w:p>
        </w:tc>
        <w:tc>
          <w:tcPr>
            <w:tcW w:w="1436" w:type="dxa"/>
            <w:noWrap w:val="0"/>
            <w:vAlign w:val="center"/>
          </w:tcPr>
          <w:p w14:paraId="5DC3A9BC">
            <w:pPr>
              <w:pStyle w:val="75"/>
              <w:bidi w:val="0"/>
              <w:rPr>
                <w:rFonts w:hint="eastAsia"/>
                <w:color w:val="auto"/>
                <w:lang w:val="en-US" w:eastAsia="zh-CN"/>
              </w:rPr>
            </w:pPr>
            <w:r>
              <w:rPr>
                <w:rFonts w:hint="eastAsia"/>
                <w:color w:val="auto"/>
                <w:lang w:val="en-US" w:eastAsia="zh-CN"/>
              </w:rPr>
              <w:t>/</w:t>
            </w:r>
          </w:p>
        </w:tc>
        <w:tc>
          <w:tcPr>
            <w:tcW w:w="1150" w:type="dxa"/>
            <w:noWrap w:val="0"/>
            <w:vAlign w:val="center"/>
          </w:tcPr>
          <w:p w14:paraId="53E4E992">
            <w:pPr>
              <w:pStyle w:val="75"/>
              <w:bidi w:val="0"/>
              <w:rPr>
                <w:rFonts w:hint="eastAsia"/>
                <w:color w:val="auto"/>
                <w:lang w:val="en-US" w:eastAsia="zh-CN"/>
              </w:rPr>
            </w:pPr>
            <w:r>
              <w:rPr>
                <w:rFonts w:hint="eastAsia"/>
                <w:color w:val="auto"/>
                <w:lang w:val="en-US" w:eastAsia="zh-CN"/>
              </w:rPr>
              <w:t>/</w:t>
            </w:r>
          </w:p>
        </w:tc>
        <w:tc>
          <w:tcPr>
            <w:tcW w:w="1450" w:type="dxa"/>
            <w:noWrap w:val="0"/>
            <w:vAlign w:val="center"/>
          </w:tcPr>
          <w:p w14:paraId="38D4B53F">
            <w:pPr>
              <w:pStyle w:val="75"/>
              <w:bidi w:val="0"/>
              <w:rPr>
                <w:rFonts w:hint="eastAsia"/>
                <w:color w:val="auto"/>
                <w:lang w:val="en-US" w:eastAsia="zh-CN"/>
              </w:rPr>
            </w:pPr>
            <w:r>
              <w:rPr>
                <w:rFonts w:hint="eastAsia"/>
                <w:color w:val="auto"/>
                <w:lang w:val="en-US" w:eastAsia="zh-CN"/>
              </w:rPr>
              <w:t>/</w:t>
            </w:r>
          </w:p>
        </w:tc>
        <w:tc>
          <w:tcPr>
            <w:tcW w:w="1500" w:type="dxa"/>
            <w:shd w:val="clear" w:color="auto" w:fill="auto"/>
            <w:noWrap w:val="0"/>
            <w:vAlign w:val="center"/>
          </w:tcPr>
          <w:p w14:paraId="0CECA03D">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0.16</w:t>
            </w:r>
          </w:p>
        </w:tc>
        <w:tc>
          <w:tcPr>
            <w:tcW w:w="1667" w:type="dxa"/>
            <w:shd w:val="clear" w:color="auto" w:fill="auto"/>
            <w:noWrap w:val="0"/>
            <w:vAlign w:val="center"/>
          </w:tcPr>
          <w:p w14:paraId="7CCA27C0">
            <w:pPr>
              <w:pStyle w:val="75"/>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633" w:type="dxa"/>
            <w:shd w:val="clear" w:color="auto" w:fill="auto"/>
            <w:noWrap w:val="0"/>
            <w:vAlign w:val="center"/>
          </w:tcPr>
          <w:p w14:paraId="4FBB7BA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0.16</w:t>
            </w:r>
          </w:p>
        </w:tc>
        <w:tc>
          <w:tcPr>
            <w:tcW w:w="989" w:type="dxa"/>
            <w:shd w:val="clear" w:color="auto" w:fill="auto"/>
            <w:noWrap w:val="0"/>
            <w:vAlign w:val="center"/>
          </w:tcPr>
          <w:p w14:paraId="545C474C">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+0.16</w:t>
            </w:r>
          </w:p>
        </w:tc>
      </w:tr>
      <w:tr w14:paraId="6DA2C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50BF831">
            <w:pPr>
              <w:pStyle w:val="75"/>
              <w:bidi w:val="0"/>
              <w:rPr>
                <w:color w:val="auto"/>
              </w:rPr>
            </w:pPr>
          </w:p>
        </w:tc>
        <w:tc>
          <w:tcPr>
            <w:tcW w:w="3030" w:type="dxa"/>
            <w:noWrap w:val="0"/>
            <w:vAlign w:val="center"/>
          </w:tcPr>
          <w:p w14:paraId="261F19C8">
            <w:pPr>
              <w:pStyle w:val="52"/>
              <w:bidi w:val="0"/>
              <w:rPr>
                <w:rFonts w:hint="default"/>
                <w:color w:val="auto"/>
                <w:lang w:val="en-US" w:eastAsia="zh-CN"/>
              </w:rPr>
            </w:pPr>
            <w:r>
              <w:rPr>
                <w:rFonts w:hint="eastAsia"/>
                <w:color w:val="auto"/>
                <w:lang w:val="en-US" w:eastAsia="zh-CN"/>
              </w:rPr>
              <w:t>水循环处理设施污泥（t/a）</w:t>
            </w:r>
          </w:p>
        </w:tc>
        <w:tc>
          <w:tcPr>
            <w:tcW w:w="1436" w:type="dxa"/>
            <w:noWrap w:val="0"/>
            <w:vAlign w:val="center"/>
          </w:tcPr>
          <w:p w14:paraId="1A7DBA64">
            <w:pPr>
              <w:pStyle w:val="75"/>
              <w:bidi w:val="0"/>
              <w:rPr>
                <w:rFonts w:hint="default"/>
                <w:color w:val="auto"/>
                <w:lang w:val="en-US" w:eastAsia="zh-CN"/>
              </w:rPr>
            </w:pPr>
            <w:r>
              <w:rPr>
                <w:rFonts w:hint="eastAsia"/>
                <w:color w:val="auto"/>
                <w:lang w:val="en-US" w:eastAsia="zh-CN"/>
              </w:rPr>
              <w:t>/</w:t>
            </w:r>
          </w:p>
        </w:tc>
        <w:tc>
          <w:tcPr>
            <w:tcW w:w="1150" w:type="dxa"/>
            <w:noWrap w:val="0"/>
            <w:vAlign w:val="center"/>
          </w:tcPr>
          <w:p w14:paraId="53DF3305">
            <w:pPr>
              <w:pStyle w:val="75"/>
              <w:bidi w:val="0"/>
              <w:rPr>
                <w:rFonts w:hint="default"/>
                <w:color w:val="auto"/>
                <w:lang w:val="en-US" w:eastAsia="zh-CN"/>
              </w:rPr>
            </w:pPr>
            <w:r>
              <w:rPr>
                <w:rFonts w:hint="eastAsia"/>
                <w:color w:val="auto"/>
                <w:lang w:val="en-US" w:eastAsia="zh-CN"/>
              </w:rPr>
              <w:t>/</w:t>
            </w:r>
          </w:p>
        </w:tc>
        <w:tc>
          <w:tcPr>
            <w:tcW w:w="1450" w:type="dxa"/>
            <w:noWrap w:val="0"/>
            <w:vAlign w:val="center"/>
          </w:tcPr>
          <w:p w14:paraId="237C5121">
            <w:pPr>
              <w:pStyle w:val="75"/>
              <w:bidi w:val="0"/>
              <w:rPr>
                <w:rFonts w:hint="default"/>
                <w:color w:val="auto"/>
                <w:lang w:val="en-US" w:eastAsia="zh-CN"/>
              </w:rPr>
            </w:pPr>
            <w:r>
              <w:rPr>
                <w:rFonts w:hint="eastAsia"/>
                <w:color w:val="auto"/>
                <w:lang w:val="en-US" w:eastAsia="zh-CN"/>
              </w:rPr>
              <w:t>/</w:t>
            </w:r>
          </w:p>
        </w:tc>
        <w:tc>
          <w:tcPr>
            <w:tcW w:w="1500" w:type="dxa"/>
            <w:shd w:val="clear" w:color="auto" w:fill="auto"/>
            <w:noWrap w:val="0"/>
            <w:vAlign w:val="center"/>
          </w:tcPr>
          <w:p w14:paraId="0C410EB3">
            <w:pPr>
              <w:pStyle w:val="75"/>
              <w:bidi w:val="0"/>
              <w:rPr>
                <w:rFonts w:hint="default" w:cs="Times New Roman"/>
                <w:color w:val="auto"/>
                <w:kern w:val="0"/>
                <w:sz w:val="21"/>
                <w:szCs w:val="20"/>
                <w:lang w:val="en-US" w:eastAsia="zh-CN" w:bidi="ar-SA"/>
              </w:rPr>
            </w:pPr>
            <w:r>
              <w:rPr>
                <w:rFonts w:hint="eastAsia" w:cs="Times New Roman"/>
                <w:color w:val="auto"/>
                <w:kern w:val="0"/>
                <w:sz w:val="21"/>
                <w:szCs w:val="20"/>
                <w:lang w:val="en-US" w:eastAsia="zh-CN" w:bidi="ar-SA"/>
              </w:rPr>
              <w:t>0.15</w:t>
            </w:r>
          </w:p>
        </w:tc>
        <w:tc>
          <w:tcPr>
            <w:tcW w:w="1667" w:type="dxa"/>
            <w:shd w:val="clear" w:color="auto" w:fill="auto"/>
            <w:noWrap w:val="0"/>
            <w:vAlign w:val="center"/>
          </w:tcPr>
          <w:p w14:paraId="720B2C39">
            <w:pPr>
              <w:pStyle w:val="75"/>
              <w:bidi w:val="0"/>
              <w:rPr>
                <w:rFonts w:hint="default"/>
                <w:color w:val="auto"/>
                <w:lang w:val="en-US" w:eastAsia="zh-CN"/>
              </w:rPr>
            </w:pPr>
            <w:r>
              <w:rPr>
                <w:rFonts w:hint="eastAsia"/>
                <w:color w:val="auto"/>
                <w:lang w:val="en-US" w:eastAsia="zh-CN"/>
              </w:rPr>
              <w:t>/</w:t>
            </w:r>
          </w:p>
        </w:tc>
        <w:tc>
          <w:tcPr>
            <w:tcW w:w="1633" w:type="dxa"/>
            <w:shd w:val="clear" w:color="auto" w:fill="auto"/>
            <w:noWrap w:val="0"/>
            <w:vAlign w:val="center"/>
          </w:tcPr>
          <w:p w14:paraId="16F206CF">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0.15</w:t>
            </w:r>
          </w:p>
        </w:tc>
        <w:tc>
          <w:tcPr>
            <w:tcW w:w="989" w:type="dxa"/>
            <w:shd w:val="clear" w:color="auto" w:fill="auto"/>
            <w:noWrap w:val="0"/>
            <w:vAlign w:val="center"/>
          </w:tcPr>
          <w:p w14:paraId="11C97F7A">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+0.15</w:t>
            </w:r>
          </w:p>
        </w:tc>
      </w:tr>
      <w:tr w14:paraId="4630F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195CF4D9">
            <w:pPr>
              <w:pStyle w:val="75"/>
              <w:bidi w:val="0"/>
              <w:rPr>
                <w:rFonts w:hint="eastAsia"/>
                <w:color w:val="auto"/>
                <w:lang w:val="en-US" w:eastAsia="zh-CN"/>
              </w:rPr>
            </w:pPr>
            <w:r>
              <w:rPr>
                <w:rFonts w:hint="eastAsia"/>
                <w:color w:val="auto"/>
                <w:lang w:val="en-US" w:eastAsia="zh-CN"/>
              </w:rPr>
              <w:t>生活垃圾</w:t>
            </w:r>
          </w:p>
        </w:tc>
        <w:tc>
          <w:tcPr>
            <w:tcW w:w="3030" w:type="dxa"/>
            <w:noWrap w:val="0"/>
            <w:vAlign w:val="center"/>
          </w:tcPr>
          <w:p w14:paraId="3903F746">
            <w:pPr>
              <w:pStyle w:val="75"/>
              <w:bidi w:val="0"/>
              <w:rPr>
                <w:rFonts w:hint="eastAsia"/>
                <w:color w:val="auto"/>
                <w:lang w:val="en-US" w:eastAsia="zh-CN"/>
              </w:rPr>
            </w:pPr>
            <w:r>
              <w:rPr>
                <w:rFonts w:hint="eastAsia"/>
                <w:color w:val="auto"/>
                <w:lang w:val="en-US" w:eastAsia="zh-CN"/>
              </w:rPr>
              <w:t>生活垃圾（t/a）</w:t>
            </w:r>
          </w:p>
        </w:tc>
        <w:tc>
          <w:tcPr>
            <w:tcW w:w="1436" w:type="dxa"/>
            <w:noWrap w:val="0"/>
            <w:vAlign w:val="center"/>
          </w:tcPr>
          <w:p w14:paraId="1357F0A4">
            <w:pPr>
              <w:pStyle w:val="75"/>
              <w:bidi w:val="0"/>
              <w:rPr>
                <w:rFonts w:hint="default"/>
                <w:color w:val="auto"/>
                <w:lang w:val="en-US" w:eastAsia="zh-CN"/>
              </w:rPr>
            </w:pPr>
            <w:r>
              <w:rPr>
                <w:rFonts w:hint="eastAsia"/>
                <w:color w:val="auto"/>
                <w:lang w:val="en-US" w:eastAsia="zh-CN"/>
              </w:rPr>
              <w:t>/</w:t>
            </w:r>
          </w:p>
        </w:tc>
        <w:tc>
          <w:tcPr>
            <w:tcW w:w="1150" w:type="dxa"/>
            <w:noWrap w:val="0"/>
            <w:vAlign w:val="center"/>
          </w:tcPr>
          <w:p w14:paraId="67886D03">
            <w:pPr>
              <w:pStyle w:val="75"/>
              <w:bidi w:val="0"/>
              <w:rPr>
                <w:rFonts w:hint="eastAsia"/>
                <w:color w:val="auto"/>
              </w:rPr>
            </w:pPr>
            <w:r>
              <w:rPr>
                <w:rFonts w:hint="eastAsia"/>
                <w:color w:val="auto"/>
                <w:lang w:val="en-US" w:eastAsia="zh-CN"/>
              </w:rPr>
              <w:t>/</w:t>
            </w:r>
          </w:p>
        </w:tc>
        <w:tc>
          <w:tcPr>
            <w:tcW w:w="1450" w:type="dxa"/>
            <w:noWrap w:val="0"/>
            <w:vAlign w:val="center"/>
          </w:tcPr>
          <w:p w14:paraId="23B6FC1E">
            <w:pPr>
              <w:pStyle w:val="75"/>
              <w:bidi w:val="0"/>
              <w:rPr>
                <w:rFonts w:hint="eastAsia"/>
                <w:color w:val="auto"/>
                <w:lang w:val="en-US" w:eastAsia="zh-CN"/>
              </w:rPr>
            </w:pPr>
            <w:r>
              <w:rPr>
                <w:rFonts w:hint="eastAsia"/>
                <w:color w:val="auto"/>
                <w:lang w:val="en-US" w:eastAsia="zh-CN"/>
              </w:rPr>
              <w:t>/</w:t>
            </w:r>
          </w:p>
        </w:tc>
        <w:tc>
          <w:tcPr>
            <w:tcW w:w="1500" w:type="dxa"/>
            <w:shd w:val="clear" w:color="auto" w:fill="auto"/>
            <w:noWrap w:val="0"/>
            <w:vAlign w:val="center"/>
          </w:tcPr>
          <w:p w14:paraId="51C36B31">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4.5</w:t>
            </w:r>
          </w:p>
        </w:tc>
        <w:tc>
          <w:tcPr>
            <w:tcW w:w="1667" w:type="dxa"/>
            <w:noWrap w:val="0"/>
            <w:vAlign w:val="center"/>
          </w:tcPr>
          <w:p w14:paraId="70AF2CD9">
            <w:pPr>
              <w:pStyle w:val="75"/>
              <w:bidi w:val="0"/>
              <w:rPr>
                <w:rFonts w:hint="eastAsia"/>
                <w:color w:val="auto"/>
              </w:rPr>
            </w:pPr>
            <w:r>
              <w:rPr>
                <w:rFonts w:hint="eastAsia"/>
                <w:color w:val="auto"/>
                <w:lang w:val="en-US" w:eastAsia="zh-CN"/>
              </w:rPr>
              <w:t>/</w:t>
            </w:r>
          </w:p>
        </w:tc>
        <w:tc>
          <w:tcPr>
            <w:tcW w:w="1633" w:type="dxa"/>
            <w:shd w:val="clear" w:color="auto" w:fill="auto"/>
            <w:noWrap w:val="0"/>
            <w:vAlign w:val="center"/>
          </w:tcPr>
          <w:p w14:paraId="58983D78">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4.5</w:t>
            </w:r>
          </w:p>
        </w:tc>
        <w:tc>
          <w:tcPr>
            <w:tcW w:w="989" w:type="dxa"/>
            <w:shd w:val="clear" w:color="auto" w:fill="auto"/>
            <w:noWrap w:val="0"/>
            <w:vAlign w:val="center"/>
          </w:tcPr>
          <w:p w14:paraId="6D086A20">
            <w:pPr>
              <w:pStyle w:val="75"/>
              <w:bidi w:val="0"/>
              <w:rPr>
                <w:rFonts w:hint="default"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+4.5</w:t>
            </w:r>
          </w:p>
        </w:tc>
      </w:tr>
    </w:tbl>
    <w:p w14:paraId="09511910">
      <w:pPr>
        <w:pStyle w:val="15"/>
        <w:bidi w:val="0"/>
        <w:rPr>
          <w:color w:val="auto"/>
        </w:rPr>
        <w:sectPr>
          <w:footerReference r:id="rId5" w:type="default"/>
          <w:pgSz w:w="16838" w:h="11906" w:orient="landscape"/>
          <w:pgMar w:top="1417" w:right="1417"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640A7DAE">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223" w:name="_Toc30449"/>
      <w:bookmarkStart w:id="224" w:name="_Toc22781"/>
      <w:r>
        <w:drawing>
          <wp:anchor distT="0" distB="0" distL="114300" distR="114300" simplePos="0" relativeHeight="251684864" behindDoc="0" locked="0" layoutInCell="1" allowOverlap="1">
            <wp:simplePos x="0" y="0"/>
            <wp:positionH relativeFrom="column">
              <wp:posOffset>-179070</wp:posOffset>
            </wp:positionH>
            <wp:positionV relativeFrom="paragraph">
              <wp:posOffset>385445</wp:posOffset>
            </wp:positionV>
            <wp:extent cx="6021070" cy="8359140"/>
            <wp:effectExtent l="0" t="0" r="17780" b="3810"/>
            <wp:wrapNone/>
            <wp:docPr id="1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
                    <pic:cNvPicPr>
                      <a:picLocks noChangeAspect="1"/>
                    </pic:cNvPicPr>
                  </pic:nvPicPr>
                  <pic:blipFill>
                    <a:blip r:embed="rId58"/>
                    <a:stretch>
                      <a:fillRect/>
                    </a:stretch>
                  </pic:blipFill>
                  <pic:spPr>
                    <a:xfrm>
                      <a:off x="0" y="0"/>
                      <a:ext cx="6021070" cy="8359140"/>
                    </a:xfrm>
                    <a:prstGeom prst="rect">
                      <a:avLst/>
                    </a:prstGeom>
                    <a:noFill/>
                    <a:ln>
                      <a:noFill/>
                    </a:ln>
                  </pic:spPr>
                </pic:pic>
              </a:graphicData>
            </a:graphic>
          </wp:anchor>
        </w:drawing>
      </w:r>
      <w:r>
        <w:rPr>
          <w:rFonts w:hint="eastAsia" w:ascii="黑体" w:hAnsi="黑体" w:eastAsia="黑体" w:cs="黑体"/>
          <w:b/>
          <w:bCs/>
          <w:sz w:val="28"/>
          <w:szCs w:val="28"/>
          <w:lang w:val="en-US" w:eastAsia="zh-CN"/>
        </w:rPr>
        <w:t>附件十二：公开说明</w:t>
      </w:r>
      <w:bookmarkEnd w:id="223"/>
      <w:bookmarkEnd w:id="224"/>
    </w:p>
    <w:p w14:paraId="716D0568">
      <w:pPr>
        <w:pageBreakBefore w:val="0"/>
        <w:widowControl w:val="0"/>
        <w:kinsoku/>
        <w:topLinePunct w:val="0"/>
        <w:autoSpaceDE/>
        <w:autoSpaceDN/>
        <w:bidi w:val="0"/>
        <w:jc w:val="center"/>
        <w:textAlignment w:val="auto"/>
        <w:outlineLvl w:val="9"/>
        <w:rPr>
          <w:rFonts w:hint="default" w:ascii="Times New Roman" w:hAnsi="Times New Roman" w:cs="Times New Roman"/>
          <w:b/>
          <w:sz w:val="36"/>
        </w:rPr>
      </w:pPr>
      <w:r>
        <w:rPr>
          <w:rFonts w:hint="default" w:ascii="Times New Roman" w:hAnsi="Times New Roman" w:cs="Times New Roman"/>
          <w:b/>
          <w:sz w:val="36"/>
        </w:rPr>
        <w:t>关于公开建设项目环评文件等信息情况的说明</w:t>
      </w:r>
    </w:p>
    <w:p w14:paraId="63EB8A26">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outlineLvl w:val="9"/>
        <w:rPr>
          <w:rFonts w:hint="default" w:ascii="Times New Roman" w:hAnsi="Times New Roman" w:cs="Times New Roman"/>
          <w:sz w:val="28"/>
        </w:rPr>
      </w:pPr>
      <w:r>
        <w:rPr>
          <w:rFonts w:hint="eastAsia" w:cs="Times New Roman"/>
          <w:sz w:val="28"/>
          <w:lang w:val="en-US" w:eastAsia="zh-CN"/>
        </w:rPr>
        <w:t>福州市福清</w:t>
      </w:r>
      <w:r>
        <w:rPr>
          <w:rFonts w:hint="default" w:ascii="Times New Roman" w:hAnsi="Times New Roman" w:cs="Times New Roman"/>
          <w:sz w:val="28"/>
          <w:lang w:val="en-US" w:eastAsia="zh-CN"/>
        </w:rPr>
        <w:t>生态环境</w:t>
      </w:r>
      <w:r>
        <w:rPr>
          <w:rFonts w:hint="default" w:ascii="Times New Roman" w:hAnsi="Times New Roman" w:cs="Times New Roman"/>
          <w:sz w:val="28"/>
        </w:rPr>
        <w:t>局：</w:t>
      </w:r>
    </w:p>
    <w:p w14:paraId="23869DC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sz w:val="28"/>
        </w:rPr>
      </w:pPr>
      <w:r>
        <w:rPr>
          <w:rFonts w:hint="default" w:ascii="Times New Roman" w:hAnsi="Times New Roman" w:cs="Times New Roman"/>
          <w:sz w:val="28"/>
        </w:rPr>
        <w:t>我单位已按照《</w:t>
      </w:r>
      <w:r>
        <w:rPr>
          <w:rFonts w:hint="eastAsia" w:ascii="Times New Roman" w:hAnsi="Times New Roman" w:cs="Times New Roman"/>
          <w:sz w:val="28"/>
          <w:lang w:eastAsia="zh-CN"/>
        </w:rPr>
        <w:t>中华人民共和国环境保护法》《</w:t>
      </w:r>
      <w:r>
        <w:rPr>
          <w:rFonts w:hint="default" w:ascii="Times New Roman" w:hAnsi="Times New Roman" w:cs="Times New Roman"/>
          <w:sz w:val="28"/>
        </w:rPr>
        <w:t>建设项目环境影响评价信息公开机制方案》（环发</w:t>
      </w:r>
      <w:r>
        <w:rPr>
          <w:rFonts w:hint="eastAsia" w:ascii="Times New Roman" w:hAnsi="Times New Roman" w:cs="Times New Roman"/>
          <w:sz w:val="28"/>
          <w:lang w:eastAsia="zh-CN"/>
        </w:rPr>
        <w:t>〔2015〕162号</w:t>
      </w:r>
      <w:r>
        <w:rPr>
          <w:rFonts w:hint="default" w:ascii="Times New Roman" w:hAnsi="Times New Roman" w:cs="Times New Roman"/>
          <w:sz w:val="28"/>
        </w:rPr>
        <w:t>）等相关规定，通过福建环保网（链</w:t>
      </w:r>
      <w:r>
        <w:rPr>
          <w:rFonts w:hint="default" w:ascii="Times New Roman" w:hAnsi="Times New Roman" w:cs="Times New Roman"/>
          <w:sz w:val="28"/>
          <w:highlight w:val="none"/>
        </w:rPr>
        <w:t>接：https://www.fjhb.org/huanping/quanben/43465.html</w:t>
      </w:r>
      <w:r>
        <w:rPr>
          <w:rFonts w:hint="default" w:ascii="Times New Roman" w:hAnsi="Times New Roman" w:cs="Times New Roman"/>
          <w:color w:val="auto"/>
          <w:sz w:val="28"/>
          <w:highlight w:val="none"/>
        </w:rPr>
        <w:t>）</w:t>
      </w:r>
      <w:r>
        <w:rPr>
          <w:rFonts w:hint="default" w:ascii="Times New Roman" w:hAnsi="Times New Roman" w:cs="Times New Roman"/>
          <w:sz w:val="28"/>
        </w:rPr>
        <w:t>公开建设项目环评文件等信息（具体见下图）</w:t>
      </w:r>
    </w:p>
    <w:p w14:paraId="5000EBAA">
      <w:pPr>
        <w:pStyle w:val="74"/>
        <w:keepNext w:val="0"/>
        <w:keepLines w:val="0"/>
        <w:pageBreakBefore w:val="0"/>
        <w:widowControl w:val="0"/>
        <w:kinsoku/>
        <w:wordWrap/>
        <w:overflowPunct/>
        <w:topLinePunct w:val="0"/>
        <w:autoSpaceDE/>
        <w:autoSpaceDN/>
        <w:bidi w:val="0"/>
        <w:adjustRightInd w:val="0"/>
        <w:snapToGrid w:val="0"/>
        <w:spacing w:line="240" w:lineRule="auto"/>
        <w:ind w:left="-525" w:leftChars="-250" w:firstLine="0" w:firstLineChars="0"/>
        <w:jc w:val="center"/>
        <w:textAlignment w:val="auto"/>
        <w:outlineLvl w:val="9"/>
        <w:rPr>
          <w:rFonts w:hint="eastAsia" w:cs="Times New Roman"/>
          <w:sz w:val="28"/>
          <w:szCs w:val="22"/>
          <w:lang w:val="en-US" w:eastAsia="zh-CN"/>
        </w:rPr>
      </w:pPr>
      <w:r>
        <w:drawing>
          <wp:inline distT="0" distB="0" distL="114300" distR="114300">
            <wp:extent cx="5756910" cy="4577080"/>
            <wp:effectExtent l="0" t="0" r="1524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9"/>
                    <a:stretch>
                      <a:fillRect/>
                    </a:stretch>
                  </pic:blipFill>
                  <pic:spPr>
                    <a:xfrm>
                      <a:off x="0" y="0"/>
                      <a:ext cx="5756910" cy="4577080"/>
                    </a:xfrm>
                    <a:prstGeom prst="rect">
                      <a:avLst/>
                    </a:prstGeom>
                    <a:noFill/>
                    <a:ln>
                      <a:noFill/>
                    </a:ln>
                  </pic:spPr>
                </pic:pic>
              </a:graphicData>
            </a:graphic>
          </wp:inline>
        </w:drawing>
      </w:r>
    </w:p>
    <w:p w14:paraId="41BA2E4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s="Times New Roman"/>
          <w:sz w:val="28"/>
          <w:szCs w:val="22"/>
          <w:lang w:val="en-US" w:eastAsia="zh-CN"/>
        </w:rPr>
      </w:pPr>
    </w:p>
    <w:p w14:paraId="676F315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s="Times New Roman"/>
          <w:sz w:val="28"/>
          <w:szCs w:val="22"/>
          <w:lang w:val="en-US" w:eastAsia="zh-CN"/>
        </w:rPr>
      </w:pPr>
    </w:p>
    <w:p w14:paraId="02B69FB1">
      <w:pPr>
        <w:pStyle w:val="74"/>
        <w:pageBreakBefore w:val="0"/>
        <w:widowControl w:val="0"/>
        <w:kinsoku/>
        <w:topLinePunct w:val="0"/>
        <w:autoSpaceDE/>
        <w:autoSpaceDN/>
        <w:bidi w:val="0"/>
        <w:jc w:val="right"/>
        <w:textAlignment w:val="auto"/>
        <w:outlineLvl w:val="9"/>
        <w:rPr>
          <w:rFonts w:hint="eastAsia" w:ascii="Times New Roman" w:hAnsi="Times New Roman" w:eastAsia="宋体" w:cs="Times New Roman"/>
          <w:b w:val="0"/>
          <w:bCs w:val="0"/>
          <w:color w:val="auto"/>
          <w:sz w:val="28"/>
          <w:szCs w:val="28"/>
          <w:highlight w:val="none"/>
          <w:lang w:val="en-US" w:eastAsia="zh-CN"/>
        </w:rPr>
      </w:pPr>
      <w:r>
        <w:rPr>
          <w:rFonts w:hint="eastAsia" w:cs="Times New Roman"/>
          <w:color w:val="auto"/>
          <w:sz w:val="28"/>
          <w:szCs w:val="28"/>
          <w:lang w:val="en-US" w:eastAsia="zh-CN"/>
        </w:rPr>
        <w:t>福建瑞昌新能源科技开发有限公司</w:t>
      </w:r>
    </w:p>
    <w:p w14:paraId="06A696AF">
      <w:pPr>
        <w:ind w:firstLine="6720" w:firstLineChars="2400"/>
        <w:rPr>
          <w:rFonts w:hint="eastAsia" w:ascii="黑体" w:hAnsi="黑体" w:eastAsia="黑体" w:cs="黑体"/>
          <w:b/>
          <w:bCs/>
          <w:color w:val="auto"/>
          <w:sz w:val="28"/>
          <w:szCs w:val="28"/>
          <w:lang w:val="en-US" w:eastAsia="zh-CN"/>
        </w:rPr>
      </w:pPr>
      <w:r>
        <w:rPr>
          <w:rFonts w:hint="default" w:ascii="Times New Roman" w:hAnsi="Times New Roman" w:cs="Times New Roman"/>
          <w:color w:val="auto"/>
          <w:sz w:val="28"/>
          <w:szCs w:val="22"/>
          <w:highlight w:val="none"/>
          <w:lang w:eastAsia="zh-CN"/>
        </w:rPr>
        <w:t>20</w:t>
      </w:r>
      <w:r>
        <w:rPr>
          <w:rFonts w:hint="eastAsia" w:cs="Times New Roman"/>
          <w:color w:val="auto"/>
          <w:sz w:val="28"/>
          <w:szCs w:val="22"/>
          <w:highlight w:val="none"/>
          <w:lang w:val="en-US" w:eastAsia="zh-CN"/>
        </w:rPr>
        <w:t>25</w:t>
      </w:r>
      <w:r>
        <w:rPr>
          <w:rFonts w:hint="default" w:ascii="Times New Roman" w:hAnsi="Times New Roman" w:cs="Times New Roman"/>
          <w:color w:val="auto"/>
          <w:sz w:val="28"/>
          <w:szCs w:val="22"/>
          <w:highlight w:val="none"/>
          <w:lang w:eastAsia="zh-CN"/>
        </w:rPr>
        <w:t>年</w:t>
      </w:r>
      <w:r>
        <w:rPr>
          <w:rFonts w:hint="eastAsia" w:cs="Times New Roman"/>
          <w:color w:val="auto"/>
          <w:sz w:val="28"/>
          <w:szCs w:val="22"/>
          <w:highlight w:val="none"/>
          <w:lang w:val="en-US" w:eastAsia="zh-CN"/>
        </w:rPr>
        <w:t>11</w:t>
      </w:r>
      <w:r>
        <w:rPr>
          <w:rFonts w:hint="default" w:ascii="Times New Roman" w:hAnsi="Times New Roman" w:cs="Times New Roman"/>
          <w:color w:val="auto"/>
          <w:sz w:val="28"/>
          <w:szCs w:val="22"/>
          <w:highlight w:val="none"/>
          <w:lang w:eastAsia="zh-CN"/>
        </w:rPr>
        <w:t>月</w:t>
      </w:r>
      <w:r>
        <w:rPr>
          <w:rFonts w:hint="eastAsia" w:cs="Times New Roman"/>
          <w:color w:val="auto"/>
          <w:sz w:val="28"/>
          <w:szCs w:val="22"/>
          <w:highlight w:val="none"/>
          <w:lang w:val="en-US" w:eastAsia="zh-CN"/>
        </w:rPr>
        <w:t>27</w:t>
      </w:r>
      <w:r>
        <w:rPr>
          <w:rFonts w:hint="default" w:ascii="Times New Roman" w:hAnsi="Times New Roman" w:cs="Times New Roman"/>
          <w:color w:val="auto"/>
          <w:sz w:val="28"/>
          <w:szCs w:val="22"/>
          <w:highlight w:val="none"/>
          <w:lang w:eastAsia="zh-CN"/>
        </w:rPr>
        <w:t>日</w:t>
      </w:r>
      <w:r>
        <w:rPr>
          <w:rFonts w:hint="eastAsia" w:ascii="黑体" w:hAnsi="黑体" w:eastAsia="黑体" w:cs="黑体"/>
          <w:b/>
          <w:bCs/>
          <w:color w:val="auto"/>
          <w:sz w:val="28"/>
          <w:szCs w:val="28"/>
          <w:lang w:val="en-US" w:eastAsia="zh-CN"/>
        </w:rPr>
        <w:br w:type="page"/>
      </w:r>
    </w:p>
    <w:p w14:paraId="6740B900">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黑体" w:hAnsi="黑体" w:eastAsia="黑体" w:cs="黑体"/>
          <w:b/>
          <w:bCs/>
          <w:sz w:val="28"/>
          <w:szCs w:val="28"/>
          <w:lang w:val="en-US" w:eastAsia="zh-CN"/>
        </w:rPr>
      </w:pPr>
      <w:bookmarkStart w:id="225" w:name="_Toc8498"/>
      <w:bookmarkStart w:id="226" w:name="_Toc9717"/>
      <w:r>
        <w:rPr>
          <w:rFonts w:hint="eastAsia" w:ascii="黑体" w:hAnsi="黑体" w:eastAsia="黑体" w:cs="黑体"/>
          <w:b/>
          <w:bCs/>
          <w:sz w:val="28"/>
          <w:szCs w:val="28"/>
          <w:lang w:val="en-US" w:eastAsia="zh-CN"/>
        </w:rPr>
        <w:t>附件十三：关于环评文件公开文本删除的涉及国家秘密、商业秘密等内容的删除依据和理由说明</w:t>
      </w:r>
      <w:bookmarkEnd w:id="225"/>
      <w:bookmarkEnd w:id="226"/>
    </w:p>
    <w:p w14:paraId="5BE4BE7B">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bookmarkStart w:id="227" w:name="_Toc4088"/>
      <w:bookmarkStart w:id="228" w:name="_Toc28204"/>
      <w:r>
        <w:drawing>
          <wp:anchor distT="0" distB="0" distL="114300" distR="114300" simplePos="0" relativeHeight="251685888" behindDoc="0" locked="0" layoutInCell="1" allowOverlap="1">
            <wp:simplePos x="0" y="0"/>
            <wp:positionH relativeFrom="column">
              <wp:posOffset>-19050</wp:posOffset>
            </wp:positionH>
            <wp:positionV relativeFrom="paragraph">
              <wp:posOffset>137795</wp:posOffset>
            </wp:positionV>
            <wp:extent cx="5884545" cy="7675245"/>
            <wp:effectExtent l="0" t="0" r="1905" b="1905"/>
            <wp:wrapNone/>
            <wp:docPr id="1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
                    <pic:cNvPicPr>
                      <a:picLocks noChangeAspect="1"/>
                    </pic:cNvPicPr>
                  </pic:nvPicPr>
                  <pic:blipFill>
                    <a:blip r:embed="rId60"/>
                    <a:stretch>
                      <a:fillRect/>
                    </a:stretch>
                  </pic:blipFill>
                  <pic:spPr>
                    <a:xfrm>
                      <a:off x="0" y="0"/>
                      <a:ext cx="5884545" cy="7675245"/>
                    </a:xfrm>
                    <a:prstGeom prst="rect">
                      <a:avLst/>
                    </a:prstGeom>
                    <a:noFill/>
                    <a:ln>
                      <a:noFill/>
                    </a:ln>
                  </pic:spPr>
                </pic:pic>
              </a:graphicData>
            </a:graphic>
          </wp:anchor>
        </w:drawing>
      </w:r>
    </w:p>
    <w:p w14:paraId="6E061587">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65484C80">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75C279DE">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p>
    <w:p w14:paraId="425FE0D3">
      <w:pPr>
        <w:keepNext/>
        <w:keepLines w:val="0"/>
        <w:pageBreakBefore w:val="0"/>
        <w:widowControl w:val="0"/>
        <w:kinsoku/>
        <w:wordWrap/>
        <w:overflowPunct w:val="0"/>
        <w:topLinePunct w:val="0"/>
        <w:autoSpaceDE/>
        <w:autoSpaceDN/>
        <w:bidi w:val="0"/>
        <w:adjustRightInd/>
        <w:snapToGrid w:val="0"/>
        <w:spacing w:line="260" w:lineRule="auto"/>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eastAsia="zh-CN"/>
        </w:rPr>
        <w:t>关于环评文件未涉及国家秘密、商业秘密等内容的</w:t>
      </w:r>
    </w:p>
    <w:p w14:paraId="664B5DA1">
      <w:pPr>
        <w:keepNext/>
        <w:keepLines w:val="0"/>
        <w:pageBreakBefore w:val="0"/>
        <w:widowControl w:val="0"/>
        <w:kinsoku/>
        <w:wordWrap/>
        <w:overflowPunct w:val="0"/>
        <w:topLinePunct w:val="0"/>
        <w:autoSpaceDE/>
        <w:autoSpaceDN/>
        <w:bidi w:val="0"/>
        <w:adjustRightInd/>
        <w:snapToGrid w:val="0"/>
        <w:spacing w:line="260" w:lineRule="auto"/>
        <w:ind w:left="431" w:hanging="431"/>
        <w:jc w:val="center"/>
        <w:textAlignment w:val="auto"/>
        <w:outlineLvl w:val="9"/>
        <w:rPr>
          <w:rFonts w:hint="eastAsia" w:ascii="黑体" w:hAnsi="黑体" w:eastAsia="黑体" w:cs="黑体"/>
          <w:b/>
          <w:bCs/>
          <w:color w:val="auto"/>
          <w:sz w:val="36"/>
          <w:szCs w:val="36"/>
          <w:highlight w:val="none"/>
          <w:lang w:eastAsia="zh-CN"/>
        </w:rPr>
      </w:pPr>
      <w:r>
        <w:rPr>
          <w:rFonts w:hint="eastAsia" w:ascii="黑体" w:hAnsi="黑体" w:eastAsia="黑体" w:cs="黑体"/>
          <w:b/>
          <w:bCs/>
          <w:color w:val="auto"/>
          <w:sz w:val="36"/>
          <w:szCs w:val="36"/>
          <w:highlight w:val="none"/>
          <w:lang w:val="en-US" w:eastAsia="zh-CN"/>
        </w:rPr>
        <w:t>删除依据和理由</w:t>
      </w:r>
      <w:r>
        <w:rPr>
          <w:rFonts w:hint="eastAsia" w:ascii="黑体" w:hAnsi="黑体" w:eastAsia="黑体" w:cs="黑体"/>
          <w:b/>
          <w:bCs/>
          <w:color w:val="auto"/>
          <w:sz w:val="36"/>
          <w:szCs w:val="36"/>
          <w:highlight w:val="none"/>
          <w:lang w:eastAsia="zh-CN"/>
        </w:rPr>
        <w:t>说明</w:t>
      </w:r>
    </w:p>
    <w:p w14:paraId="24CEC727">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538ABFA9">
      <w:pPr>
        <w:keepNext/>
        <w:keepLines w:val="0"/>
        <w:pageBreakBefore w:val="0"/>
        <w:widowControl w:val="0"/>
        <w:kinsoku/>
        <w:wordWrap/>
        <w:overflowPunct w:val="0"/>
        <w:topLinePunct w:val="0"/>
        <w:autoSpaceDE/>
        <w:autoSpaceDN/>
        <w:bidi w:val="0"/>
        <w:adjustRightInd/>
        <w:snapToGrid w:val="0"/>
        <w:spacing w:line="360" w:lineRule="auto"/>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福州市福清生态环境局：</w:t>
      </w:r>
    </w:p>
    <w:p w14:paraId="4E5C1E22">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我司</w:t>
      </w:r>
      <w:r>
        <w:rPr>
          <w:rFonts w:hint="default" w:ascii="Times New Roman" w:hAnsi="Times New Roman" w:eastAsia="宋体" w:cs="Times New Roman"/>
          <w:color w:val="auto"/>
          <w:sz w:val="28"/>
          <w:szCs w:val="28"/>
          <w:lang w:val="en-US" w:eastAsia="zh-CN"/>
        </w:rPr>
        <w:t>福建瑞昌新能源科技开发有限公司</w:t>
      </w:r>
      <w:r>
        <w:rPr>
          <w:rFonts w:hint="default" w:ascii="Times New Roman" w:hAnsi="Times New Roman" w:eastAsia="宋体" w:cs="Times New Roman"/>
          <w:color w:val="auto"/>
          <w:sz w:val="28"/>
          <w:szCs w:val="28"/>
          <w:highlight w:val="none"/>
          <w:lang w:val="en-US" w:eastAsia="zh-CN"/>
        </w:rPr>
        <w:t>年加工五金配件300万个项目已完成环境影响报告表编制，现报送贵局审批。我司已删除涉及国家机密、商业秘密、个人隐私等内容（具体删除内容、删除依据详见附件）。报送贵局的环境影响评价报告表公开文本已经我司审核，我司同意对《福建瑞昌新能源科技开发有限公司年加工五金配件300万个项目环境影响报告表》公开文本全文进行公示，特此声明。</w:t>
      </w:r>
    </w:p>
    <w:p w14:paraId="44585C81">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附件：关于《福建瑞昌新能源科技开发有限公司年加工五金配件300万个项目环境影响报告表》公开删除内容、删除依据的说明</w:t>
      </w:r>
    </w:p>
    <w:p w14:paraId="5362D582">
      <w:pPr>
        <w:pStyle w:val="4"/>
        <w:rPr>
          <w:rFonts w:hint="default"/>
          <w:lang w:val="en-US" w:eastAsia="zh-CN"/>
        </w:rPr>
      </w:pPr>
    </w:p>
    <w:p w14:paraId="229CD383">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06D44E08">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p>
    <w:p w14:paraId="427268F7">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单位盖章</w:t>
      </w:r>
    </w:p>
    <w:p w14:paraId="6BAE5EE2">
      <w:pPr>
        <w:keepNext/>
        <w:keepLines w:val="0"/>
        <w:pageBreakBefore w:val="0"/>
        <w:widowControl w:val="0"/>
        <w:kinsoku/>
        <w:wordWrap/>
        <w:overflowPunct w:val="0"/>
        <w:topLinePunct w:val="0"/>
        <w:autoSpaceDE/>
        <w:autoSpaceDN/>
        <w:bidi w:val="0"/>
        <w:adjustRightInd/>
        <w:snapToGrid w:val="0"/>
        <w:spacing w:line="360" w:lineRule="auto"/>
        <w:ind w:left="0" w:firstLine="560" w:firstLineChars="200"/>
        <w:jc w:val="center"/>
        <w:textAlignment w:val="auto"/>
        <w:outlineLvl w:val="9"/>
        <w:rPr>
          <w:rFonts w:hint="default" w:ascii="Times New Roman" w:hAnsi="Times New Roman"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2025</w:t>
      </w:r>
      <w:r>
        <w:rPr>
          <w:rFonts w:hint="default" w:ascii="Times New Roman" w:hAnsi="Times New Roman" w:eastAsia="宋体" w:cs="Times New Roman"/>
          <w:color w:val="auto"/>
          <w:sz w:val="28"/>
          <w:szCs w:val="28"/>
          <w:highlight w:val="none"/>
        </w:rPr>
        <w:t>年</w:t>
      </w:r>
      <w:r>
        <w:rPr>
          <w:rFonts w:hint="eastAsia"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eastAsia" w:cs="Times New Roman"/>
          <w:color w:val="auto"/>
          <w:sz w:val="28"/>
          <w:szCs w:val="28"/>
          <w:highlight w:val="none"/>
          <w:lang w:val="en-US" w:eastAsia="zh-CN"/>
        </w:rPr>
        <w:t>27</w:t>
      </w:r>
      <w:r>
        <w:rPr>
          <w:rFonts w:hint="default" w:ascii="Times New Roman" w:hAnsi="Times New Roman" w:eastAsia="宋体" w:cs="Times New Roman"/>
          <w:color w:val="auto"/>
          <w:sz w:val="28"/>
          <w:szCs w:val="28"/>
          <w:highlight w:val="none"/>
        </w:rPr>
        <w:t>日</w:t>
      </w:r>
    </w:p>
    <w:p w14:paraId="048AFFE5">
      <w:pPr>
        <w:rPr>
          <w:rFonts w:hint="eastAsia" w:ascii="黑体" w:hAnsi="黑体" w:eastAsia="黑体" w:cs="黑体"/>
          <w:b/>
          <w:bCs/>
          <w:color w:val="auto"/>
          <w:sz w:val="28"/>
          <w:szCs w:val="28"/>
          <w:highlight w:val="none"/>
          <w:lang w:val="en-US" w:eastAsia="zh-CN"/>
        </w:rPr>
      </w:pPr>
      <w:r>
        <w:rPr>
          <w:rFonts w:hint="eastAsia" w:ascii="黑体" w:hAnsi="黑体" w:eastAsia="黑体" w:cs="黑体"/>
          <w:b/>
          <w:bCs/>
          <w:color w:val="auto"/>
          <w:sz w:val="28"/>
          <w:szCs w:val="28"/>
          <w:highlight w:val="none"/>
          <w:lang w:val="en-US" w:eastAsia="zh-CN"/>
        </w:rPr>
        <w:br w:type="page"/>
      </w:r>
      <w:r>
        <w:drawing>
          <wp:anchor distT="0" distB="0" distL="114300" distR="114300" simplePos="0" relativeHeight="251686912" behindDoc="0" locked="0" layoutInCell="1" allowOverlap="1">
            <wp:simplePos x="0" y="0"/>
            <wp:positionH relativeFrom="column">
              <wp:posOffset>-13335</wp:posOffset>
            </wp:positionH>
            <wp:positionV relativeFrom="paragraph">
              <wp:posOffset>6985</wp:posOffset>
            </wp:positionV>
            <wp:extent cx="5871210" cy="8697595"/>
            <wp:effectExtent l="0" t="0" r="15240" b="8255"/>
            <wp:wrapNone/>
            <wp:docPr id="1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8"/>
                    <pic:cNvPicPr>
                      <a:picLocks noChangeAspect="1"/>
                    </pic:cNvPicPr>
                  </pic:nvPicPr>
                  <pic:blipFill>
                    <a:blip r:embed="rId61"/>
                    <a:stretch>
                      <a:fillRect/>
                    </a:stretch>
                  </pic:blipFill>
                  <pic:spPr>
                    <a:xfrm>
                      <a:off x="0" y="0"/>
                      <a:ext cx="5871210" cy="8697595"/>
                    </a:xfrm>
                    <a:prstGeom prst="rect">
                      <a:avLst/>
                    </a:prstGeom>
                    <a:noFill/>
                    <a:ln>
                      <a:noFill/>
                    </a:ln>
                  </pic:spPr>
                </pic:pic>
              </a:graphicData>
            </a:graphic>
          </wp:anchor>
        </w:drawing>
      </w:r>
      <w:r>
        <w:rPr>
          <w:rFonts w:hint="eastAsia" w:ascii="黑体" w:hAnsi="黑体" w:eastAsia="黑体" w:cs="黑体"/>
          <w:b/>
          <w:bCs/>
          <w:color w:val="auto"/>
          <w:sz w:val="28"/>
          <w:szCs w:val="28"/>
          <w:highlight w:val="none"/>
          <w:lang w:val="en-US" w:eastAsia="zh-CN"/>
        </w:rPr>
        <w:t>附件：</w:t>
      </w:r>
    </w:p>
    <w:p w14:paraId="069D88D0">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textWrapping"/>
      </w:r>
      <w:r>
        <w:rPr>
          <w:rFonts w:hint="eastAsia" w:ascii="宋体" w:hAnsi="宋体" w:eastAsia="宋体" w:cs="宋体"/>
          <w:b/>
          <w:bCs/>
          <w:color w:val="auto"/>
          <w:sz w:val="30"/>
          <w:szCs w:val="30"/>
          <w:highlight w:val="none"/>
          <w:lang w:val="en-US" w:eastAsia="zh-CN"/>
        </w:rPr>
        <w:t>关于</w:t>
      </w:r>
      <w:r>
        <w:rPr>
          <w:rFonts w:hint="eastAsia" w:ascii="宋体" w:hAnsi="宋体" w:eastAsia="宋体" w:cs="宋体"/>
          <w:b/>
          <w:bCs/>
          <w:color w:val="auto"/>
          <w:sz w:val="30"/>
          <w:szCs w:val="30"/>
          <w:lang w:val="en-US" w:eastAsia="zh-CN"/>
        </w:rPr>
        <w:t>福建瑞昌新能源科技开发有限公司</w:t>
      </w:r>
      <w:r>
        <w:rPr>
          <w:rFonts w:hint="eastAsia" w:ascii="宋体" w:hAnsi="宋体" w:eastAsia="宋体" w:cs="宋体"/>
          <w:b/>
          <w:bCs/>
          <w:color w:val="auto"/>
          <w:sz w:val="30"/>
          <w:szCs w:val="30"/>
          <w:highlight w:val="none"/>
          <w:lang w:val="en-US" w:eastAsia="zh-CN"/>
        </w:rPr>
        <w:t>年加工五金配件300万个项目环境影响报告表公开文本删除的涉及国家秘密、商业秘密等内容的删除依据和理由说明</w:t>
      </w:r>
    </w:p>
    <w:p w14:paraId="7EFE1984">
      <w:pPr>
        <w:pStyle w:val="18"/>
        <w:rPr>
          <w:rFonts w:hint="eastAsia" w:ascii="宋体" w:hAnsi="宋体" w:eastAsia="宋体" w:cs="宋体"/>
          <w:b/>
          <w:bCs/>
          <w:color w:val="auto"/>
          <w:sz w:val="30"/>
          <w:szCs w:val="30"/>
          <w:highlight w:val="none"/>
          <w:lang w:val="en-US" w:eastAsia="zh-CN"/>
        </w:rPr>
      </w:pPr>
    </w:p>
    <w:p w14:paraId="25D76EF1">
      <w:pPr>
        <w:rPr>
          <w:rFonts w:hint="eastAsia"/>
          <w:lang w:val="en-US" w:eastAsia="zh-CN"/>
        </w:rPr>
      </w:pPr>
    </w:p>
    <w:p w14:paraId="2F4E8FFC">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我司《</w:t>
      </w:r>
      <w:r>
        <w:rPr>
          <w:rFonts w:hint="default" w:ascii="Times New Roman" w:hAnsi="Times New Roman" w:eastAsia="宋体" w:cs="Times New Roman"/>
          <w:color w:val="auto"/>
          <w:sz w:val="28"/>
          <w:szCs w:val="28"/>
          <w:highlight w:val="none"/>
          <w:lang w:val="en-US" w:eastAsia="zh-CN"/>
        </w:rPr>
        <w:t>福建瑞昌新能源科技开发有限公司年加工五金配件300万个项目环境影响报告表</w:t>
      </w:r>
      <w:r>
        <w:rPr>
          <w:rFonts w:hint="eastAsia" w:ascii="宋体" w:hAnsi="宋体" w:eastAsia="宋体" w:cs="宋体"/>
          <w:b w:val="0"/>
          <w:bCs w:val="0"/>
          <w:color w:val="auto"/>
          <w:sz w:val="28"/>
          <w:szCs w:val="28"/>
          <w:highlight w:val="none"/>
          <w:lang w:val="en-US" w:eastAsia="zh-CN"/>
        </w:rPr>
        <w:t>》部分内容因涉及国家秘密、商业秘密、个人隐私。我司删除了环境影响评价报告标准中相应内容。具体删除内容和删除依据如下：</w:t>
      </w:r>
    </w:p>
    <w:p w14:paraId="72A82928">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1、删除项目附件，删除理由：涉及个人隐私；</w:t>
      </w:r>
    </w:p>
    <w:p w14:paraId="212BFDFC">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2、删除我司联系方式，删除理由：涉及个人隐私：</w:t>
      </w:r>
    </w:p>
    <w:p w14:paraId="46076A06">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3、删除项目编制单位统一社会信用代码及编制主持人证书编号、信用编号等，删除理由：涉及商业秘密及个人隐私。</w:t>
      </w:r>
    </w:p>
    <w:p w14:paraId="358E0FB9">
      <w:pPr>
        <w:ind w:firstLine="560" w:firstLineChars="200"/>
        <w:rPr>
          <w:rFonts w:hint="eastAsia" w:ascii="宋体" w:hAnsi="宋体" w:eastAsia="宋体" w:cs="宋体"/>
          <w:b w:val="0"/>
          <w:bCs w:val="0"/>
          <w:color w:val="auto"/>
          <w:sz w:val="28"/>
          <w:szCs w:val="28"/>
          <w:highlight w:val="none"/>
          <w:lang w:val="en-US" w:eastAsia="zh-CN"/>
        </w:rPr>
      </w:pPr>
    </w:p>
    <w:p w14:paraId="63BF3544">
      <w:pPr>
        <w:ind w:firstLine="560" w:firstLineChars="200"/>
        <w:rPr>
          <w:rFonts w:hint="eastAsia" w:ascii="宋体" w:hAnsi="宋体" w:eastAsia="宋体" w:cs="宋体"/>
          <w:b w:val="0"/>
          <w:bCs w:val="0"/>
          <w:color w:val="auto"/>
          <w:sz w:val="28"/>
          <w:szCs w:val="28"/>
          <w:highlight w:val="none"/>
          <w:lang w:val="en-US" w:eastAsia="zh-CN"/>
        </w:rPr>
      </w:pPr>
    </w:p>
    <w:p w14:paraId="7702B323">
      <w:pPr>
        <w:wordWrap w:val="0"/>
        <w:ind w:firstLine="560" w:firstLineChars="200"/>
        <w:jc w:val="right"/>
        <w:rPr>
          <w:rFonts w:hint="eastAsia" w:ascii="宋体" w:hAnsi="宋体" w:eastAsia="宋体" w:cs="宋体"/>
          <w:b w:val="0"/>
          <w:bCs w:val="0"/>
          <w:color w:val="auto"/>
          <w:sz w:val="28"/>
          <w:szCs w:val="28"/>
          <w:highlight w:val="none"/>
          <w:lang w:val="en-US" w:eastAsia="zh-CN"/>
        </w:rPr>
        <w:sectPr>
          <w:footerReference r:id="rId6"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r>
        <w:rPr>
          <w:rFonts w:hint="eastAsia" w:ascii="宋体" w:hAnsi="宋体" w:eastAsia="宋体" w:cs="宋体"/>
          <w:b w:val="0"/>
          <w:bCs w:val="0"/>
          <w:color w:val="auto"/>
          <w:sz w:val="28"/>
          <w:szCs w:val="28"/>
          <w:highlight w:val="none"/>
          <w:lang w:val="en-US" w:eastAsia="zh-CN"/>
        </w:rPr>
        <w:t xml:space="preserve">单位盖章     </w:t>
      </w:r>
    </w:p>
    <w:bookmarkEnd w:id="227"/>
    <w:bookmarkEnd w:id="228"/>
    <w:p w14:paraId="3EA787A1">
      <w:pPr>
        <w:jc w:val="both"/>
        <w:rPr>
          <w:rFonts w:hint="eastAsia"/>
          <w:lang w:val="en-US" w:eastAsia="zh-CN"/>
        </w:rPr>
      </w:pPr>
    </w:p>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5C37">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715F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08D715F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1DB7">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58DC0">
                          <w:pPr>
                            <w:pStyle w:val="1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1158DC0">
                    <w:pPr>
                      <w:pStyle w:val="1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F633E">
    <w:pPr>
      <w:pStyle w:val="1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7E60E">
                          <w:pPr>
                            <w:pStyle w:val="16"/>
                          </w:pPr>
                          <w:r>
                            <w:fldChar w:fldCharType="begin"/>
                          </w:r>
                          <w:r>
                            <w:instrText xml:space="preserve"> PAGE  \* MERGEFORMAT </w:instrText>
                          </w:r>
                          <w:r>
                            <w:fldChar w:fldCharType="separate"/>
                          </w:r>
                          <w:r>
                            <w:t>LXXXVI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1937E60E">
                    <w:pPr>
                      <w:pStyle w:val="16"/>
                    </w:pPr>
                    <w:r>
                      <w:fldChar w:fldCharType="begin"/>
                    </w:r>
                    <w:r>
                      <w:instrText xml:space="preserve"> PAGE  \* MERGEFORMAT </w:instrText>
                    </w:r>
                    <w:r>
                      <w:fldChar w:fldCharType="separate"/>
                    </w:r>
                    <w:r>
                      <w:t>LXXXVI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376F">
    <w:pPr>
      <w:pStyle w:val="1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B0B5">
                          <w:pPr>
                            <w:pStyle w:val="16"/>
                          </w:pPr>
                          <w:r>
                            <w:fldChar w:fldCharType="begin"/>
                          </w:r>
                          <w:r>
                            <w:instrText xml:space="preserve"> PAGE  \* MERGEFORMAT </w:instrText>
                          </w:r>
                          <w:r>
                            <w:fldChar w:fldCharType="separate"/>
                          </w:r>
                          <w:r>
                            <w:t>XCVIII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F9DB0B5">
                    <w:pPr>
                      <w:pStyle w:val="16"/>
                    </w:pPr>
                    <w:r>
                      <w:fldChar w:fldCharType="begin"/>
                    </w:r>
                    <w:r>
                      <w:instrText xml:space="preserve"> PAGE  \* MERGEFORMAT </w:instrText>
                    </w:r>
                    <w:r>
                      <w:fldChar w:fldCharType="separate"/>
                    </w:r>
                    <w:r>
                      <w:t>XCVIII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6ACC"/>
    <w:multiLevelType w:val="singleLevel"/>
    <w:tmpl w:val="89B46ACC"/>
    <w:lvl w:ilvl="0" w:tentative="0">
      <w:start w:val="2"/>
      <w:numFmt w:val="chineseCounting"/>
      <w:suff w:val="nothing"/>
      <w:lvlText w:val="%1、"/>
      <w:lvlJc w:val="left"/>
      <w:rPr>
        <w:rFonts w:hint="eastAsia"/>
      </w:rPr>
    </w:lvl>
  </w:abstractNum>
  <w:abstractNum w:abstractNumId="1">
    <w:nsid w:val="E95F1B1E"/>
    <w:multiLevelType w:val="singleLevel"/>
    <w:tmpl w:val="E95F1B1E"/>
    <w:lvl w:ilvl="0" w:tentative="0">
      <w:start w:val="2"/>
      <w:numFmt w:val="decimal"/>
      <w:suff w:val="nothing"/>
      <w:lvlText w:val="%1、"/>
      <w:lvlJc w:val="left"/>
    </w:lvl>
  </w:abstractNum>
  <w:abstractNum w:abstractNumId="2">
    <w:nsid w:val="F960235E"/>
    <w:multiLevelType w:val="singleLevel"/>
    <w:tmpl w:val="F960235E"/>
    <w:lvl w:ilvl="0" w:tentative="0">
      <w:start w:val="1"/>
      <w:numFmt w:val="decimal"/>
      <w:suff w:val="nothing"/>
      <w:lvlText w:val="%1、"/>
      <w:lvlJc w:val="left"/>
    </w:lvl>
  </w:abstractNum>
  <w:abstractNum w:abstractNumId="3">
    <w:nsid w:val="002B350F"/>
    <w:multiLevelType w:val="singleLevel"/>
    <w:tmpl w:val="002B350F"/>
    <w:lvl w:ilvl="0" w:tentative="0">
      <w:start w:val="1"/>
      <w:numFmt w:val="decimal"/>
      <w:suff w:val="nothing"/>
      <w:lvlText w:val="%1、"/>
      <w:lvlJc w:val="left"/>
    </w:lvl>
  </w:abstractNum>
  <w:abstractNum w:abstractNumId="4">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833FA05"/>
    <w:multiLevelType w:val="singleLevel"/>
    <w:tmpl w:val="6833FA05"/>
    <w:lvl w:ilvl="0" w:tentative="0">
      <w:start w:val="1"/>
      <w:numFmt w:val="decimal"/>
      <w:suff w:val="nothing"/>
      <w:lvlText w:val="%1、"/>
      <w:lvlJc w:val="left"/>
    </w:lvl>
  </w:abstractNum>
  <w:abstractNum w:abstractNumId="6">
    <w:nsid w:val="76E68910"/>
    <w:multiLevelType w:val="singleLevel"/>
    <w:tmpl w:val="76E68910"/>
    <w:lvl w:ilvl="0" w:tentative="0">
      <w:start w:val="1"/>
      <w:numFmt w:val="decimal"/>
      <w:suff w:val="nothing"/>
      <w:lvlText w:val="（%1）"/>
      <w:lvlJc w:val="left"/>
    </w:lvl>
  </w:abstractNum>
  <w:abstractNum w:abstractNumId="7">
    <w:nsid w:val="7E752F05"/>
    <w:multiLevelType w:val="singleLevel"/>
    <w:tmpl w:val="7E752F05"/>
    <w:lvl w:ilvl="0" w:tentative="0">
      <w:start w:val="1"/>
      <w:numFmt w:val="decimal"/>
      <w:suff w:val="nothing"/>
      <w:lvlText w:val="%1、"/>
      <w:lvlJc w:val="left"/>
    </w:lvl>
  </w:abstractNum>
  <w:num w:numId="1">
    <w:abstractNumId w:val="4"/>
  </w:num>
  <w:num w:numId="2">
    <w:abstractNumId w:val="1"/>
  </w:num>
  <w:num w:numId="3">
    <w:abstractNumId w:val="0"/>
  </w:num>
  <w:num w:numId="4">
    <w:abstractNumId w:val="2"/>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8F270C"/>
    <w:rsid w:val="00B65805"/>
    <w:rsid w:val="012855CE"/>
    <w:rsid w:val="01312D03"/>
    <w:rsid w:val="016C7A79"/>
    <w:rsid w:val="018C0721"/>
    <w:rsid w:val="03501EED"/>
    <w:rsid w:val="035A6E90"/>
    <w:rsid w:val="037C7496"/>
    <w:rsid w:val="03B373C8"/>
    <w:rsid w:val="03F434D0"/>
    <w:rsid w:val="05467935"/>
    <w:rsid w:val="0599625C"/>
    <w:rsid w:val="05A74E52"/>
    <w:rsid w:val="05B16FE4"/>
    <w:rsid w:val="06D60D20"/>
    <w:rsid w:val="06FE0CEC"/>
    <w:rsid w:val="074F7AC9"/>
    <w:rsid w:val="08506999"/>
    <w:rsid w:val="09704E33"/>
    <w:rsid w:val="09BB5BCC"/>
    <w:rsid w:val="0A424D4C"/>
    <w:rsid w:val="0AA6399E"/>
    <w:rsid w:val="0B431F62"/>
    <w:rsid w:val="0B9270CC"/>
    <w:rsid w:val="0C14470F"/>
    <w:rsid w:val="0CD658CB"/>
    <w:rsid w:val="0DC962E6"/>
    <w:rsid w:val="0E94387A"/>
    <w:rsid w:val="0ECC7F03"/>
    <w:rsid w:val="0F005480"/>
    <w:rsid w:val="0F27519E"/>
    <w:rsid w:val="0F947289"/>
    <w:rsid w:val="10686559"/>
    <w:rsid w:val="10D15444"/>
    <w:rsid w:val="10FE0470"/>
    <w:rsid w:val="114762E6"/>
    <w:rsid w:val="119E6CF5"/>
    <w:rsid w:val="121161DF"/>
    <w:rsid w:val="12320CA3"/>
    <w:rsid w:val="12396910"/>
    <w:rsid w:val="123C2076"/>
    <w:rsid w:val="125B4B29"/>
    <w:rsid w:val="12E2773F"/>
    <w:rsid w:val="12F21BA5"/>
    <w:rsid w:val="130A6291"/>
    <w:rsid w:val="13A30873"/>
    <w:rsid w:val="13DB3C17"/>
    <w:rsid w:val="142976A3"/>
    <w:rsid w:val="143B75BD"/>
    <w:rsid w:val="14ED0523"/>
    <w:rsid w:val="15447000"/>
    <w:rsid w:val="15E440F6"/>
    <w:rsid w:val="184077D8"/>
    <w:rsid w:val="18535E55"/>
    <w:rsid w:val="1860188C"/>
    <w:rsid w:val="18B506EB"/>
    <w:rsid w:val="19392E3F"/>
    <w:rsid w:val="195065E6"/>
    <w:rsid w:val="19AF5431"/>
    <w:rsid w:val="1A9611D4"/>
    <w:rsid w:val="1AEF1640"/>
    <w:rsid w:val="1AFC5857"/>
    <w:rsid w:val="1B0678E6"/>
    <w:rsid w:val="1B110841"/>
    <w:rsid w:val="1B20658C"/>
    <w:rsid w:val="1B9519E6"/>
    <w:rsid w:val="1C136A38"/>
    <w:rsid w:val="1C723D3B"/>
    <w:rsid w:val="1CC34BB0"/>
    <w:rsid w:val="1D7644E2"/>
    <w:rsid w:val="1E9524B5"/>
    <w:rsid w:val="1ED50A3D"/>
    <w:rsid w:val="1F07118C"/>
    <w:rsid w:val="1F6C1AC3"/>
    <w:rsid w:val="1F867F08"/>
    <w:rsid w:val="212764EA"/>
    <w:rsid w:val="213A08EA"/>
    <w:rsid w:val="21652233"/>
    <w:rsid w:val="21E872AF"/>
    <w:rsid w:val="224A458F"/>
    <w:rsid w:val="22796B9E"/>
    <w:rsid w:val="228C7835"/>
    <w:rsid w:val="22F97F47"/>
    <w:rsid w:val="24000D54"/>
    <w:rsid w:val="24423C0B"/>
    <w:rsid w:val="246E3BEE"/>
    <w:rsid w:val="24B148C0"/>
    <w:rsid w:val="268D24CB"/>
    <w:rsid w:val="26FF1810"/>
    <w:rsid w:val="26FF2560"/>
    <w:rsid w:val="27E762EC"/>
    <w:rsid w:val="27F645D9"/>
    <w:rsid w:val="2806232A"/>
    <w:rsid w:val="28897B1C"/>
    <w:rsid w:val="28A12B3E"/>
    <w:rsid w:val="29035282"/>
    <w:rsid w:val="29262CB7"/>
    <w:rsid w:val="2A1803B1"/>
    <w:rsid w:val="2A701750"/>
    <w:rsid w:val="2C0F4FCD"/>
    <w:rsid w:val="2CC3445D"/>
    <w:rsid w:val="2D81692A"/>
    <w:rsid w:val="2D984ECD"/>
    <w:rsid w:val="2E183793"/>
    <w:rsid w:val="2E250044"/>
    <w:rsid w:val="2E717347"/>
    <w:rsid w:val="2ECE4F81"/>
    <w:rsid w:val="2F511D30"/>
    <w:rsid w:val="2F686C4D"/>
    <w:rsid w:val="305D5210"/>
    <w:rsid w:val="30F96868"/>
    <w:rsid w:val="321F5BEE"/>
    <w:rsid w:val="32405F41"/>
    <w:rsid w:val="32FC156A"/>
    <w:rsid w:val="331D0F0C"/>
    <w:rsid w:val="332E2F85"/>
    <w:rsid w:val="3359014F"/>
    <w:rsid w:val="33A64327"/>
    <w:rsid w:val="34DF5D43"/>
    <w:rsid w:val="350F349A"/>
    <w:rsid w:val="353636EA"/>
    <w:rsid w:val="35CA5CBB"/>
    <w:rsid w:val="35EF54F1"/>
    <w:rsid w:val="362C2FB9"/>
    <w:rsid w:val="36632AEA"/>
    <w:rsid w:val="368B560A"/>
    <w:rsid w:val="36F46607"/>
    <w:rsid w:val="3716170E"/>
    <w:rsid w:val="37BC5AD7"/>
    <w:rsid w:val="37CF2348"/>
    <w:rsid w:val="38CA5FD2"/>
    <w:rsid w:val="38DC3EDC"/>
    <w:rsid w:val="39721E98"/>
    <w:rsid w:val="3A0D43C8"/>
    <w:rsid w:val="3A7B3269"/>
    <w:rsid w:val="3B3C25D7"/>
    <w:rsid w:val="3B5F50F7"/>
    <w:rsid w:val="3BDE2BA6"/>
    <w:rsid w:val="3BE56743"/>
    <w:rsid w:val="3C09460C"/>
    <w:rsid w:val="3C8E01DC"/>
    <w:rsid w:val="3CCE564F"/>
    <w:rsid w:val="3CE45C48"/>
    <w:rsid w:val="3CF86493"/>
    <w:rsid w:val="3D962E9A"/>
    <w:rsid w:val="3F0F1503"/>
    <w:rsid w:val="3F127E08"/>
    <w:rsid w:val="3FB633FB"/>
    <w:rsid w:val="3FB9596C"/>
    <w:rsid w:val="3FC54551"/>
    <w:rsid w:val="40FD5B5C"/>
    <w:rsid w:val="4186530E"/>
    <w:rsid w:val="41E756B8"/>
    <w:rsid w:val="426024C3"/>
    <w:rsid w:val="42644CFC"/>
    <w:rsid w:val="42712D90"/>
    <w:rsid w:val="428E37C9"/>
    <w:rsid w:val="43250271"/>
    <w:rsid w:val="43652BBD"/>
    <w:rsid w:val="438A7C97"/>
    <w:rsid w:val="43D43925"/>
    <w:rsid w:val="441F174E"/>
    <w:rsid w:val="44647233"/>
    <w:rsid w:val="449657A6"/>
    <w:rsid w:val="46084AF2"/>
    <w:rsid w:val="48B545A9"/>
    <w:rsid w:val="48C14817"/>
    <w:rsid w:val="490A12E5"/>
    <w:rsid w:val="49460182"/>
    <w:rsid w:val="4A300E14"/>
    <w:rsid w:val="4A430135"/>
    <w:rsid w:val="4B302306"/>
    <w:rsid w:val="4B517646"/>
    <w:rsid w:val="4C7E5B9D"/>
    <w:rsid w:val="4CBC43F6"/>
    <w:rsid w:val="4CCB2C98"/>
    <w:rsid w:val="4DA02C0F"/>
    <w:rsid w:val="4DAD76E3"/>
    <w:rsid w:val="4DCB34AF"/>
    <w:rsid w:val="4E453CD9"/>
    <w:rsid w:val="4EA73979"/>
    <w:rsid w:val="4EC739FF"/>
    <w:rsid w:val="4F075432"/>
    <w:rsid w:val="4F457D08"/>
    <w:rsid w:val="4F7C26F1"/>
    <w:rsid w:val="4F7C6D36"/>
    <w:rsid w:val="50F41DB2"/>
    <w:rsid w:val="51052079"/>
    <w:rsid w:val="51152D85"/>
    <w:rsid w:val="5288019F"/>
    <w:rsid w:val="52AD5CF4"/>
    <w:rsid w:val="52E03B4B"/>
    <w:rsid w:val="53ED7E15"/>
    <w:rsid w:val="54092EF7"/>
    <w:rsid w:val="545869CF"/>
    <w:rsid w:val="561C01EA"/>
    <w:rsid w:val="562464C8"/>
    <w:rsid w:val="56856B80"/>
    <w:rsid w:val="56D219CC"/>
    <w:rsid w:val="5919648E"/>
    <w:rsid w:val="595E2E89"/>
    <w:rsid w:val="59854F6F"/>
    <w:rsid w:val="598F6523"/>
    <w:rsid w:val="59A12058"/>
    <w:rsid w:val="5A6A34FF"/>
    <w:rsid w:val="5AD2718F"/>
    <w:rsid w:val="5BE049C1"/>
    <w:rsid w:val="5C261B5A"/>
    <w:rsid w:val="5C3B007A"/>
    <w:rsid w:val="5C3B6762"/>
    <w:rsid w:val="5C574E82"/>
    <w:rsid w:val="5CD252D1"/>
    <w:rsid w:val="5CF76AE6"/>
    <w:rsid w:val="5D1475BA"/>
    <w:rsid w:val="5E352B67"/>
    <w:rsid w:val="5F94195C"/>
    <w:rsid w:val="600D264D"/>
    <w:rsid w:val="604C4F0B"/>
    <w:rsid w:val="60B06C30"/>
    <w:rsid w:val="60BB31B3"/>
    <w:rsid w:val="612A5DE1"/>
    <w:rsid w:val="6134186F"/>
    <w:rsid w:val="61C342E5"/>
    <w:rsid w:val="61EC6729"/>
    <w:rsid w:val="620E2129"/>
    <w:rsid w:val="628C1E57"/>
    <w:rsid w:val="62F2581B"/>
    <w:rsid w:val="643313A9"/>
    <w:rsid w:val="65764C68"/>
    <w:rsid w:val="65A90B99"/>
    <w:rsid w:val="66801F8E"/>
    <w:rsid w:val="678F3DBF"/>
    <w:rsid w:val="67DF3732"/>
    <w:rsid w:val="6826051E"/>
    <w:rsid w:val="688356D2"/>
    <w:rsid w:val="689E3902"/>
    <w:rsid w:val="69537901"/>
    <w:rsid w:val="695A2772"/>
    <w:rsid w:val="69602F7D"/>
    <w:rsid w:val="69BB75A3"/>
    <w:rsid w:val="6AE30E7D"/>
    <w:rsid w:val="6B09652B"/>
    <w:rsid w:val="6B8B1382"/>
    <w:rsid w:val="6BF57752"/>
    <w:rsid w:val="6C3F3B3F"/>
    <w:rsid w:val="6CA542AC"/>
    <w:rsid w:val="6D6B0293"/>
    <w:rsid w:val="6DA07A76"/>
    <w:rsid w:val="6E2F5A53"/>
    <w:rsid w:val="6E3D0876"/>
    <w:rsid w:val="6E91728B"/>
    <w:rsid w:val="6EB17135"/>
    <w:rsid w:val="6EE37A6B"/>
    <w:rsid w:val="6F194C54"/>
    <w:rsid w:val="6F711321"/>
    <w:rsid w:val="6FB57106"/>
    <w:rsid w:val="6FB87AD8"/>
    <w:rsid w:val="70335223"/>
    <w:rsid w:val="70935EC8"/>
    <w:rsid w:val="70A7195F"/>
    <w:rsid w:val="70CC32CF"/>
    <w:rsid w:val="71281524"/>
    <w:rsid w:val="720D1817"/>
    <w:rsid w:val="72137A0F"/>
    <w:rsid w:val="72146479"/>
    <w:rsid w:val="722A2C74"/>
    <w:rsid w:val="722F0872"/>
    <w:rsid w:val="72A845A9"/>
    <w:rsid w:val="73730B78"/>
    <w:rsid w:val="73F67ACD"/>
    <w:rsid w:val="74161AF0"/>
    <w:rsid w:val="74827F96"/>
    <w:rsid w:val="74A013B9"/>
    <w:rsid w:val="76640175"/>
    <w:rsid w:val="769447C8"/>
    <w:rsid w:val="77C840CC"/>
    <w:rsid w:val="785E0CFE"/>
    <w:rsid w:val="799E34B2"/>
    <w:rsid w:val="79B56793"/>
    <w:rsid w:val="7A4A482E"/>
    <w:rsid w:val="7AC202DC"/>
    <w:rsid w:val="7B1D47C7"/>
    <w:rsid w:val="7BED0F85"/>
    <w:rsid w:val="7BF22B95"/>
    <w:rsid w:val="7C414D87"/>
    <w:rsid w:val="7D466F15"/>
    <w:rsid w:val="7DC861E9"/>
    <w:rsid w:val="7DD13EF3"/>
    <w:rsid w:val="7DE22616"/>
    <w:rsid w:val="7E9E1D43"/>
    <w:rsid w:val="7ED37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styleId="7">
    <w:name w:val="table of authorities"/>
    <w:basedOn w:val="1"/>
    <w:next w:val="1"/>
    <w:semiHidden/>
    <w:qFormat/>
    <w:uiPriority w:val="0"/>
    <w:pPr>
      <w:ind w:left="420" w:leftChars="200"/>
    </w:pPr>
  </w:style>
  <w:style w:type="paragraph" w:styleId="8">
    <w:name w:val="Note Heading"/>
    <w:basedOn w:val="1"/>
    <w:next w:val="1"/>
    <w:qFormat/>
    <w:uiPriority w:val="0"/>
    <w:pPr>
      <w:jc w:val="left"/>
    </w:pPr>
  </w:style>
  <w:style w:type="paragraph" w:styleId="9">
    <w:name w:val="annotation text"/>
    <w:basedOn w:val="1"/>
    <w:qFormat/>
    <w:uiPriority w:val="0"/>
    <w:pPr>
      <w:jc w:val="left"/>
    </w:pPr>
  </w:style>
  <w:style w:type="paragraph" w:styleId="10">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8"/>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66"/>
    <w:qFormat/>
    <w:uiPriority w:val="0"/>
    <w:pPr>
      <w:spacing w:after="120"/>
      <w:ind w:left="420" w:leftChars="200"/>
    </w:pPr>
    <w:rPr>
      <w:kern w:val="0"/>
      <w:sz w:val="24"/>
      <w:szCs w:val="20"/>
    </w:rPr>
  </w:style>
  <w:style w:type="paragraph" w:styleId="13">
    <w:name w:val="Body Text First Indent 2"/>
    <w:basedOn w:val="12"/>
    <w:next w:val="1"/>
    <w:qFormat/>
    <w:uiPriority w:val="0"/>
    <w:pPr>
      <w:spacing w:after="120"/>
      <w:ind w:left="420" w:leftChars="200" w:firstLine="210" w:firstLineChars="200"/>
    </w:pPr>
    <w:rPr>
      <w:sz w:val="21"/>
    </w:rPr>
  </w:style>
  <w:style w:type="paragraph" w:styleId="14">
    <w:name w:val="toc 3"/>
    <w:basedOn w:val="1"/>
    <w:next w:val="1"/>
    <w:qFormat/>
    <w:uiPriority w:val="0"/>
    <w:pPr>
      <w:ind w:left="840" w:leftChars="400"/>
    </w:pPr>
  </w:style>
  <w:style w:type="paragraph" w:styleId="15">
    <w:name w:val="Plain Text"/>
    <w:basedOn w:val="1"/>
    <w:next w:val="11"/>
    <w:qFormat/>
    <w:uiPriority w:val="0"/>
    <w:rPr>
      <w:rFonts w:ascii="宋体" w:hAnsi="Courier New" w:cs="Courier New"/>
      <w:szCs w:val="21"/>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List"/>
    <w:basedOn w:val="1"/>
    <w:qFormat/>
    <w:uiPriority w:val="0"/>
    <w:pPr>
      <w:ind w:left="200" w:hanging="200" w:hangingChars="200"/>
    </w:pPr>
  </w:style>
  <w:style w:type="paragraph" w:styleId="20">
    <w:name w:val="toc 2"/>
    <w:basedOn w:val="1"/>
    <w:next w:val="1"/>
    <w:qFormat/>
    <w:uiPriority w:val="0"/>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0"/>
    <w:rPr>
      <w:color w:val="0000FF"/>
      <w:u w:val="single"/>
    </w:rPr>
  </w:style>
  <w:style w:type="paragraph" w:customStyle="1" w:styleId="28">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9">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30">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2">
    <w:name w:val="Table Text"/>
    <w:basedOn w:val="1"/>
    <w:semiHidden/>
    <w:qFormat/>
    <w:uiPriority w:val="0"/>
    <w:rPr>
      <w:rFonts w:ascii="宋体" w:hAnsi="宋体" w:eastAsia="宋体" w:cs="宋体"/>
      <w:sz w:val="24"/>
      <w:szCs w:val="24"/>
      <w:lang w:val="en-US" w:eastAsia="en-US" w:bidi="ar-SA"/>
    </w:rPr>
  </w:style>
  <w:style w:type="paragraph" w:customStyle="1" w:styleId="33">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4">
    <w:name w:val="H图表内容"/>
    <w:basedOn w:val="1"/>
    <w:qFormat/>
    <w:uiPriority w:val="0"/>
    <w:rPr>
      <w:szCs w:val="20"/>
    </w:rPr>
  </w:style>
  <w:style w:type="paragraph" w:customStyle="1" w:styleId="35">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6">
    <w:name w:val="6表格"/>
    <w:basedOn w:val="1"/>
    <w:qFormat/>
    <w:uiPriority w:val="0"/>
    <w:pPr>
      <w:jc w:val="center"/>
    </w:pPr>
  </w:style>
  <w:style w:type="paragraph" w:customStyle="1" w:styleId="37">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8">
    <w:name w:val="表格固定文字"/>
    <w:basedOn w:val="1"/>
    <w:qFormat/>
    <w:uiPriority w:val="0"/>
    <w:pPr>
      <w:ind w:firstLine="0"/>
    </w:pPr>
    <w:rPr>
      <w:rFonts w:eastAsia="宋体"/>
      <w:sz w:val="21"/>
      <w:szCs w:val="24"/>
    </w:rPr>
  </w:style>
  <w:style w:type="paragraph" w:customStyle="1" w:styleId="39">
    <w:name w:val="个人  标题2"/>
    <w:basedOn w:val="1"/>
    <w:qFormat/>
    <w:uiPriority w:val="0"/>
    <w:pPr>
      <w:ind w:firstLine="0" w:firstLineChars="0"/>
      <w:outlineLvl w:val="1"/>
    </w:pPr>
    <w:rPr>
      <w:b/>
      <w:sz w:val="30"/>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表格表头"/>
    <w:basedOn w:val="42"/>
    <w:qFormat/>
    <w:uiPriority w:val="0"/>
    <w:pPr>
      <w:spacing w:before="50" w:beforeLines="50" w:line="240" w:lineRule="auto"/>
      <w:ind w:firstLine="0"/>
      <w:jc w:val="center"/>
    </w:pPr>
    <w:rPr>
      <w:rFonts w:eastAsia="黑体"/>
    </w:rPr>
  </w:style>
  <w:style w:type="paragraph" w:customStyle="1" w:styleId="42">
    <w:name w:val="zhang正文"/>
    <w:basedOn w:val="12"/>
    <w:next w:val="1"/>
    <w:link w:val="65"/>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3">
    <w:name w:val="表正文"/>
    <w:basedOn w:val="1"/>
    <w:qFormat/>
    <w:uiPriority w:val="0"/>
    <w:pPr>
      <w:spacing w:line="360" w:lineRule="auto"/>
      <w:ind w:firstLine="200" w:firstLineChars="200"/>
    </w:pPr>
    <w:rPr>
      <w:sz w:val="24"/>
    </w:rPr>
  </w:style>
  <w:style w:type="paragraph" w:customStyle="1" w:styleId="44">
    <w:name w:val="个人标题3"/>
    <w:basedOn w:val="1"/>
    <w:qFormat/>
    <w:uiPriority w:val="0"/>
    <w:pPr>
      <w:ind w:firstLine="0" w:firstLineChars="0"/>
      <w:outlineLvl w:val="2"/>
    </w:pPr>
    <w:rPr>
      <w:b/>
      <w:sz w:val="28"/>
    </w:rPr>
  </w:style>
  <w:style w:type="paragraph" w:customStyle="1" w:styleId="45">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6">
    <w:name w:val="三级aaa"/>
    <w:basedOn w:val="5"/>
    <w:next w:val="1"/>
    <w:qFormat/>
    <w:uiPriority w:val="0"/>
    <w:pPr>
      <w:keepNext w:val="0"/>
      <w:keepLines w:val="0"/>
      <w:widowControl w:val="0"/>
      <w:adjustRightInd w:val="0"/>
      <w:snapToGrid w:val="0"/>
      <w:spacing w:before="0" w:after="0" w:line="360" w:lineRule="auto"/>
    </w:pPr>
    <w:rPr>
      <w:sz w:val="28"/>
    </w:rPr>
  </w:style>
  <w:style w:type="paragraph" w:customStyle="1" w:styleId="47">
    <w:name w:val="正文hhhhhh"/>
    <w:basedOn w:val="1"/>
    <w:next w:val="6"/>
    <w:qFormat/>
    <w:uiPriority w:val="0"/>
    <w:pPr>
      <w:widowControl w:val="0"/>
      <w:adjustRightInd w:val="0"/>
      <w:snapToGrid w:val="0"/>
      <w:spacing w:line="360" w:lineRule="auto"/>
      <w:ind w:firstLine="200" w:firstLineChars="200"/>
    </w:pPr>
    <w:rPr>
      <w:sz w:val="24"/>
    </w:rPr>
  </w:style>
  <w:style w:type="paragraph" w:customStyle="1" w:styleId="48">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49">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0">
    <w:name w:val="闽创报告正文"/>
    <w:basedOn w:val="1"/>
    <w:qFormat/>
    <w:uiPriority w:val="0"/>
    <w:pPr>
      <w:tabs>
        <w:tab w:val="left" w:pos="0"/>
      </w:tabs>
      <w:spacing w:line="360" w:lineRule="auto"/>
      <w:ind w:firstLine="200" w:firstLineChars="200"/>
    </w:pPr>
    <w:rPr>
      <w:color w:val="000000"/>
      <w:sz w:val="24"/>
      <w:szCs w:val="20"/>
    </w:rPr>
  </w:style>
  <w:style w:type="paragraph" w:customStyle="1" w:styleId="51">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2">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3">
    <w:name w:val="22标题2"/>
    <w:basedOn w:val="54"/>
    <w:qFormat/>
    <w:uiPriority w:val="0"/>
    <w:pPr>
      <w:adjustRightInd w:val="0"/>
      <w:snapToGrid w:val="0"/>
    </w:pPr>
    <w:rPr>
      <w:color w:val="0000FF"/>
    </w:rPr>
  </w:style>
  <w:style w:type="paragraph" w:customStyle="1" w:styleId="54">
    <w:name w:val="标题2"/>
    <w:basedOn w:val="7"/>
    <w:qFormat/>
    <w:uiPriority w:val="0"/>
    <w:pPr>
      <w:spacing w:line="360" w:lineRule="auto"/>
      <w:outlineLvl w:val="1"/>
    </w:pPr>
    <w:rPr>
      <w:rFonts w:ascii="Times New Roman" w:hAnsi="Times New Roman" w:eastAsia="黑体" w:cs="Times New Roman"/>
      <w:sz w:val="30"/>
      <w:szCs w:val="30"/>
    </w:rPr>
  </w:style>
  <w:style w:type="paragraph" w:customStyle="1" w:styleId="55">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6">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7">
    <w:name w:val="样式 样式 正文01 + 黑色 首行缩进:  2 字符 段前: 0 磅 行距: 1.5 倍行距 + 首行缩进:  2 字符"/>
    <w:basedOn w:val="58"/>
    <w:qFormat/>
    <w:uiPriority w:val="0"/>
    <w:pPr>
      <w:spacing w:line="440" w:lineRule="exact"/>
      <w:ind w:firstLine="200"/>
    </w:pPr>
    <w:rPr>
      <w:rFonts w:eastAsia="宋体"/>
      <w:bCs/>
    </w:rPr>
  </w:style>
  <w:style w:type="paragraph" w:customStyle="1" w:styleId="58">
    <w:name w:val="样式 正文（首行缩进两字） + (中文) 仿宋_GB2312 小四 行距: 1.5 倍行距"/>
    <w:basedOn w:val="2"/>
    <w:qFormat/>
    <w:uiPriority w:val="0"/>
    <w:pPr>
      <w:adjustRightInd/>
      <w:spacing w:line="360" w:lineRule="auto"/>
      <w:ind w:firstLine="480" w:firstLineChars="200"/>
      <w:textAlignment w:val="auto"/>
    </w:pPr>
    <w:rPr>
      <w:rFonts w:eastAsia="仿宋_GB2312"/>
      <w:kern w:val="2"/>
      <w:sz w:val="24"/>
    </w:rPr>
  </w:style>
  <w:style w:type="paragraph" w:customStyle="1" w:styleId="59">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6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1">
    <w:name w:val="表格标题"/>
    <w:basedOn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2">
    <w:name w:val="表格内容"/>
    <w:basedOn w:val="19"/>
    <w:next w:val="1"/>
    <w:qFormat/>
    <w:uiPriority w:val="0"/>
    <w:pPr>
      <w:autoSpaceDE w:val="0"/>
      <w:autoSpaceDN w:val="0"/>
      <w:ind w:firstLine="0"/>
      <w:jc w:val="center"/>
    </w:pPr>
    <w:rPr>
      <w:kern w:val="0"/>
      <w:sz w:val="24"/>
      <w:lang w:bidi="he-IL"/>
    </w:rPr>
  </w:style>
  <w:style w:type="paragraph" w:customStyle="1" w:styleId="63">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4">
    <w:name w:val="样式 zhang正文 + 宋体 小四 Char"/>
    <w:basedOn w:val="65"/>
    <w:link w:val="67"/>
    <w:qFormat/>
    <w:uiPriority w:val="0"/>
    <w:rPr>
      <w:rFonts w:ascii="宋体" w:hAnsi="宋体" w:eastAsia="宋体"/>
      <w:sz w:val="24"/>
    </w:rPr>
  </w:style>
  <w:style w:type="character" w:customStyle="1" w:styleId="65">
    <w:name w:val="zhang正文 Char1"/>
    <w:basedOn w:val="66"/>
    <w:link w:val="42"/>
    <w:qFormat/>
    <w:uiPriority w:val="0"/>
    <w:rPr>
      <w:rFonts w:eastAsia="楷体_GB2312"/>
      <w:sz w:val="28"/>
    </w:rPr>
  </w:style>
  <w:style w:type="character" w:customStyle="1" w:styleId="66">
    <w:name w:val="正文文本缩进 Char1"/>
    <w:basedOn w:val="25"/>
    <w:link w:val="12"/>
    <w:qFormat/>
    <w:uiPriority w:val="0"/>
    <w:rPr>
      <w:kern w:val="0"/>
      <w:sz w:val="24"/>
      <w:szCs w:val="20"/>
    </w:rPr>
  </w:style>
  <w:style w:type="paragraph" w:customStyle="1" w:styleId="67">
    <w:name w:val="样式 zhang正文 + 宋体 小四"/>
    <w:basedOn w:val="42"/>
    <w:link w:val="64"/>
    <w:qFormat/>
    <w:uiPriority w:val="0"/>
    <w:rPr>
      <w:rFonts w:ascii="宋体" w:hAnsi="宋体" w:eastAsia="宋体"/>
      <w:sz w:val="24"/>
    </w:rPr>
  </w:style>
  <w:style w:type="paragraph" w:customStyle="1" w:styleId="68">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69">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0">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1">
    <w:name w:val="表格样式1"/>
    <w:basedOn w:val="23"/>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2">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3">
    <w:name w:val="标题111"/>
    <w:basedOn w:val="21"/>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4">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5">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6">
    <w:name w:val="表格正文"/>
    <w:basedOn w:val="1"/>
    <w:qFormat/>
    <w:uiPriority w:val="0"/>
    <w:pPr>
      <w:ind w:firstLine="420"/>
    </w:pPr>
  </w:style>
  <w:style w:type="paragraph" w:customStyle="1" w:styleId="77">
    <w:name w:val="正文格式111"/>
    <w:basedOn w:val="1"/>
    <w:qFormat/>
    <w:uiPriority w:val="0"/>
    <w:pPr>
      <w:widowControl/>
      <w:spacing w:line="420" w:lineRule="auto"/>
      <w:ind w:firstLine="480" w:firstLineChars="200"/>
      <w:jc w:val="left"/>
    </w:pPr>
    <w:rPr>
      <w:rFonts w:eastAsia="Times New Roman"/>
      <w:bCs/>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4.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jpeg"/><Relationship Id="rId51" Type="http://schemas.openxmlformats.org/officeDocument/2006/relationships/image" Target="file:///C:\Users\Admin\AppData\Local\Temp\ksohtml12936\wps12.png" TargetMode="External"/><Relationship Id="rId50" Type="http://schemas.openxmlformats.org/officeDocument/2006/relationships/image" Target="media/image32.png"/><Relationship Id="rId5" Type="http://schemas.openxmlformats.org/officeDocument/2006/relationships/footer" Target="footer3.xml"/><Relationship Id="rId49" Type="http://schemas.openxmlformats.org/officeDocument/2006/relationships/image" Target="file:///C:\Users\Admin\AppData\Local\Temp\ksohtml12936\wps11.png" TargetMode="External"/><Relationship Id="rId48" Type="http://schemas.openxmlformats.org/officeDocument/2006/relationships/image" Target="media/image31.png"/><Relationship Id="rId47" Type="http://schemas.openxmlformats.org/officeDocument/2006/relationships/image" Target="file:///C:\Users\Admin\AppData\Local\Temp\ksohtml12936\wps10.png" TargetMode="External"/><Relationship Id="rId46" Type="http://schemas.openxmlformats.org/officeDocument/2006/relationships/image" Target="media/image30.png"/><Relationship Id="rId45" Type="http://schemas.openxmlformats.org/officeDocument/2006/relationships/image" Target="file:///C:\Users\Admin\AppData\Local\Temp\ksohtml12936\wps9.png" TargetMode="External"/><Relationship Id="rId44" Type="http://schemas.openxmlformats.org/officeDocument/2006/relationships/image" Target="media/image29.png"/><Relationship Id="rId43" Type="http://schemas.openxmlformats.org/officeDocument/2006/relationships/image" Target="file:///C:\Users\Admin\AppData\Local\Temp\ksohtml12936\wps8.png" TargetMode="External"/><Relationship Id="rId42" Type="http://schemas.openxmlformats.org/officeDocument/2006/relationships/image" Target="media/image28.png"/><Relationship Id="rId41" Type="http://schemas.openxmlformats.org/officeDocument/2006/relationships/image" Target="file:///C:\Users\Admin\AppData\Local\Temp\ksohtml12936\wps7.png" TargetMode="External"/><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file:///C:\Users\Admin\AppData\Local\Temp\ksohtml12936\wps6.png" TargetMode="External"/><Relationship Id="rId38" Type="http://schemas.openxmlformats.org/officeDocument/2006/relationships/image" Target="media/image26.png"/><Relationship Id="rId37" Type="http://schemas.openxmlformats.org/officeDocument/2006/relationships/image" Target="file:///C:\Users\Admin\AppData\Local\Temp\ksohtml12936\wps5.png" TargetMode="External"/><Relationship Id="rId36" Type="http://schemas.openxmlformats.org/officeDocument/2006/relationships/image" Target="media/image25.png"/><Relationship Id="rId35" Type="http://schemas.openxmlformats.org/officeDocument/2006/relationships/image" Target="file:///C:\Users\Admin\AppData\Local\Temp\ksohtml12936\wps4.png" TargetMode="External"/><Relationship Id="rId34" Type="http://schemas.openxmlformats.org/officeDocument/2006/relationships/image" Target="media/image24.png"/><Relationship Id="rId33" Type="http://schemas.openxmlformats.org/officeDocument/2006/relationships/image" Target="file:///C:\Users\Admin\AppData\Local\Temp\ksohtml12936\wps3.png" TargetMode="External"/><Relationship Id="rId32" Type="http://schemas.openxmlformats.org/officeDocument/2006/relationships/image" Target="media/image23.png"/><Relationship Id="rId31" Type="http://schemas.openxmlformats.org/officeDocument/2006/relationships/image" Target="file:///C:\Users\Admin\AppData\Local\Temp\ksohtml12936\wps2.png" TargetMode="External"/><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emf"/><Relationship Id="rId27" Type="http://schemas.openxmlformats.org/officeDocument/2006/relationships/oleObject" Target="embeddings/oleObject1.bin"/><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"/>
    </extobj>
    <extobj name="F360BE8B-6686-4F3D-AEAF-501FE73E4058-2">
      <extobjdata type="F360BE8B-6686-4F3D-AEAF-501FE73E4058" data="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"/>
    </extobj>
    <extobj name="F360BE8B-6686-4F3D-AEAF-501FE73E4058-3">
      <extobjdata type="F360BE8B-6686-4F3D-AEAF-501FE73E4058" data="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6285</Words>
  <Characters>7048</Characters>
  <Lines>0</Lines>
  <Paragraphs>0</Paragraphs>
  <TotalTime>16</TotalTime>
  <ScaleCrop>false</ScaleCrop>
  <LinksUpToDate>false</LinksUpToDate>
  <CharactersWithSpaces>7425</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2025-12-24T09:14:00Z</cp:lastPrinted>
  <dcterms:modified xsi:type="dcterms:W3CDTF">2026-01-20T08:52:18Z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eyJoZGlkIjoiZGQ5YmI0MTA5YzgzMmVmOGM2MWM4Nzg2MmQ3Yjc2ZjAiLCJ1c2VySWQiOiIxMjAwMTc5OTE0In0=</vt:lpwstr>
  </property>
  <property fmtid="{D5CDD505-2E9C-101B-9397-08002B2CF9AE}" pid="4" name="ICV">
    <vt:lpwstr>BE96C5223A3B4570903F3FC6C9CEBC9E_13</vt:lpwstr>
  </property>
</Properties>
</file>