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8932A9">
      <w:pPr>
        <w:rPr>
          <w:rFonts w:hint="eastAsia" w:eastAsia="仿宋_GB2312"/>
          <w:color w:val="auto"/>
          <w:sz w:val="36"/>
          <w:szCs w:val="36"/>
          <w:lang w:eastAsia="zh-CN"/>
        </w:rPr>
      </w:pPr>
      <w:r>
        <w:rPr>
          <w:rFonts w:hint="eastAsia" w:eastAsia="仿宋_GB2312"/>
          <w:color w:val="auto"/>
          <w:sz w:val="36"/>
          <w:szCs w:val="36"/>
          <w:lang w:eastAsia="zh-CN"/>
        </w:rPr>
        <w:drawing>
          <wp:anchor distT="0" distB="0" distL="114300" distR="114300" simplePos="0" relativeHeight="251671552" behindDoc="0" locked="0" layoutInCell="1" allowOverlap="1">
            <wp:simplePos x="0" y="0"/>
            <wp:positionH relativeFrom="column">
              <wp:posOffset>-154940</wp:posOffset>
            </wp:positionH>
            <wp:positionV relativeFrom="paragraph">
              <wp:posOffset>31750</wp:posOffset>
            </wp:positionV>
            <wp:extent cx="5925185" cy="8498840"/>
            <wp:effectExtent l="0" t="0" r="18415" b="16510"/>
            <wp:wrapNone/>
            <wp:docPr id="43" name="图片 43" descr="1efaf23f9b5cbc7d332562d5f62327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efaf23f9b5cbc7d332562d5f623278a"/>
                    <pic:cNvPicPr>
                      <a:picLocks noChangeAspect="1"/>
                    </pic:cNvPicPr>
                  </pic:nvPicPr>
                  <pic:blipFill>
                    <a:blip r:embed="rId11"/>
                    <a:stretch>
                      <a:fillRect/>
                    </a:stretch>
                  </pic:blipFill>
                  <pic:spPr>
                    <a:xfrm>
                      <a:off x="0" y="0"/>
                      <a:ext cx="5925185" cy="8498840"/>
                    </a:xfrm>
                    <a:prstGeom prst="rect">
                      <a:avLst/>
                    </a:prstGeom>
                  </pic:spPr>
                </pic:pic>
              </a:graphicData>
            </a:graphic>
          </wp:anchor>
        </w:drawing>
      </w:r>
    </w:p>
    <w:p w14:paraId="51573AE4">
      <w:pPr>
        <w:rPr>
          <w:rFonts w:eastAsia="仿宋_GB2312"/>
          <w:color w:val="auto"/>
          <w:sz w:val="36"/>
          <w:szCs w:val="36"/>
        </w:rPr>
      </w:pPr>
    </w:p>
    <w:p w14:paraId="70F3C26A">
      <w:pPr>
        <w:pStyle w:val="44"/>
        <w:bidi w:val="0"/>
        <w:spacing w:line="360" w:lineRule="auto"/>
        <w:rPr>
          <w:rFonts w:ascii="Times New Roman" w:hAnsi="Times New Roman" w:eastAsia="宋体" w:cs="Times New Roman"/>
          <w:b w:val="0"/>
          <w:bCs w:val="0"/>
          <w:sz w:val="56"/>
          <w:szCs w:val="56"/>
        </w:rPr>
      </w:pPr>
      <w:bookmarkStart w:id="0" w:name="_Toc14596"/>
      <w:bookmarkStart w:id="1" w:name="_Toc5240"/>
      <w:bookmarkStart w:id="2" w:name="_Toc21946"/>
      <w:bookmarkStart w:id="3" w:name="_Toc2348"/>
      <w:r>
        <w:rPr>
          <w:rFonts w:ascii="Times New Roman" w:hAnsi="Times New Roman" w:eastAsia="宋体" w:cs="Times New Roman"/>
          <w:b w:val="0"/>
          <w:bCs w:val="0"/>
          <w:sz w:val="56"/>
          <w:szCs w:val="56"/>
        </w:rPr>
        <w:t>建设项目环境影响报告表</w:t>
      </w:r>
      <w:bookmarkEnd w:id="0"/>
      <w:bookmarkEnd w:id="1"/>
      <w:bookmarkEnd w:id="2"/>
      <w:bookmarkEnd w:id="3"/>
    </w:p>
    <w:p w14:paraId="3BB9CA80">
      <w:pPr>
        <w:pStyle w:val="44"/>
        <w:bidi w:val="0"/>
        <w:spacing w:line="360" w:lineRule="auto"/>
        <w:rPr>
          <w:rFonts w:ascii="Times New Roman" w:hAnsi="Times New Roman" w:eastAsia="宋体" w:cs="Times New Roman"/>
          <w:b w:val="0"/>
          <w:bCs w:val="0"/>
          <w:sz w:val="56"/>
          <w:szCs w:val="56"/>
        </w:rPr>
      </w:pPr>
      <w:r>
        <w:rPr>
          <w:rFonts w:ascii="Times New Roman" w:hAnsi="Times New Roman" w:eastAsia="宋体" w:cs="Times New Roman"/>
          <w:b w:val="0"/>
          <w:bCs w:val="0"/>
          <w:sz w:val="56"/>
          <w:szCs w:val="56"/>
        </w:rPr>
        <w:t>（污染影响类）</w:t>
      </w:r>
    </w:p>
    <w:p w14:paraId="187D80B2">
      <w:pPr>
        <w:keepNext w:val="0"/>
        <w:keepLines w:val="0"/>
        <w:pageBreakBefore w:val="0"/>
        <w:widowControl w:val="0"/>
        <w:kinsoku/>
        <w:wordWrap/>
        <w:overflowPunct/>
        <w:topLinePunct w:val="0"/>
        <w:autoSpaceDE/>
        <w:autoSpaceDN/>
        <w:bidi w:val="0"/>
        <w:ind w:firstLine="0" w:firstLineChars="0"/>
        <w:textAlignment w:val="auto"/>
        <w:rPr>
          <w:color w:val="auto"/>
        </w:rPr>
      </w:pPr>
    </w:p>
    <w:p w14:paraId="6DCB9F84">
      <w:pPr>
        <w:pStyle w:val="39"/>
        <w:bidi w:val="0"/>
      </w:pPr>
    </w:p>
    <w:p w14:paraId="2B3A9196">
      <w:pPr>
        <w:pStyle w:val="39"/>
        <w:bidi w:val="0"/>
        <w:rPr>
          <w:rFonts w:hint="eastAsia" w:eastAsia="宋体"/>
          <w:lang w:eastAsia="zh-CN"/>
        </w:rPr>
      </w:pPr>
    </w:p>
    <w:p w14:paraId="28876498">
      <w:pPr>
        <w:keepNext w:val="0"/>
        <w:keepLines w:val="0"/>
        <w:pageBreakBefore w:val="0"/>
        <w:widowControl w:val="0"/>
        <w:kinsoku/>
        <w:wordWrap/>
        <w:overflowPunct/>
        <w:topLinePunct w:val="0"/>
        <w:autoSpaceDE/>
        <w:autoSpaceDN/>
        <w:bidi w:val="0"/>
        <w:ind w:firstLine="0" w:firstLineChars="0"/>
        <w:textAlignment w:val="auto"/>
        <w:rPr>
          <w:rFonts w:hint="eastAsia" w:eastAsia="仿宋"/>
          <w:color w:val="auto"/>
          <w:sz w:val="44"/>
          <w:szCs w:val="44"/>
          <w:lang w:eastAsia="zh-CN"/>
        </w:rPr>
      </w:pPr>
    </w:p>
    <w:p w14:paraId="08130777">
      <w:pPr>
        <w:keepNext w:val="0"/>
        <w:keepLines w:val="0"/>
        <w:pageBreakBefore w:val="0"/>
        <w:widowControl w:val="0"/>
        <w:kinsoku/>
        <w:wordWrap/>
        <w:overflowPunct/>
        <w:topLinePunct w:val="0"/>
        <w:autoSpaceDE/>
        <w:autoSpaceDN/>
        <w:bidi w:val="0"/>
        <w:ind w:firstLine="0" w:firstLineChars="0"/>
        <w:textAlignment w:val="auto"/>
        <w:rPr>
          <w:rFonts w:eastAsia="仿宋"/>
          <w:color w:val="auto"/>
          <w:sz w:val="44"/>
          <w:szCs w:val="44"/>
        </w:rPr>
      </w:pPr>
    </w:p>
    <w:p w14:paraId="3F93D505">
      <w:pPr>
        <w:keepNext w:val="0"/>
        <w:keepLines w:val="0"/>
        <w:pageBreakBefore w:val="0"/>
        <w:widowControl w:val="0"/>
        <w:kinsoku/>
        <w:wordWrap/>
        <w:overflowPunct/>
        <w:topLinePunct w:val="0"/>
        <w:autoSpaceDE/>
        <w:autoSpaceDN/>
        <w:bidi w:val="0"/>
        <w:ind w:firstLine="0" w:firstLineChars="0"/>
        <w:textAlignment w:val="auto"/>
        <w:rPr>
          <w:rFonts w:eastAsia="仿宋"/>
          <w:color w:val="auto"/>
          <w:sz w:val="44"/>
          <w:szCs w:val="44"/>
        </w:rPr>
      </w:pPr>
    </w:p>
    <w:p w14:paraId="44DB360F">
      <w:pPr>
        <w:keepNext w:val="0"/>
        <w:keepLines w:val="0"/>
        <w:pageBreakBefore w:val="0"/>
        <w:widowControl w:val="0"/>
        <w:kinsoku/>
        <w:wordWrap/>
        <w:overflowPunct/>
        <w:topLinePunct w:val="0"/>
        <w:autoSpaceDE/>
        <w:autoSpaceDN/>
        <w:bidi w:val="0"/>
        <w:ind w:firstLine="0" w:firstLineChars="0"/>
        <w:textAlignment w:val="auto"/>
        <w:rPr>
          <w:rFonts w:eastAsia="仿宋"/>
          <w:color w:val="auto"/>
          <w:sz w:val="44"/>
          <w:szCs w:val="44"/>
        </w:rPr>
      </w:pPr>
    </w:p>
    <w:p w14:paraId="03DACBB2">
      <w:pPr>
        <w:keepNext w:val="0"/>
        <w:keepLines w:val="0"/>
        <w:pageBreakBefore w:val="0"/>
        <w:widowControl w:val="0"/>
        <w:kinsoku/>
        <w:wordWrap/>
        <w:overflowPunct/>
        <w:topLinePunct w:val="0"/>
        <w:autoSpaceDE/>
        <w:autoSpaceDN/>
        <w:bidi w:val="0"/>
        <w:ind w:firstLine="0" w:firstLineChars="0"/>
        <w:textAlignment w:val="auto"/>
        <w:rPr>
          <w:rFonts w:eastAsia="仿宋"/>
          <w:color w:val="auto"/>
          <w:sz w:val="44"/>
          <w:szCs w:val="44"/>
        </w:rPr>
      </w:pPr>
    </w:p>
    <w:tbl>
      <w:tblPr>
        <w:tblStyle w:val="29"/>
        <w:tblW w:w="0" w:type="auto"/>
        <w:jc w:val="center"/>
        <w:tblLayout w:type="fixed"/>
        <w:tblCellMar>
          <w:top w:w="0" w:type="dxa"/>
          <w:left w:w="108" w:type="dxa"/>
          <w:bottom w:w="0" w:type="dxa"/>
          <w:right w:w="108" w:type="dxa"/>
        </w:tblCellMar>
      </w:tblPr>
      <w:tblGrid>
        <w:gridCol w:w="2364"/>
        <w:gridCol w:w="6575"/>
      </w:tblGrid>
      <w:tr w14:paraId="4A5F6AAF">
        <w:tblPrEx>
          <w:tblCellMar>
            <w:top w:w="0" w:type="dxa"/>
            <w:left w:w="108" w:type="dxa"/>
            <w:bottom w:w="0" w:type="dxa"/>
            <w:right w:w="108" w:type="dxa"/>
          </w:tblCellMar>
        </w:tblPrEx>
        <w:trPr>
          <w:trHeight w:val="1067" w:hRule="atLeast"/>
          <w:jc w:val="center"/>
        </w:trPr>
        <w:tc>
          <w:tcPr>
            <w:tcW w:w="2364" w:type="dxa"/>
            <w:tcBorders>
              <w:right w:val="nil"/>
            </w:tcBorders>
            <w:vAlign w:val="bottom"/>
          </w:tcPr>
          <w:p w14:paraId="5EDAE484">
            <w:pPr>
              <w:pStyle w:val="44"/>
              <w:keepNext w:val="0"/>
              <w:keepLines w:val="0"/>
              <w:suppressLineNumbers w:val="0"/>
              <w:bidi w:val="0"/>
              <w:spacing w:before="0" w:beforeAutospacing="0" w:after="0" w:afterAutospacing="0"/>
              <w:ind w:left="0" w:right="0"/>
              <w:rPr>
                <w:rFonts w:hint="default"/>
                <w:b w:val="0"/>
                <w:bCs w:val="0"/>
              </w:rPr>
            </w:pPr>
            <w:r>
              <w:rPr>
                <w:rFonts w:hint="default"/>
                <w:b w:val="0"/>
                <w:bCs w:val="0"/>
              </w:rPr>
              <w:t>项  目  名  称</w:t>
            </w:r>
          </w:p>
        </w:tc>
        <w:tc>
          <w:tcPr>
            <w:tcW w:w="6575" w:type="dxa"/>
            <w:tcBorders>
              <w:top w:val="nil"/>
              <w:left w:val="nil"/>
              <w:bottom w:val="single" w:color="auto" w:sz="4" w:space="0"/>
              <w:right w:val="nil"/>
            </w:tcBorders>
            <w:vAlign w:val="bottom"/>
          </w:tcPr>
          <w:p w14:paraId="59885B72">
            <w:pPr>
              <w:pStyle w:val="44"/>
              <w:keepNext w:val="0"/>
              <w:keepLines w:val="0"/>
              <w:suppressLineNumbers w:val="0"/>
              <w:bidi w:val="0"/>
              <w:spacing w:before="0" w:beforeAutospacing="0" w:after="0" w:afterAutospacing="0"/>
              <w:ind w:left="0" w:right="0"/>
              <w:rPr>
                <w:rFonts w:hint="eastAsia" w:eastAsia="宋体"/>
                <w:b w:val="0"/>
                <w:bCs w:val="0"/>
                <w:lang w:eastAsia="zh-CN"/>
              </w:rPr>
            </w:pPr>
            <w:r>
              <w:rPr>
                <w:rFonts w:hint="eastAsia"/>
                <w:b w:val="0"/>
                <w:bCs w:val="0"/>
              </w:rPr>
              <w:t>福</w:t>
            </w:r>
            <w:r>
              <w:rPr>
                <w:rFonts w:hint="eastAsia"/>
                <w:b w:val="0"/>
                <w:bCs w:val="0"/>
                <w:lang w:eastAsia="zh-CN"/>
              </w:rPr>
              <w:t>清市三合电子科技有限公司年新增塑胶件25万套、钣金件5万套项目</w:t>
            </w:r>
          </w:p>
        </w:tc>
      </w:tr>
      <w:tr w14:paraId="195DE8C5">
        <w:tblPrEx>
          <w:tblCellMar>
            <w:top w:w="0" w:type="dxa"/>
            <w:left w:w="108" w:type="dxa"/>
            <w:bottom w:w="0" w:type="dxa"/>
            <w:right w:w="108" w:type="dxa"/>
          </w:tblCellMar>
        </w:tblPrEx>
        <w:trPr>
          <w:trHeight w:val="737" w:hRule="atLeast"/>
          <w:jc w:val="center"/>
        </w:trPr>
        <w:tc>
          <w:tcPr>
            <w:tcW w:w="2364" w:type="dxa"/>
            <w:tcBorders>
              <w:right w:val="nil"/>
            </w:tcBorders>
            <w:vAlign w:val="bottom"/>
          </w:tcPr>
          <w:p w14:paraId="5D6EAA42">
            <w:pPr>
              <w:pStyle w:val="44"/>
              <w:keepNext w:val="0"/>
              <w:keepLines w:val="0"/>
              <w:suppressLineNumbers w:val="0"/>
              <w:bidi w:val="0"/>
              <w:spacing w:before="0" w:beforeAutospacing="0" w:after="0" w:afterAutospacing="0"/>
              <w:ind w:left="0" w:right="0"/>
              <w:rPr>
                <w:rFonts w:hint="default"/>
                <w:b w:val="0"/>
                <w:bCs w:val="0"/>
              </w:rPr>
            </w:pPr>
            <w:r>
              <w:rPr>
                <w:rFonts w:hint="default"/>
                <w:b w:val="0"/>
                <w:bCs w:val="0"/>
              </w:rPr>
              <w:t>建设单位（盖章）</w:t>
            </w:r>
          </w:p>
        </w:tc>
        <w:tc>
          <w:tcPr>
            <w:tcW w:w="6575" w:type="dxa"/>
            <w:tcBorders>
              <w:top w:val="single" w:color="auto" w:sz="4" w:space="0"/>
              <w:left w:val="nil"/>
              <w:bottom w:val="single" w:color="auto" w:sz="4" w:space="0"/>
              <w:right w:val="nil"/>
            </w:tcBorders>
            <w:vAlign w:val="bottom"/>
          </w:tcPr>
          <w:p w14:paraId="49A570F9">
            <w:pPr>
              <w:pStyle w:val="44"/>
              <w:keepNext w:val="0"/>
              <w:keepLines w:val="0"/>
              <w:suppressLineNumbers w:val="0"/>
              <w:bidi w:val="0"/>
              <w:spacing w:before="0" w:beforeAutospacing="0" w:after="0" w:afterAutospacing="0"/>
              <w:ind w:left="0" w:right="0"/>
              <w:rPr>
                <w:rFonts w:hint="default"/>
                <w:b w:val="0"/>
                <w:bCs w:val="0"/>
              </w:rPr>
            </w:pPr>
            <w:r>
              <w:rPr>
                <w:rFonts w:hint="default"/>
                <w:b w:val="0"/>
                <w:bCs w:val="0"/>
              </w:rPr>
              <w:t>福清市三合电子科技有限公司</w:t>
            </w:r>
          </w:p>
        </w:tc>
      </w:tr>
      <w:tr w14:paraId="668A417D">
        <w:tblPrEx>
          <w:tblCellMar>
            <w:top w:w="0" w:type="dxa"/>
            <w:left w:w="108" w:type="dxa"/>
            <w:bottom w:w="0" w:type="dxa"/>
            <w:right w:w="108" w:type="dxa"/>
          </w:tblCellMar>
        </w:tblPrEx>
        <w:trPr>
          <w:trHeight w:val="737" w:hRule="atLeast"/>
          <w:jc w:val="center"/>
        </w:trPr>
        <w:tc>
          <w:tcPr>
            <w:tcW w:w="2364" w:type="dxa"/>
            <w:tcBorders>
              <w:right w:val="nil"/>
            </w:tcBorders>
            <w:vAlign w:val="bottom"/>
          </w:tcPr>
          <w:p w14:paraId="17F7FD23">
            <w:pPr>
              <w:pStyle w:val="44"/>
              <w:keepNext w:val="0"/>
              <w:keepLines w:val="0"/>
              <w:suppressLineNumbers w:val="0"/>
              <w:bidi w:val="0"/>
              <w:spacing w:before="0" w:beforeAutospacing="0" w:after="0" w:afterAutospacing="0"/>
              <w:ind w:left="0" w:right="0"/>
              <w:rPr>
                <w:rFonts w:hint="default"/>
                <w:b w:val="0"/>
                <w:bCs w:val="0"/>
              </w:rPr>
            </w:pPr>
            <w:r>
              <w:rPr>
                <w:rFonts w:hint="default"/>
                <w:b w:val="0"/>
                <w:bCs w:val="0"/>
              </w:rPr>
              <mc:AlternateContent>
                <mc:Choice Requires="wps">
                  <w:drawing>
                    <wp:anchor distT="0" distB="0" distL="114300" distR="114300" simplePos="0" relativeHeight="251663360" behindDoc="0" locked="0" layoutInCell="0" allowOverlap="1">
                      <wp:simplePos x="0" y="0"/>
                      <wp:positionH relativeFrom="column">
                        <wp:posOffset>2222500</wp:posOffset>
                      </wp:positionH>
                      <wp:positionV relativeFrom="paragraph">
                        <wp:posOffset>-1270</wp:posOffset>
                      </wp:positionV>
                      <wp:extent cx="635" cy="0"/>
                      <wp:effectExtent l="0" t="4445" r="0" b="5080"/>
                      <wp:wrapNone/>
                      <wp:docPr id="45" name="直接连接符 45"/>
                      <wp:cNvGraphicFramePr/>
                      <a:graphic xmlns:a="http://schemas.openxmlformats.org/drawingml/2006/main">
                        <a:graphicData uri="http://schemas.microsoft.com/office/word/2010/wordprocessingShape">
                          <wps:wsp>
                            <wps:cNvCnPr/>
                            <wps:spPr>
                              <a:xfrm>
                                <a:off x="0" y="0"/>
                                <a:ext cx="635" cy="0"/>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175pt;margin-top:-0.1pt;height:0pt;width:0.05pt;z-index:251663360;mso-width-relative:page;mso-height-relative:page;" filled="f" stroked="t" coordsize="21600,21600" o:allowincell="f" o:gfxdata="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HqyOs0wAAAAcBAAAPAAAAAAAAAAEAIAAAACIAAABkcnMvZG93bnJldi54bWxQSwECFAAU&#10;AAAACACHTuJAgDI/7/YBAADwAwAADgAAAAAAAAABACAAAAAiAQAAZHJzL2Uyb0RvYy54bWxQSwUG&#10;AAAAAAYABgBZAQAAigUAAAAA&#10;">
                      <v:fill on="f" focussize="0,0"/>
                      <v:stroke color="#000000" joinstyle="round"/>
                      <v:imagedata o:title=""/>
                      <o:lock v:ext="edit" aspectratio="f"/>
                    </v:line>
                  </w:pict>
                </mc:Fallback>
              </mc:AlternateContent>
            </w:r>
            <w:r>
              <w:rPr>
                <w:rFonts w:hint="default"/>
                <w:b w:val="0"/>
                <w:bCs w:val="0"/>
              </w:rPr>
              <w:t>编制日期</w:t>
            </w:r>
          </w:p>
        </w:tc>
        <w:tc>
          <w:tcPr>
            <w:tcW w:w="6575" w:type="dxa"/>
            <w:tcBorders>
              <w:top w:val="single" w:color="auto" w:sz="4" w:space="0"/>
              <w:left w:val="nil"/>
              <w:bottom w:val="single" w:color="auto" w:sz="4" w:space="0"/>
              <w:right w:val="nil"/>
            </w:tcBorders>
            <w:vAlign w:val="bottom"/>
          </w:tcPr>
          <w:p w14:paraId="3DFFEDF9">
            <w:pPr>
              <w:pStyle w:val="44"/>
              <w:keepNext w:val="0"/>
              <w:keepLines w:val="0"/>
              <w:suppressLineNumbers w:val="0"/>
              <w:bidi w:val="0"/>
              <w:spacing w:before="0" w:beforeAutospacing="0" w:after="0" w:afterAutospacing="0"/>
              <w:ind w:left="0" w:right="0"/>
              <w:rPr>
                <w:rFonts w:hint="default"/>
                <w:b w:val="0"/>
                <w:bCs w:val="0"/>
              </w:rPr>
            </w:pPr>
            <w:r>
              <w:rPr>
                <w:rFonts w:hint="default"/>
                <w:b w:val="0"/>
                <w:bCs w:val="0"/>
              </w:rPr>
              <w:t>202</w:t>
            </w:r>
            <w:r>
              <w:rPr>
                <w:rFonts w:hint="eastAsia"/>
                <w:b w:val="0"/>
                <w:bCs w:val="0"/>
                <w:lang w:val="en-US" w:eastAsia="zh-CN"/>
              </w:rPr>
              <w:t>6</w:t>
            </w:r>
            <w:r>
              <w:rPr>
                <w:rFonts w:hint="default"/>
                <w:b w:val="0"/>
                <w:bCs w:val="0"/>
              </w:rPr>
              <w:t>年</w:t>
            </w:r>
            <w:r>
              <w:rPr>
                <w:rFonts w:hint="eastAsia"/>
                <w:b w:val="0"/>
                <w:bCs w:val="0"/>
                <w:lang w:val="en-US" w:eastAsia="zh-CN"/>
              </w:rPr>
              <w:t>1</w:t>
            </w:r>
            <w:r>
              <w:rPr>
                <w:rFonts w:hint="default"/>
                <w:b w:val="0"/>
                <w:bCs w:val="0"/>
              </w:rPr>
              <w:t>月</w:t>
            </w:r>
          </w:p>
        </w:tc>
      </w:tr>
    </w:tbl>
    <w:p w14:paraId="0489C0A8">
      <w:pPr>
        <w:keepNext w:val="0"/>
        <w:keepLines w:val="0"/>
        <w:pageBreakBefore w:val="0"/>
        <w:widowControl w:val="0"/>
        <w:kinsoku/>
        <w:wordWrap/>
        <w:overflowPunct/>
        <w:topLinePunct w:val="0"/>
        <w:autoSpaceDE/>
        <w:autoSpaceDN/>
        <w:bidi w:val="0"/>
        <w:adjustRightInd w:val="0"/>
        <w:snapToGrid w:val="0"/>
        <w:spacing w:line="288" w:lineRule="auto"/>
        <w:ind w:firstLine="0" w:firstLineChars="0"/>
        <w:jc w:val="both"/>
        <w:textAlignment w:val="auto"/>
        <w:rPr>
          <w:rFonts w:eastAsia="仿宋_GB2312"/>
          <w:color w:val="auto"/>
          <w:sz w:val="36"/>
          <w:szCs w:val="36"/>
          <w:u w:val="single"/>
        </w:rPr>
      </w:pPr>
      <w:bookmarkStart w:id="4" w:name="_Hlk57884087"/>
    </w:p>
    <w:p w14:paraId="28885E59">
      <w:pPr>
        <w:adjustRightInd w:val="0"/>
        <w:snapToGrid w:val="0"/>
        <w:spacing w:line="288" w:lineRule="auto"/>
        <w:rPr>
          <w:rFonts w:eastAsia="仿宋_GB2312"/>
          <w:color w:val="auto"/>
          <w:sz w:val="36"/>
          <w:szCs w:val="36"/>
        </w:rPr>
      </w:pPr>
    </w:p>
    <w:p w14:paraId="26BE88AD">
      <w:pPr>
        <w:adjustRightInd w:val="0"/>
        <w:snapToGrid w:val="0"/>
        <w:spacing w:line="288" w:lineRule="auto"/>
        <w:rPr>
          <w:rFonts w:eastAsia="仿宋_GB2312"/>
          <w:color w:val="auto"/>
          <w:sz w:val="36"/>
          <w:szCs w:val="36"/>
        </w:rPr>
      </w:pPr>
    </w:p>
    <w:bookmarkEnd w:id="4"/>
    <w:p w14:paraId="70C2C106">
      <w:pPr>
        <w:adjustRightInd w:val="0"/>
        <w:snapToGrid w:val="0"/>
        <w:spacing w:line="288" w:lineRule="auto"/>
        <w:ind w:firstLine="0" w:firstLineChars="0"/>
        <w:jc w:val="center"/>
        <w:rPr>
          <w:rFonts w:ascii="Times New Roman" w:hAnsi="Times New Roman" w:eastAsia="楷体_GB2312" w:cs="Times New Roman"/>
          <w:b w:val="0"/>
          <w:bCs w:val="0"/>
          <w:iCs w:val="0"/>
          <w:sz w:val="36"/>
          <w:szCs w:val="36"/>
        </w:rPr>
      </w:pPr>
      <w:r>
        <w:rPr>
          <w:rFonts w:ascii="Times New Roman" w:hAnsi="Times New Roman" w:eastAsia="楷体_GB2312" w:cs="Times New Roman"/>
          <w:b w:val="0"/>
          <w:bCs w:val="0"/>
          <w:iCs w:val="0"/>
          <w:sz w:val="36"/>
          <w:szCs w:val="36"/>
        </w:rPr>
        <w:t>中华人民共和国生态环境部制</w:t>
      </w:r>
    </w:p>
    <w:p w14:paraId="586B8E6D">
      <w:pPr>
        <w:rPr>
          <w:rFonts w:ascii="Times New Roman" w:hAnsi="Times New Roman" w:eastAsia="楷体_GB2312" w:cs="Times New Roman"/>
          <w:b w:val="0"/>
          <w:bCs w:val="0"/>
          <w:iCs w:val="0"/>
          <w:sz w:val="36"/>
          <w:szCs w:val="36"/>
        </w:rPr>
      </w:pPr>
      <w:r>
        <w:rPr>
          <w:rFonts w:ascii="Times New Roman" w:hAnsi="Times New Roman" w:eastAsia="楷体_GB2312" w:cs="Times New Roman"/>
          <w:b w:val="0"/>
          <w:bCs w:val="0"/>
          <w:iCs w:val="0"/>
          <w:sz w:val="36"/>
          <w:szCs w:val="36"/>
        </w:rPr>
        <w:br w:type="page"/>
      </w:r>
    </w:p>
    <w:p w14:paraId="4AA83ACF">
      <w:pPr>
        <w:adjustRightInd w:val="0"/>
        <w:snapToGrid w:val="0"/>
        <w:spacing w:line="288" w:lineRule="auto"/>
        <w:ind w:firstLine="0" w:firstLineChars="0"/>
        <w:jc w:val="center"/>
        <w:rPr>
          <w:rFonts w:hint="eastAsia" w:ascii="Times New Roman" w:hAnsi="Times New Roman" w:eastAsia="楷体_GB2312" w:cs="Times New Roman"/>
          <w:b w:val="0"/>
          <w:bCs w:val="0"/>
          <w:iCs w:val="0"/>
          <w:sz w:val="36"/>
          <w:szCs w:val="36"/>
          <w:lang w:eastAsia="zh-CN"/>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r>
        <w:rPr>
          <w:sz w:val="32"/>
        </w:rPr>
        <mc:AlternateContent>
          <mc:Choice Requires="wps">
            <w:drawing>
              <wp:anchor distT="0" distB="0" distL="114300" distR="114300" simplePos="0" relativeHeight="251687936" behindDoc="0" locked="0" layoutInCell="1" allowOverlap="1">
                <wp:simplePos x="0" y="0"/>
                <wp:positionH relativeFrom="column">
                  <wp:posOffset>2336165</wp:posOffset>
                </wp:positionH>
                <wp:positionV relativeFrom="paragraph">
                  <wp:posOffset>3603625</wp:posOffset>
                </wp:positionV>
                <wp:extent cx="861060" cy="285750"/>
                <wp:effectExtent l="4445" t="4445" r="10795" b="14605"/>
                <wp:wrapNone/>
                <wp:docPr id="177" name="文本框 177"/>
                <wp:cNvGraphicFramePr/>
                <a:graphic xmlns:a="http://schemas.openxmlformats.org/drawingml/2006/main">
                  <a:graphicData uri="http://schemas.microsoft.com/office/word/2010/wordprocessingShape">
                    <wps:wsp>
                      <wps:cNvSpPr txBox="1"/>
                      <wps:spPr>
                        <a:xfrm>
                          <a:off x="0" y="0"/>
                          <a:ext cx="86106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17D0B28"/>
                        </w:txbxContent>
                      </wps:txbx>
                      <wps:bodyPr upright="1"/>
                    </wps:wsp>
                  </a:graphicData>
                </a:graphic>
              </wp:anchor>
            </w:drawing>
          </mc:Choice>
          <mc:Fallback>
            <w:pict>
              <v:shape id="_x0000_s1026" o:spid="_x0000_s1026" o:spt="202" type="#_x0000_t202" style="position:absolute;left:0pt;margin-left:183.95pt;margin-top:283.75pt;height:22.5pt;width:67.8pt;z-index:251687936;mso-width-relative:page;mso-height-relative:page;" fillcolor="#FFFFFF" filled="t" stroked="t" coordsize="21600,21600" o:gfxdata="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2m2VB2gAAAAsBAAAPAAAAAAAAAAEA&#10;IAAAACIAAABkcnMvZG93bnJldi54bWxQSwECFAAUAAAACACHTuJA8F1kIQ0CAAA5BAAADgAAAAAA&#10;AAABACAAAAApAQAAZHJzL2Uyb0RvYy54bWxQSwUGAAAAAAYABgBZAQAAqAUAAAAA&#10;">
                <v:fill on="t" focussize="0,0"/>
                <v:stroke color="#000000" joinstyle="miter"/>
                <v:imagedata o:title=""/>
                <o:lock v:ext="edit" aspectratio="f"/>
                <v:textbox>
                  <w:txbxContent>
                    <w:p w14:paraId="017D0B28"/>
                  </w:txbxContent>
                </v:textbox>
              </v:shape>
            </w:pict>
          </mc:Fallback>
        </mc:AlternateContent>
      </w:r>
      <w:r>
        <w:rPr>
          <w:sz w:val="32"/>
        </w:rPr>
        <mc:AlternateContent>
          <mc:Choice Requires="wps">
            <w:drawing>
              <wp:anchor distT="0" distB="0" distL="114300" distR="114300" simplePos="0" relativeHeight="251686912" behindDoc="0" locked="0" layoutInCell="1" allowOverlap="1">
                <wp:simplePos x="0" y="0"/>
                <wp:positionH relativeFrom="column">
                  <wp:posOffset>3117215</wp:posOffset>
                </wp:positionH>
                <wp:positionV relativeFrom="paragraph">
                  <wp:posOffset>4222750</wp:posOffset>
                </wp:positionV>
                <wp:extent cx="861060" cy="285750"/>
                <wp:effectExtent l="4445" t="4445" r="10795" b="14605"/>
                <wp:wrapNone/>
                <wp:docPr id="176" name="文本框 176"/>
                <wp:cNvGraphicFramePr/>
                <a:graphic xmlns:a="http://schemas.openxmlformats.org/drawingml/2006/main">
                  <a:graphicData uri="http://schemas.microsoft.com/office/word/2010/wordprocessingShape">
                    <wps:wsp>
                      <wps:cNvSpPr txBox="1"/>
                      <wps:spPr>
                        <a:xfrm>
                          <a:off x="0" y="0"/>
                          <a:ext cx="86106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5862162"/>
                        </w:txbxContent>
                      </wps:txbx>
                      <wps:bodyPr upright="1"/>
                    </wps:wsp>
                  </a:graphicData>
                </a:graphic>
              </wp:anchor>
            </w:drawing>
          </mc:Choice>
          <mc:Fallback>
            <w:pict>
              <v:shape id="_x0000_s1026" o:spid="_x0000_s1026" o:spt="202" type="#_x0000_t202" style="position:absolute;left:0pt;margin-left:245.45pt;margin-top:332.5pt;height:22.5pt;width:67.8pt;z-index:251686912;mso-width-relative:page;mso-height-relative:page;" fillcolor="#FFFFFF" filled="t" stroked="t" coordsize="21600,21600" o:gfxdata="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PXWmg2gAAAAsBAAAPAAAAAAAAAAEA&#10;IAAAACIAAABkcnMvZG93bnJldi54bWxQSwECFAAUAAAACACHTuJAcLb66Q0CAAA5BAAADgAAAAAA&#10;AAABACAAAAApAQAAZHJzL2Uyb0RvYy54bWxQSwUGAAAAAAYABgBZAQAAqAUAAAAA&#10;">
                <v:fill on="t" focussize="0,0"/>
                <v:stroke color="#000000" joinstyle="miter"/>
                <v:imagedata o:title=""/>
                <o:lock v:ext="edit" aspectratio="f"/>
                <v:textbox>
                  <w:txbxContent>
                    <w:p w14:paraId="75862162"/>
                  </w:txbxContent>
                </v:textbox>
              </v:shape>
            </w:pict>
          </mc:Fallback>
        </mc:AlternateContent>
      </w:r>
      <w:r>
        <w:rPr>
          <w:sz w:val="32"/>
        </w:rPr>
        <mc:AlternateContent>
          <mc:Choice Requires="wps">
            <w:drawing>
              <wp:anchor distT="0" distB="0" distL="114300" distR="114300" simplePos="0" relativeHeight="251684864" behindDoc="0" locked="0" layoutInCell="1" allowOverlap="1">
                <wp:simplePos x="0" y="0"/>
                <wp:positionH relativeFrom="column">
                  <wp:posOffset>888365</wp:posOffset>
                </wp:positionH>
                <wp:positionV relativeFrom="paragraph">
                  <wp:posOffset>4117975</wp:posOffset>
                </wp:positionV>
                <wp:extent cx="861060" cy="285750"/>
                <wp:effectExtent l="4445" t="4445" r="10795" b="14605"/>
                <wp:wrapNone/>
                <wp:docPr id="167" name="文本框 167"/>
                <wp:cNvGraphicFramePr/>
                <a:graphic xmlns:a="http://schemas.openxmlformats.org/drawingml/2006/main">
                  <a:graphicData uri="http://schemas.microsoft.com/office/word/2010/wordprocessingShape">
                    <wps:wsp>
                      <wps:cNvSpPr txBox="1"/>
                      <wps:spPr>
                        <a:xfrm>
                          <a:off x="0" y="0"/>
                          <a:ext cx="86106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5087711"/>
                        </w:txbxContent>
                      </wps:txbx>
                      <wps:bodyPr upright="1"/>
                    </wps:wsp>
                  </a:graphicData>
                </a:graphic>
              </wp:anchor>
            </w:drawing>
          </mc:Choice>
          <mc:Fallback>
            <w:pict>
              <v:shape id="_x0000_s1026" o:spid="_x0000_s1026" o:spt="202" type="#_x0000_t202" style="position:absolute;left:0pt;margin-left:69.95pt;margin-top:324.25pt;height:22.5pt;width:67.8pt;z-index:251684864;mso-width-relative:page;mso-height-relative:page;" fillcolor="#FFFFFF" filled="t" stroked="t" coordsize="21600,21600" o:gfxdata="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Oh2lE2gAAAAsBAAAPAAAAAAAAAAEA&#10;IAAAACIAAABkcnMvZG93bnJldi54bWxQSwECFAAUAAAACACHTuJAO0AUzA0CAAA5BAAADgAAAAAA&#10;AAABACAAAAApAQAAZHJzL2Uyb0RvYy54bWxQSwUGAAAAAAYABgBZAQAAqAUAAAAA&#10;">
                <v:fill on="t" focussize="0,0"/>
                <v:stroke color="#000000" joinstyle="miter"/>
                <v:imagedata o:title=""/>
                <o:lock v:ext="edit" aspectratio="f"/>
                <v:textbox>
                  <w:txbxContent>
                    <w:p w14:paraId="65087711"/>
                  </w:txbxContent>
                </v:textbox>
              </v:shape>
            </w:pict>
          </mc:Fallback>
        </mc:AlternateContent>
      </w:r>
      <w:r>
        <w:rPr>
          <w:sz w:val="32"/>
        </w:rPr>
        <mc:AlternateContent>
          <mc:Choice Requires="wps">
            <w:drawing>
              <wp:anchor distT="0" distB="0" distL="114300" distR="114300" simplePos="0" relativeHeight="251685888" behindDoc="0" locked="0" layoutInCell="1" allowOverlap="1">
                <wp:simplePos x="0" y="0"/>
                <wp:positionH relativeFrom="column">
                  <wp:posOffset>935990</wp:posOffset>
                </wp:positionH>
                <wp:positionV relativeFrom="paragraph">
                  <wp:posOffset>4460875</wp:posOffset>
                </wp:positionV>
                <wp:extent cx="2289810" cy="285750"/>
                <wp:effectExtent l="4445" t="4445" r="10795" b="14605"/>
                <wp:wrapNone/>
                <wp:docPr id="175" name="文本框 175"/>
                <wp:cNvGraphicFramePr/>
                <a:graphic xmlns:a="http://schemas.openxmlformats.org/drawingml/2006/main">
                  <a:graphicData uri="http://schemas.microsoft.com/office/word/2010/wordprocessingShape">
                    <wps:wsp>
                      <wps:cNvSpPr txBox="1"/>
                      <wps:spPr>
                        <a:xfrm>
                          <a:off x="0" y="0"/>
                          <a:ext cx="228981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C1F58AD"/>
                        </w:txbxContent>
                      </wps:txbx>
                      <wps:bodyPr upright="1"/>
                    </wps:wsp>
                  </a:graphicData>
                </a:graphic>
              </wp:anchor>
            </w:drawing>
          </mc:Choice>
          <mc:Fallback>
            <w:pict>
              <v:shape id="_x0000_s1026" o:spid="_x0000_s1026" o:spt="202" type="#_x0000_t202" style="position:absolute;left:0pt;margin-left:73.7pt;margin-top:351.25pt;height:22.5pt;width:180.3pt;z-index:251685888;mso-width-relative:page;mso-height-relative:page;" fillcolor="#FFFFFF" filled="t" stroked="t" coordsize="21600,21600" o:gfxdata="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hsEd+2QAAAAsBAAAPAAAAAAAAAAEA&#10;IAAAACIAAABkcnMvZG93bnJldi54bWxQSwECFAAUAAAACACHTuJAv7SH5g4CAAA6BAAADgAAAAAA&#10;AAABACAAAAAoAQAAZHJzL2Uyb0RvYy54bWxQSwUGAAAAAAYABgBZAQAAqAUAAAAA&#10;">
                <v:fill on="t" focussize="0,0"/>
                <v:stroke color="#000000" joinstyle="miter"/>
                <v:imagedata o:title=""/>
                <o:lock v:ext="edit" aspectratio="f"/>
                <v:textbox>
                  <w:txbxContent>
                    <w:p w14:paraId="3C1F58AD"/>
                  </w:txbxContent>
                </v:textbox>
              </v:shape>
            </w:pict>
          </mc:Fallback>
        </mc:AlternateContent>
      </w:r>
      <w:r>
        <w:rPr>
          <w:sz w:val="32"/>
        </w:rPr>
        <mc:AlternateContent>
          <mc:Choice Requires="wps">
            <w:drawing>
              <wp:anchor distT="0" distB="0" distL="114300" distR="114300" simplePos="0" relativeHeight="251683840" behindDoc="0" locked="0" layoutInCell="1" allowOverlap="1">
                <wp:simplePos x="0" y="0"/>
                <wp:positionH relativeFrom="column">
                  <wp:posOffset>1888490</wp:posOffset>
                </wp:positionH>
                <wp:positionV relativeFrom="paragraph">
                  <wp:posOffset>3889375</wp:posOffset>
                </wp:positionV>
                <wp:extent cx="2289810" cy="285750"/>
                <wp:effectExtent l="4445" t="4445" r="10795" b="14605"/>
                <wp:wrapNone/>
                <wp:docPr id="161" name="文本框 161"/>
                <wp:cNvGraphicFramePr/>
                <a:graphic xmlns:a="http://schemas.openxmlformats.org/drawingml/2006/main">
                  <a:graphicData uri="http://schemas.microsoft.com/office/word/2010/wordprocessingShape">
                    <wps:wsp>
                      <wps:cNvSpPr txBox="1"/>
                      <wps:spPr>
                        <a:xfrm>
                          <a:off x="0" y="0"/>
                          <a:ext cx="228981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93F1710"/>
                        </w:txbxContent>
                      </wps:txbx>
                      <wps:bodyPr upright="1"/>
                    </wps:wsp>
                  </a:graphicData>
                </a:graphic>
              </wp:anchor>
            </w:drawing>
          </mc:Choice>
          <mc:Fallback>
            <w:pict>
              <v:shape id="_x0000_s1026" o:spid="_x0000_s1026" o:spt="202" type="#_x0000_t202" style="position:absolute;left:0pt;margin-left:148.7pt;margin-top:306.25pt;height:22.5pt;width:180.3pt;z-index:251683840;mso-width-relative:page;mso-height-relative:page;" fillcolor="#FFFFFF" filled="t" stroked="t" coordsize="21600,21600" o:gfxdata="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9CiftoAAAALAQAADwAAAAAAAAAB&#10;ACAAAAAiAAAAZHJzL2Rvd25yZXYueG1sUEsBAhQAFAAAAAgAh07iQDSk/ukOAgAAOgQAAA4AAAAA&#10;AAAAAQAgAAAAKQEAAGRycy9lMm9Eb2MueG1sUEsFBgAAAAAGAAYAWQEAAKkFAAAAAA==&#10;">
                <v:fill on="t" focussize="0,0"/>
                <v:stroke color="#000000" joinstyle="miter"/>
                <v:imagedata o:title=""/>
                <o:lock v:ext="edit" aspectratio="f"/>
                <v:textbox>
                  <w:txbxContent>
                    <w:p w14:paraId="293F1710"/>
                  </w:txbxContent>
                </v:textbox>
              </v:shape>
            </w:pict>
          </mc:Fallback>
        </mc:AlternateContent>
      </w:r>
      <w:r>
        <w:rPr>
          <w:sz w:val="32"/>
        </w:rPr>
        <mc:AlternateContent>
          <mc:Choice Requires="wps">
            <w:drawing>
              <wp:anchor distT="0" distB="0" distL="114300" distR="114300" simplePos="0" relativeHeight="251682816" behindDoc="0" locked="0" layoutInCell="1" allowOverlap="1">
                <wp:simplePos x="0" y="0"/>
                <wp:positionH relativeFrom="column">
                  <wp:posOffset>1307465</wp:posOffset>
                </wp:positionH>
                <wp:positionV relativeFrom="paragraph">
                  <wp:posOffset>1689100</wp:posOffset>
                </wp:positionV>
                <wp:extent cx="1452245" cy="285750"/>
                <wp:effectExtent l="4445" t="4445" r="10160" b="14605"/>
                <wp:wrapNone/>
                <wp:docPr id="151" name="文本框 151"/>
                <wp:cNvGraphicFramePr/>
                <a:graphic xmlns:a="http://schemas.openxmlformats.org/drawingml/2006/main">
                  <a:graphicData uri="http://schemas.microsoft.com/office/word/2010/wordprocessingShape">
                    <wps:wsp>
                      <wps:cNvSpPr txBox="1"/>
                      <wps:spPr>
                        <a:xfrm>
                          <a:off x="0" y="0"/>
                          <a:ext cx="1452245"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255FEE0"/>
                        </w:txbxContent>
                      </wps:txbx>
                      <wps:bodyPr upright="1"/>
                    </wps:wsp>
                  </a:graphicData>
                </a:graphic>
              </wp:anchor>
            </w:drawing>
          </mc:Choice>
          <mc:Fallback>
            <w:pict>
              <v:shape id="_x0000_s1026" o:spid="_x0000_s1026" o:spt="202" type="#_x0000_t202" style="position:absolute;left:0pt;margin-left:102.95pt;margin-top:133pt;height:22.5pt;width:114.35pt;z-index:251682816;mso-width-relative:page;mso-height-relative:page;" fillcolor="#FFFFFF" filled="t" stroked="t" coordsize="21600,21600" o:gfxdata="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Rcylo2gAAAAsBAAAPAAAAAAAAAAEA&#10;IAAAACIAAABkcnMvZG93bnJldi54bWxQSwECFAAUAAAACACHTuJAELoTkQ0CAAA6BAAADgAAAAAA&#10;AAABACAAAAApAQAAZHJzL2Uyb0RvYy54bWxQSwUGAAAAAAYABgBZAQAAqAUAAAAA&#10;">
                <v:fill on="t" focussize="0,0"/>
                <v:stroke color="#000000" joinstyle="miter"/>
                <v:imagedata o:title=""/>
                <o:lock v:ext="edit" aspectratio="f"/>
                <v:textbox>
                  <w:txbxContent>
                    <w:p w14:paraId="7255FEE0"/>
                  </w:txbxContent>
                </v:textbox>
              </v:shape>
            </w:pict>
          </mc:Fallback>
        </mc:AlternateContent>
      </w:r>
      <w:r>
        <w:rPr>
          <w:rFonts w:hint="eastAsia" w:ascii="Times New Roman" w:hAnsi="Times New Roman" w:eastAsia="楷体_GB2312" w:cs="Times New Roman"/>
          <w:b w:val="0"/>
          <w:bCs w:val="0"/>
          <w:iCs w:val="0"/>
          <w:sz w:val="36"/>
          <w:szCs w:val="36"/>
          <w:lang w:eastAsia="zh-CN"/>
        </w:rPr>
        <w:drawing>
          <wp:inline distT="0" distB="0" distL="114300" distR="114300">
            <wp:extent cx="5615940" cy="7942580"/>
            <wp:effectExtent l="0" t="0" r="3810" b="1270"/>
            <wp:docPr id="162" name="图片 162" descr="doc0062322026012110091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doc00623220260121100913_01"/>
                    <pic:cNvPicPr>
                      <a:picLocks noChangeAspect="1"/>
                    </pic:cNvPicPr>
                  </pic:nvPicPr>
                  <pic:blipFill>
                    <a:blip r:embed="rId12"/>
                    <a:stretch>
                      <a:fillRect/>
                    </a:stretch>
                  </pic:blipFill>
                  <pic:spPr>
                    <a:xfrm>
                      <a:off x="0" y="0"/>
                      <a:ext cx="5615940" cy="7942580"/>
                    </a:xfrm>
                    <a:prstGeom prst="rect">
                      <a:avLst/>
                    </a:prstGeom>
                  </pic:spPr>
                </pic:pic>
              </a:graphicData>
            </a:graphic>
          </wp:inline>
        </w:drawing>
      </w:r>
      <w:r>
        <w:rPr>
          <w:sz w:val="32"/>
        </w:rPr>
        <mc:AlternateContent>
          <mc:Choice Requires="wps">
            <w:drawing>
              <wp:anchor distT="0" distB="0" distL="114300" distR="114300" simplePos="0" relativeHeight="251681792" behindDoc="0" locked="0" layoutInCell="1" allowOverlap="1">
                <wp:simplePos x="0" y="0"/>
                <wp:positionH relativeFrom="column">
                  <wp:posOffset>3126740</wp:posOffset>
                </wp:positionH>
                <wp:positionV relativeFrom="paragraph">
                  <wp:posOffset>4956175</wp:posOffset>
                </wp:positionV>
                <wp:extent cx="1976755" cy="1657350"/>
                <wp:effectExtent l="4445" t="4445" r="19050" b="14605"/>
                <wp:wrapNone/>
                <wp:docPr id="142" name="文本框 142"/>
                <wp:cNvGraphicFramePr/>
                <a:graphic xmlns:a="http://schemas.openxmlformats.org/drawingml/2006/main">
                  <a:graphicData uri="http://schemas.microsoft.com/office/word/2010/wordprocessingShape">
                    <wps:wsp>
                      <wps:cNvSpPr txBox="1"/>
                      <wps:spPr>
                        <a:xfrm>
                          <a:off x="0" y="0"/>
                          <a:ext cx="1976755" cy="16573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E181B84"/>
                        </w:txbxContent>
                      </wps:txbx>
                      <wps:bodyPr upright="1"/>
                    </wps:wsp>
                  </a:graphicData>
                </a:graphic>
              </wp:anchor>
            </w:drawing>
          </mc:Choice>
          <mc:Fallback>
            <w:pict>
              <v:shape id="_x0000_s1026" o:spid="_x0000_s1026" o:spt="202" type="#_x0000_t202" style="position:absolute;left:0pt;margin-left:246.2pt;margin-top:390.25pt;height:130.5pt;width:155.65pt;z-index:251681792;mso-width-relative:page;mso-height-relative:page;" fillcolor="#FFFFFF" filled="t" stroked="t" coordsize="21600,21600" o:gfxdata="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T8JKo2wAAAAwBAAAPAAAAAAAA&#10;AAEAIAAAACIAAABkcnMvZG93bnJldi54bWxQSwECFAAUAAAACACHTuJAYrIfow8CAAA7BAAADgAA&#10;AAAAAAABACAAAAAqAQAAZHJzL2Uyb0RvYy54bWxQSwUGAAAAAAYABgBZAQAAqwUAAAAA&#10;">
                <v:fill on="t" focussize="0,0"/>
                <v:stroke color="#000000" joinstyle="miter"/>
                <v:imagedata o:title=""/>
                <o:lock v:ext="edit" aspectratio="f"/>
                <v:textbox>
                  <w:txbxContent>
                    <w:p w14:paraId="3E181B84"/>
                  </w:txbxContent>
                </v:textbox>
              </v:shape>
            </w:pict>
          </mc:Fallback>
        </mc:AlternateContent>
      </w:r>
      <w:r>
        <w:rPr>
          <w:sz w:val="32"/>
        </w:rPr>
        <mc:AlternateContent>
          <mc:Choice Requires="wps">
            <w:drawing>
              <wp:anchor distT="0" distB="0" distL="114300" distR="114300" simplePos="0" relativeHeight="251680768" behindDoc="0" locked="0" layoutInCell="1" allowOverlap="1">
                <wp:simplePos x="0" y="0"/>
                <wp:positionH relativeFrom="column">
                  <wp:posOffset>393065</wp:posOffset>
                </wp:positionH>
                <wp:positionV relativeFrom="paragraph">
                  <wp:posOffset>4908550</wp:posOffset>
                </wp:positionV>
                <wp:extent cx="1195705" cy="1657350"/>
                <wp:effectExtent l="4445" t="4445" r="19050" b="14605"/>
                <wp:wrapNone/>
                <wp:docPr id="133" name="文本框 133"/>
                <wp:cNvGraphicFramePr/>
                <a:graphic xmlns:a="http://schemas.openxmlformats.org/drawingml/2006/main">
                  <a:graphicData uri="http://schemas.microsoft.com/office/word/2010/wordprocessingShape">
                    <wps:wsp>
                      <wps:cNvSpPr txBox="1"/>
                      <wps:spPr>
                        <a:xfrm>
                          <a:off x="0" y="0"/>
                          <a:ext cx="1195705" cy="16573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96DCF6B"/>
                        </w:txbxContent>
                      </wps:txbx>
                      <wps:bodyPr upright="1"/>
                    </wps:wsp>
                  </a:graphicData>
                </a:graphic>
              </wp:anchor>
            </w:drawing>
          </mc:Choice>
          <mc:Fallback>
            <w:pict>
              <v:shape id="_x0000_s1026" o:spid="_x0000_s1026" o:spt="202" type="#_x0000_t202" style="position:absolute;left:0pt;margin-left:30.95pt;margin-top:386.5pt;height:130.5pt;width:94.15pt;z-index:251680768;mso-width-relative:page;mso-height-relative:page;" fillcolor="#FFFFFF" filled="t" stroked="t" coordsize="21600,21600" o:gfxdata="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pYvJPaAAAACwEAAA8AAAAAAAAA&#10;AQAgAAAAIgAAAGRycy9kb3ducmV2LnhtbFBLAQIUABQAAAAIAIdO4kD5TLkFDwIAADsEAAAOAAAA&#10;AAAAAAEAIAAAACkBAABkcnMvZTJvRG9jLnhtbFBLBQYAAAAABgAGAFkBAACqBQAAAAA=&#10;">
                <v:fill on="t" focussize="0,0"/>
                <v:stroke color="#000000" joinstyle="miter"/>
                <v:imagedata o:title=""/>
                <o:lock v:ext="edit" aspectratio="f"/>
                <v:textbox>
                  <w:txbxContent>
                    <w:p w14:paraId="296DCF6B"/>
                  </w:txbxContent>
                </v:textbox>
              </v:shape>
            </w:pict>
          </mc:Fallback>
        </mc:AlternateContent>
      </w:r>
      <w:r>
        <w:rPr>
          <w:sz w:val="32"/>
        </w:rPr>
        <mc:AlternateContent>
          <mc:Choice Requires="wps">
            <w:drawing>
              <wp:anchor distT="0" distB="0" distL="114300" distR="114300" simplePos="0" relativeHeight="251679744" behindDoc="0" locked="0" layoutInCell="1" allowOverlap="1">
                <wp:simplePos x="0" y="0"/>
                <wp:positionH relativeFrom="column">
                  <wp:posOffset>2002790</wp:posOffset>
                </wp:positionH>
                <wp:positionV relativeFrom="paragraph">
                  <wp:posOffset>2422525</wp:posOffset>
                </wp:positionV>
                <wp:extent cx="1518285" cy="1228725"/>
                <wp:effectExtent l="4445" t="4445" r="20320" b="5080"/>
                <wp:wrapNone/>
                <wp:docPr id="118" name="文本框 118"/>
                <wp:cNvGraphicFramePr/>
                <a:graphic xmlns:a="http://schemas.openxmlformats.org/drawingml/2006/main">
                  <a:graphicData uri="http://schemas.microsoft.com/office/word/2010/wordprocessingShape">
                    <wps:wsp>
                      <wps:cNvSpPr txBox="1"/>
                      <wps:spPr>
                        <a:xfrm>
                          <a:off x="0" y="0"/>
                          <a:ext cx="1518285" cy="12287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C9F94F8"/>
                        </w:txbxContent>
                      </wps:txbx>
                      <wps:bodyPr upright="1"/>
                    </wps:wsp>
                  </a:graphicData>
                </a:graphic>
              </wp:anchor>
            </w:drawing>
          </mc:Choice>
          <mc:Fallback>
            <w:pict>
              <v:shape id="_x0000_s1026" o:spid="_x0000_s1026" o:spt="202" type="#_x0000_t202" style="position:absolute;left:0pt;margin-left:157.7pt;margin-top:190.75pt;height:96.75pt;width:119.55pt;z-index:251679744;mso-width-relative:page;mso-height-relative:page;" fillcolor="#FFFFFF" filled="t" stroked="t" coordsize="21600,21600" o:gfxdata="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0xIm02QAAAAsBAAAPAAAAAAAAAAEAIAAA&#10;ACIAAABkcnMvZG93bnJldi54bWxQSwECFAAUAAAACACHTuJAFfsqiQsCAAA7BAAADgAAAAAAAAAB&#10;ACAAAAAoAQAAZHJzL2Uyb0RvYy54bWxQSwUGAAAAAAYABgBZAQAApQUAAAAA&#10;">
                <v:fill on="t" focussize="0,0"/>
                <v:stroke color="#000000" joinstyle="miter"/>
                <v:imagedata o:title=""/>
                <o:lock v:ext="edit" aspectratio="f"/>
                <v:textbox>
                  <w:txbxContent>
                    <w:p w14:paraId="2C9F94F8"/>
                  </w:txbxContent>
                </v:textbox>
              </v:shape>
            </w:pict>
          </mc:Fallback>
        </mc:AlternateContent>
      </w:r>
      <w:r>
        <w:drawing>
          <wp:inline distT="0" distB="0" distL="114300" distR="114300">
            <wp:extent cx="5612765" cy="7861300"/>
            <wp:effectExtent l="0" t="0" r="6985" b="6350"/>
            <wp:docPr id="2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8"/>
                    <pic:cNvPicPr>
                      <a:picLocks noChangeAspect="1"/>
                    </pic:cNvPicPr>
                  </pic:nvPicPr>
                  <pic:blipFill>
                    <a:blip r:embed="rId13"/>
                    <a:stretch>
                      <a:fillRect/>
                    </a:stretch>
                  </pic:blipFill>
                  <pic:spPr>
                    <a:xfrm>
                      <a:off x="0" y="0"/>
                      <a:ext cx="5612765" cy="7861300"/>
                    </a:xfrm>
                    <a:prstGeom prst="rect">
                      <a:avLst/>
                    </a:prstGeom>
                    <a:noFill/>
                    <a:ln>
                      <a:noFill/>
                    </a:ln>
                  </pic:spPr>
                </pic:pic>
              </a:graphicData>
            </a:graphic>
          </wp:inline>
        </w:drawing>
      </w:r>
      <w:r>
        <w:rPr>
          <w:sz w:val="32"/>
        </w:rPr>
        <mc:AlternateContent>
          <mc:Choice Requires="wps">
            <w:drawing>
              <wp:anchor distT="0" distB="0" distL="114300" distR="114300" simplePos="0" relativeHeight="251691008" behindDoc="0" locked="0" layoutInCell="1" allowOverlap="1">
                <wp:simplePos x="0" y="0"/>
                <wp:positionH relativeFrom="column">
                  <wp:posOffset>1254760</wp:posOffset>
                </wp:positionH>
                <wp:positionV relativeFrom="paragraph">
                  <wp:posOffset>3270250</wp:posOffset>
                </wp:positionV>
                <wp:extent cx="1462405" cy="614680"/>
                <wp:effectExtent l="4445" t="5080" r="19050" b="8890"/>
                <wp:wrapNone/>
                <wp:docPr id="180" name="文本框 180"/>
                <wp:cNvGraphicFramePr/>
                <a:graphic xmlns:a="http://schemas.openxmlformats.org/drawingml/2006/main">
                  <a:graphicData uri="http://schemas.microsoft.com/office/word/2010/wordprocessingShape">
                    <wps:wsp>
                      <wps:cNvSpPr txBox="1"/>
                      <wps:spPr>
                        <a:xfrm>
                          <a:off x="0" y="0"/>
                          <a:ext cx="1462405" cy="6146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BE40CC3"/>
                        </w:txbxContent>
                      </wps:txbx>
                      <wps:bodyPr upright="1"/>
                    </wps:wsp>
                  </a:graphicData>
                </a:graphic>
              </wp:anchor>
            </w:drawing>
          </mc:Choice>
          <mc:Fallback>
            <w:pict>
              <v:shape id="_x0000_s1026" o:spid="_x0000_s1026" o:spt="202" type="#_x0000_t202" style="position:absolute;left:0pt;margin-left:98.8pt;margin-top:257.5pt;height:48.4pt;width:115.15pt;z-index:251691008;mso-width-relative:page;mso-height-relative:page;" fillcolor="#FFFFFF" filled="t" stroked="t" coordsize="21600,21600" o:gfxdata="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MQ0U0DZAAAACwEAAA8AAAAAAAAAAQAgAAAA&#10;IgAAAGRycy9kb3ducmV2LnhtbFBLAQIUABQAAAAIAIdO4kCfw8x3CgIAADoEAAAOAAAAAAAAAAEA&#10;IAAAACgBAABkcnMvZTJvRG9jLnhtbFBLBQYAAAAABgAGAFkBAACkBQAAAAA=&#10;">
                <v:fill on="t" focussize="0,0"/>
                <v:stroke color="#000000" joinstyle="miter"/>
                <v:imagedata o:title=""/>
                <o:lock v:ext="edit" aspectratio="f"/>
                <v:textbox>
                  <w:txbxContent>
                    <w:p w14:paraId="1BE40CC3"/>
                  </w:txbxContent>
                </v:textbox>
              </v:shape>
            </w:pict>
          </mc:Fallback>
        </mc:AlternateContent>
      </w:r>
      <w:r>
        <w:rPr>
          <w:sz w:val="32"/>
        </w:rPr>
        <mc:AlternateContent>
          <mc:Choice Requires="wps">
            <w:drawing>
              <wp:anchor distT="0" distB="0" distL="114300" distR="114300" simplePos="0" relativeHeight="251689984" behindDoc="0" locked="0" layoutInCell="1" allowOverlap="1">
                <wp:simplePos x="0" y="0"/>
                <wp:positionH relativeFrom="column">
                  <wp:posOffset>3607435</wp:posOffset>
                </wp:positionH>
                <wp:positionV relativeFrom="paragraph">
                  <wp:posOffset>1384935</wp:posOffset>
                </wp:positionV>
                <wp:extent cx="1262380" cy="1528445"/>
                <wp:effectExtent l="4445" t="4445" r="9525" b="10160"/>
                <wp:wrapNone/>
                <wp:docPr id="179" name="文本框 179"/>
                <wp:cNvGraphicFramePr/>
                <a:graphic xmlns:a="http://schemas.openxmlformats.org/drawingml/2006/main">
                  <a:graphicData uri="http://schemas.microsoft.com/office/word/2010/wordprocessingShape">
                    <wps:wsp>
                      <wps:cNvSpPr txBox="1"/>
                      <wps:spPr>
                        <a:xfrm>
                          <a:off x="0" y="0"/>
                          <a:ext cx="1262380" cy="15284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02E097E"/>
                        </w:txbxContent>
                      </wps:txbx>
                      <wps:bodyPr upright="1"/>
                    </wps:wsp>
                  </a:graphicData>
                </a:graphic>
              </wp:anchor>
            </w:drawing>
          </mc:Choice>
          <mc:Fallback>
            <w:pict>
              <v:shape id="_x0000_s1026" o:spid="_x0000_s1026" o:spt="202" type="#_x0000_t202" style="position:absolute;left:0pt;margin-left:284.05pt;margin-top:109.05pt;height:120.35pt;width:99.4pt;z-index:251689984;mso-width-relative:page;mso-height-relative:page;" fillcolor="#FFFFFF" filled="t" stroked="t" coordsize="21600,21600" o:gfxdata="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WZNfVNsAAAALAQAADwAAAAAAAAAB&#10;ACAAAAAiAAAAZHJzL2Rvd25yZXYueG1sUEsBAhQAFAAAAAgAh07iQAKWO2cNAgAAOwQAAA4AAAAA&#10;AAAAAQAgAAAAKgEAAGRycy9lMm9Eb2MueG1sUEsFBgAAAAAGAAYAWQEAAKkFAAAAAA==&#10;">
                <v:fill on="t" focussize="0,0"/>
                <v:stroke color="#000000" joinstyle="miter"/>
                <v:imagedata o:title=""/>
                <o:lock v:ext="edit" aspectratio="f"/>
                <v:textbox>
                  <w:txbxContent>
                    <w:p w14:paraId="102E097E"/>
                  </w:txbxContent>
                </v:textbox>
              </v:shape>
            </w:pict>
          </mc:Fallback>
        </mc:AlternateContent>
      </w:r>
      <w:r>
        <w:rPr>
          <w:sz w:val="32"/>
        </w:rPr>
        <mc:AlternateContent>
          <mc:Choice Requires="wps">
            <w:drawing>
              <wp:anchor distT="0" distB="0" distL="114300" distR="114300" simplePos="0" relativeHeight="251688960" behindDoc="0" locked="0" layoutInCell="1" allowOverlap="1">
                <wp:simplePos x="0" y="0"/>
                <wp:positionH relativeFrom="column">
                  <wp:posOffset>1340485</wp:posOffset>
                </wp:positionH>
                <wp:positionV relativeFrom="paragraph">
                  <wp:posOffset>1280160</wp:posOffset>
                </wp:positionV>
                <wp:extent cx="1262380" cy="1528445"/>
                <wp:effectExtent l="4445" t="4445" r="9525" b="10160"/>
                <wp:wrapNone/>
                <wp:docPr id="178" name="文本框 178"/>
                <wp:cNvGraphicFramePr/>
                <a:graphic xmlns:a="http://schemas.openxmlformats.org/drawingml/2006/main">
                  <a:graphicData uri="http://schemas.microsoft.com/office/word/2010/wordprocessingShape">
                    <wps:wsp>
                      <wps:cNvSpPr txBox="1"/>
                      <wps:spPr>
                        <a:xfrm>
                          <a:off x="0" y="0"/>
                          <a:ext cx="1262380" cy="15284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AE923FB"/>
                        </w:txbxContent>
                      </wps:txbx>
                      <wps:bodyPr upright="1"/>
                    </wps:wsp>
                  </a:graphicData>
                </a:graphic>
              </wp:anchor>
            </w:drawing>
          </mc:Choice>
          <mc:Fallback>
            <w:pict>
              <v:shape id="_x0000_s1026" o:spid="_x0000_s1026" o:spt="202" type="#_x0000_t202" style="position:absolute;left:0pt;margin-left:105.55pt;margin-top:100.8pt;height:120.35pt;width:99.4pt;z-index:251688960;mso-width-relative:page;mso-height-relative:page;" fillcolor="#FFFFFF" filled="t" stroked="t" coordsize="21600,21600" o:gfxdata="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q+rJjtkAAAALAQAADwAAAAAAAAABACAA&#10;AAAiAAAAZHJzL2Rvd25yZXYueG1sUEsBAhQAFAAAAAgAh07iQCf9YGsMAgAAOwQAAA4AAAAAAAAA&#10;AQAgAAAAKAEAAGRycy9lMm9Eb2MueG1sUEsFBgAAAAAGAAYAWQEAAKYFAAAAAA==&#10;">
                <v:fill on="t" focussize="0,0"/>
                <v:stroke color="#000000" joinstyle="miter"/>
                <v:imagedata o:title=""/>
                <o:lock v:ext="edit" aspectratio="f"/>
                <v:textbox>
                  <w:txbxContent>
                    <w:p w14:paraId="7AE923FB"/>
                  </w:txbxContent>
                </v:textbox>
              </v:shape>
            </w:pict>
          </mc:Fallback>
        </mc:AlternateContent>
      </w:r>
      <w:r>
        <w:rPr>
          <w:rFonts w:hint="eastAsia" w:ascii="Times New Roman" w:hAnsi="Times New Roman" w:eastAsia="楷体_GB2312" w:cs="Times New Roman"/>
          <w:b w:val="0"/>
          <w:bCs w:val="0"/>
          <w:iCs w:val="0"/>
          <w:sz w:val="36"/>
          <w:szCs w:val="36"/>
          <w:lang w:eastAsia="zh-CN"/>
        </w:rPr>
        <w:drawing>
          <wp:inline distT="0" distB="0" distL="114300" distR="114300">
            <wp:extent cx="5615940" cy="7942580"/>
            <wp:effectExtent l="0" t="0" r="3810" b="1270"/>
            <wp:docPr id="160" name="图片 160" descr="doc0062322026012110091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doc00623220260121100913_03"/>
                    <pic:cNvPicPr>
                      <a:picLocks noChangeAspect="1"/>
                    </pic:cNvPicPr>
                  </pic:nvPicPr>
                  <pic:blipFill>
                    <a:blip r:embed="rId14"/>
                    <a:stretch>
                      <a:fillRect/>
                    </a:stretch>
                  </pic:blipFill>
                  <pic:spPr>
                    <a:xfrm>
                      <a:off x="0" y="0"/>
                      <a:ext cx="5615940" cy="7942580"/>
                    </a:xfrm>
                    <a:prstGeom prst="rect">
                      <a:avLst/>
                    </a:prstGeom>
                  </pic:spPr>
                </pic:pic>
              </a:graphicData>
            </a:graphic>
          </wp:inline>
        </w:drawing>
      </w:r>
      <w:r>
        <w:rPr>
          <w:rFonts w:hint="eastAsia" w:ascii="Times New Roman" w:hAnsi="Times New Roman" w:eastAsia="楷体_GB2312" w:cs="Times New Roman"/>
          <w:b w:val="0"/>
          <w:bCs w:val="0"/>
          <w:iCs w:val="0"/>
          <w:sz w:val="36"/>
          <w:szCs w:val="36"/>
          <w:lang w:eastAsia="zh-CN"/>
        </w:rPr>
        <w:drawing>
          <wp:inline distT="0" distB="0" distL="114300" distR="114300">
            <wp:extent cx="5615940" cy="7942580"/>
            <wp:effectExtent l="0" t="0" r="3810" b="1270"/>
            <wp:docPr id="159" name="图片 159" descr="doc00623220260121100913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doc00623220260121100913_04"/>
                    <pic:cNvPicPr>
                      <a:picLocks noChangeAspect="1"/>
                    </pic:cNvPicPr>
                  </pic:nvPicPr>
                  <pic:blipFill>
                    <a:blip r:embed="rId15"/>
                    <a:stretch>
                      <a:fillRect/>
                    </a:stretch>
                  </pic:blipFill>
                  <pic:spPr>
                    <a:xfrm>
                      <a:off x="0" y="0"/>
                      <a:ext cx="5615940" cy="7942580"/>
                    </a:xfrm>
                    <a:prstGeom prst="rect">
                      <a:avLst/>
                    </a:prstGeom>
                  </pic:spPr>
                </pic:pic>
              </a:graphicData>
            </a:graphic>
          </wp:inline>
        </w:drawing>
      </w:r>
      <w:r>
        <w:rPr>
          <w:sz w:val="32"/>
        </w:rPr>
        <mc:AlternateContent>
          <mc:Choice Requires="wps">
            <w:drawing>
              <wp:anchor distT="0" distB="0" distL="114300" distR="114300" simplePos="0" relativeHeight="251692032" behindDoc="0" locked="0" layoutInCell="1" allowOverlap="1">
                <wp:simplePos x="0" y="0"/>
                <wp:positionH relativeFrom="column">
                  <wp:posOffset>1348105</wp:posOffset>
                </wp:positionH>
                <wp:positionV relativeFrom="paragraph">
                  <wp:posOffset>1534160</wp:posOffset>
                </wp:positionV>
                <wp:extent cx="1524000" cy="301625"/>
                <wp:effectExtent l="4445" t="4445" r="14605" b="17780"/>
                <wp:wrapNone/>
                <wp:docPr id="181" name="文本框 181"/>
                <wp:cNvGraphicFramePr/>
                <a:graphic xmlns:a="http://schemas.openxmlformats.org/drawingml/2006/main">
                  <a:graphicData uri="http://schemas.microsoft.com/office/word/2010/wordprocessingShape">
                    <wps:wsp>
                      <wps:cNvSpPr txBox="1"/>
                      <wps:spPr>
                        <a:xfrm>
                          <a:off x="0" y="0"/>
                          <a:ext cx="1524000" cy="3016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C4E5DC7"/>
                        </w:txbxContent>
                      </wps:txbx>
                      <wps:bodyPr upright="1"/>
                    </wps:wsp>
                  </a:graphicData>
                </a:graphic>
              </wp:anchor>
            </w:drawing>
          </mc:Choice>
          <mc:Fallback>
            <w:pict>
              <v:shape id="_x0000_s1026" o:spid="_x0000_s1026" o:spt="202" type="#_x0000_t202" style="position:absolute;left:0pt;margin-left:106.15pt;margin-top:120.8pt;height:23.75pt;width:120pt;z-index:251692032;mso-width-relative:page;mso-height-relative:page;" fillcolor="#FFFFFF" filled="t" stroked="t" coordsize="21600,21600" o:gfxdata="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38Uvg2QAAAAsBAAAPAAAAAAAAAAEA&#10;IAAAACIAAABkcnMvZG93bnJldi54bWxQSwECFAAUAAAACACHTuJA9yrp3A4CAAA6BAAADgAAAAAA&#10;AAABACAAAAAoAQAAZHJzL2Uyb0RvYy54bWxQSwUGAAAAAAYABgBZAQAAqAUAAAAA&#10;">
                <v:fill on="t" focussize="0,0"/>
                <v:stroke color="#000000" joinstyle="miter"/>
                <v:imagedata o:title=""/>
                <o:lock v:ext="edit" aspectratio="f"/>
                <v:textbox>
                  <w:txbxContent>
                    <w:p w14:paraId="5C4E5DC7"/>
                  </w:txbxContent>
                </v:textbox>
              </v:shape>
            </w:pict>
          </mc:Fallback>
        </mc:AlternateContent>
      </w:r>
      <w:r>
        <w:rPr>
          <w:rFonts w:hint="eastAsia" w:ascii="Times New Roman" w:hAnsi="Times New Roman" w:eastAsia="楷体_GB2312" w:cs="Times New Roman"/>
          <w:b w:val="0"/>
          <w:bCs w:val="0"/>
          <w:iCs w:val="0"/>
          <w:sz w:val="36"/>
          <w:szCs w:val="36"/>
          <w:lang w:eastAsia="zh-CN"/>
        </w:rPr>
        <w:drawing>
          <wp:inline distT="0" distB="0" distL="114300" distR="114300">
            <wp:extent cx="5615940" cy="7942580"/>
            <wp:effectExtent l="0" t="0" r="3810" b="1270"/>
            <wp:docPr id="158" name="图片 158" descr="doc00623220260121100913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doc00623220260121100913_05"/>
                    <pic:cNvPicPr>
                      <a:picLocks noChangeAspect="1"/>
                    </pic:cNvPicPr>
                  </pic:nvPicPr>
                  <pic:blipFill>
                    <a:blip r:embed="rId16"/>
                    <a:stretch>
                      <a:fillRect/>
                    </a:stretch>
                  </pic:blipFill>
                  <pic:spPr>
                    <a:xfrm>
                      <a:off x="0" y="0"/>
                      <a:ext cx="5615940" cy="7942580"/>
                    </a:xfrm>
                    <a:prstGeom prst="rect">
                      <a:avLst/>
                    </a:prstGeom>
                  </pic:spPr>
                </pic:pic>
              </a:graphicData>
            </a:graphic>
          </wp:inline>
        </w:drawing>
      </w:r>
      <w:r>
        <w:rPr>
          <w:sz w:val="32"/>
        </w:rPr>
        <mc:AlternateContent>
          <mc:Choice Requires="wps">
            <w:drawing>
              <wp:anchor distT="0" distB="0" distL="114300" distR="114300" simplePos="0" relativeHeight="251696128" behindDoc="0" locked="0" layoutInCell="1" allowOverlap="1">
                <wp:simplePos x="0" y="0"/>
                <wp:positionH relativeFrom="column">
                  <wp:posOffset>3479800</wp:posOffset>
                </wp:positionH>
                <wp:positionV relativeFrom="paragraph">
                  <wp:posOffset>5573395</wp:posOffset>
                </wp:positionV>
                <wp:extent cx="1440815" cy="466725"/>
                <wp:effectExtent l="4445" t="4445" r="21590" b="5080"/>
                <wp:wrapNone/>
                <wp:docPr id="186" name="文本框 186"/>
                <wp:cNvGraphicFramePr/>
                <a:graphic xmlns:a="http://schemas.openxmlformats.org/drawingml/2006/main">
                  <a:graphicData uri="http://schemas.microsoft.com/office/word/2010/wordprocessingShape">
                    <wps:wsp>
                      <wps:cNvSpPr txBox="1"/>
                      <wps:spPr>
                        <a:xfrm>
                          <a:off x="0" y="0"/>
                          <a:ext cx="1440815" cy="4667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D2CCF0D"/>
                        </w:txbxContent>
                      </wps:txbx>
                      <wps:bodyPr upright="1"/>
                    </wps:wsp>
                  </a:graphicData>
                </a:graphic>
              </wp:anchor>
            </w:drawing>
          </mc:Choice>
          <mc:Fallback>
            <w:pict>
              <v:shape id="_x0000_s1026" o:spid="_x0000_s1026" o:spt="202" type="#_x0000_t202" style="position:absolute;left:0pt;margin-left:274pt;margin-top:438.85pt;height:36.75pt;width:113.45pt;z-index:251696128;mso-width-relative:page;mso-height-relative:page;" fillcolor="#FFFFFF" filled="t" stroked="t" coordsize="21600,21600" o:gfxdata="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9CzkvaAAAACwEAAA8AAAAAAAAAAQAg&#10;AAAAIgAAAGRycy9kb3ducmV2LnhtbFBLAQIUABQAAAAIAIdO4kAcT5I/DAIAADoEAAAOAAAAAAAA&#10;AAEAIAAAACkBAABkcnMvZTJvRG9jLnhtbFBLBQYAAAAABgAGAFkBAACnBQAAAAA=&#10;">
                <v:fill on="t" focussize="0,0"/>
                <v:stroke color="#000000" joinstyle="miter"/>
                <v:imagedata o:title=""/>
                <o:lock v:ext="edit" aspectratio="f"/>
                <v:textbox>
                  <w:txbxContent>
                    <w:p w14:paraId="3D2CCF0D"/>
                  </w:txbxContent>
                </v:textbox>
              </v:shape>
            </w:pict>
          </mc:Fallback>
        </mc:AlternateContent>
      </w:r>
      <w:r>
        <w:rPr>
          <w:sz w:val="32"/>
        </w:rPr>
        <mc:AlternateContent>
          <mc:Choice Requires="wps">
            <w:drawing>
              <wp:anchor distT="0" distB="0" distL="114300" distR="114300" simplePos="0" relativeHeight="251695104" behindDoc="0" locked="0" layoutInCell="1" allowOverlap="1">
                <wp:simplePos x="0" y="0"/>
                <wp:positionH relativeFrom="column">
                  <wp:posOffset>2441575</wp:posOffset>
                </wp:positionH>
                <wp:positionV relativeFrom="paragraph">
                  <wp:posOffset>1925320</wp:posOffset>
                </wp:positionV>
                <wp:extent cx="1440815" cy="209550"/>
                <wp:effectExtent l="4445" t="4445" r="21590" b="14605"/>
                <wp:wrapNone/>
                <wp:docPr id="185" name="文本框 185"/>
                <wp:cNvGraphicFramePr/>
                <a:graphic xmlns:a="http://schemas.openxmlformats.org/drawingml/2006/main">
                  <a:graphicData uri="http://schemas.microsoft.com/office/word/2010/wordprocessingShape">
                    <wps:wsp>
                      <wps:cNvSpPr txBox="1"/>
                      <wps:spPr>
                        <a:xfrm>
                          <a:off x="0" y="0"/>
                          <a:ext cx="1440815" cy="2095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0DA258F"/>
                        </w:txbxContent>
                      </wps:txbx>
                      <wps:bodyPr upright="1"/>
                    </wps:wsp>
                  </a:graphicData>
                </a:graphic>
              </wp:anchor>
            </w:drawing>
          </mc:Choice>
          <mc:Fallback>
            <w:pict>
              <v:shape id="_x0000_s1026" o:spid="_x0000_s1026" o:spt="202" type="#_x0000_t202" style="position:absolute;left:0pt;margin-left:192.25pt;margin-top:151.6pt;height:16.5pt;width:113.45pt;z-index:251695104;mso-width-relative:page;mso-height-relative:page;" fillcolor="#FFFFFF" filled="t" stroked="t" coordsize="21600,21600" o:gfxdata="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X9nSjZAAAACwEAAA8AAAAAAAAAAQAg&#10;AAAAIgAAAGRycy9kb3ducmV2LnhtbFBLAQIUABQAAAAIAIdO4kAUELzZDQIAADoEAAAOAAAAAAAA&#10;AAEAIAAAACgBAABkcnMvZTJvRG9jLnhtbFBLBQYAAAAABgAGAFkBAACnBQAAAAA=&#10;">
                <v:fill on="t" focussize="0,0"/>
                <v:stroke color="#000000" joinstyle="miter"/>
                <v:imagedata o:title=""/>
                <o:lock v:ext="edit" aspectratio="f"/>
                <v:textbox>
                  <w:txbxContent>
                    <w:p w14:paraId="10DA258F"/>
                  </w:txbxContent>
                </v:textbox>
              </v:shape>
            </w:pict>
          </mc:Fallback>
        </mc:AlternateContent>
      </w:r>
      <w:r>
        <w:rPr>
          <w:sz w:val="32"/>
        </w:rPr>
        <mc:AlternateContent>
          <mc:Choice Requires="wps">
            <w:drawing>
              <wp:anchor distT="0" distB="0" distL="114300" distR="114300" simplePos="0" relativeHeight="251694080" behindDoc="0" locked="0" layoutInCell="1" allowOverlap="1">
                <wp:simplePos x="0" y="0"/>
                <wp:positionH relativeFrom="column">
                  <wp:posOffset>3079750</wp:posOffset>
                </wp:positionH>
                <wp:positionV relativeFrom="paragraph">
                  <wp:posOffset>1344295</wp:posOffset>
                </wp:positionV>
                <wp:extent cx="1440815" cy="209550"/>
                <wp:effectExtent l="4445" t="4445" r="21590" b="14605"/>
                <wp:wrapNone/>
                <wp:docPr id="184" name="文本框 184"/>
                <wp:cNvGraphicFramePr/>
                <a:graphic xmlns:a="http://schemas.openxmlformats.org/drawingml/2006/main">
                  <a:graphicData uri="http://schemas.microsoft.com/office/word/2010/wordprocessingShape">
                    <wps:wsp>
                      <wps:cNvSpPr txBox="1"/>
                      <wps:spPr>
                        <a:xfrm>
                          <a:off x="0" y="0"/>
                          <a:ext cx="1440815" cy="2095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9976B8B"/>
                        </w:txbxContent>
                      </wps:txbx>
                      <wps:bodyPr upright="1"/>
                    </wps:wsp>
                  </a:graphicData>
                </a:graphic>
              </wp:anchor>
            </w:drawing>
          </mc:Choice>
          <mc:Fallback>
            <w:pict>
              <v:shape id="_x0000_s1026" o:spid="_x0000_s1026" o:spt="202" type="#_x0000_t202" style="position:absolute;left:0pt;margin-left:242.5pt;margin-top:105.85pt;height:16.5pt;width:113.45pt;z-index:251694080;mso-width-relative:page;mso-height-relative:page;" fillcolor="#FFFFFF" filled="t" stroked="t" coordsize="21600,21600" o:gfxdata="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g8b9B2gAAAAsBAAAPAAAAAAAAAAEA&#10;IAAAACIAAABkcnMvZG93bnJldi54bWxQSwECFAAUAAAACACHTuJA3w3MNA0CAAA6BAAADgAAAAAA&#10;AAABACAAAAApAQAAZHJzL2Uyb0RvYy54bWxQSwUGAAAAAAYABgBZAQAAqAUAAAAA&#10;">
                <v:fill on="t" focussize="0,0"/>
                <v:stroke color="#000000" joinstyle="miter"/>
                <v:imagedata o:title=""/>
                <o:lock v:ext="edit" aspectratio="f"/>
                <v:textbox>
                  <w:txbxContent>
                    <w:p w14:paraId="79976B8B"/>
                  </w:txbxContent>
                </v:textbox>
              </v:shape>
            </w:pict>
          </mc:Fallback>
        </mc:AlternateContent>
      </w:r>
      <w:r>
        <w:rPr>
          <w:sz w:val="32"/>
        </w:rPr>
        <mc:AlternateContent>
          <mc:Choice Requires="wps">
            <w:drawing>
              <wp:anchor distT="0" distB="0" distL="114300" distR="114300" simplePos="0" relativeHeight="251693056" behindDoc="0" locked="0" layoutInCell="1" allowOverlap="1">
                <wp:simplePos x="0" y="0"/>
                <wp:positionH relativeFrom="column">
                  <wp:posOffset>1539240</wp:posOffset>
                </wp:positionH>
                <wp:positionV relativeFrom="paragraph">
                  <wp:posOffset>1325245</wp:posOffset>
                </wp:positionV>
                <wp:extent cx="690245" cy="321310"/>
                <wp:effectExtent l="4445" t="4445" r="10160" b="17145"/>
                <wp:wrapNone/>
                <wp:docPr id="183" name="文本框 183"/>
                <wp:cNvGraphicFramePr/>
                <a:graphic xmlns:a="http://schemas.openxmlformats.org/drawingml/2006/main">
                  <a:graphicData uri="http://schemas.microsoft.com/office/word/2010/wordprocessingShape">
                    <wps:wsp>
                      <wps:cNvSpPr txBox="1"/>
                      <wps:spPr>
                        <a:xfrm>
                          <a:off x="0" y="0"/>
                          <a:ext cx="690245" cy="32131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BD0E01C"/>
                        </w:txbxContent>
                      </wps:txbx>
                      <wps:bodyPr upright="1"/>
                    </wps:wsp>
                  </a:graphicData>
                </a:graphic>
              </wp:anchor>
            </w:drawing>
          </mc:Choice>
          <mc:Fallback>
            <w:pict>
              <v:shape id="_x0000_s1026" o:spid="_x0000_s1026" o:spt="202" type="#_x0000_t202" style="position:absolute;left:0pt;margin-left:121.2pt;margin-top:104.35pt;height:25.3pt;width:54.35pt;z-index:251693056;mso-width-relative:page;mso-height-relative:page;" fillcolor="#FFFFFF" filled="t" stroked="t" coordsize="21600,21600" o:gfxdata="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btHNhtoAAAALAQAADwAAAAAAAAAB&#10;ACAAAAAiAAAAZHJzL2Rvd25yZXYueG1sUEsBAhQAFAAAAAgAh07iQPIATXkOAgAAOQQAAA4AAAAA&#10;AAAAAQAgAAAAKQEAAGRycy9lMm9Eb2MueG1sUEsFBgAAAAAGAAYAWQEAAKkFAAAAAA==&#10;">
                <v:fill on="t" focussize="0,0"/>
                <v:stroke color="#000000" joinstyle="miter"/>
                <v:imagedata o:title=""/>
                <o:lock v:ext="edit" aspectratio="f"/>
                <v:textbox>
                  <w:txbxContent>
                    <w:p w14:paraId="5BD0E01C"/>
                  </w:txbxContent>
                </v:textbox>
              </v:shape>
            </w:pict>
          </mc:Fallback>
        </mc:AlternateContent>
      </w:r>
      <w:r>
        <w:rPr>
          <w:rFonts w:hint="eastAsia" w:ascii="Times New Roman" w:hAnsi="Times New Roman" w:eastAsia="楷体_GB2312" w:cs="Times New Roman"/>
          <w:b w:val="0"/>
          <w:bCs w:val="0"/>
          <w:iCs w:val="0"/>
          <w:sz w:val="36"/>
          <w:szCs w:val="36"/>
          <w:lang w:eastAsia="zh-CN"/>
        </w:rPr>
        <w:drawing>
          <wp:inline distT="0" distB="0" distL="114300" distR="114300">
            <wp:extent cx="5615940" cy="7942580"/>
            <wp:effectExtent l="0" t="0" r="3810" b="1270"/>
            <wp:docPr id="157" name="图片 157" descr="doc00623220260121100913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doc00623220260121100913_06"/>
                    <pic:cNvPicPr>
                      <a:picLocks noChangeAspect="1"/>
                    </pic:cNvPicPr>
                  </pic:nvPicPr>
                  <pic:blipFill>
                    <a:blip r:embed="rId17"/>
                    <a:stretch>
                      <a:fillRect/>
                    </a:stretch>
                  </pic:blipFill>
                  <pic:spPr>
                    <a:xfrm>
                      <a:off x="0" y="0"/>
                      <a:ext cx="5615940" cy="7942580"/>
                    </a:xfrm>
                    <a:prstGeom prst="rect">
                      <a:avLst/>
                    </a:prstGeom>
                  </pic:spPr>
                </pic:pic>
              </a:graphicData>
            </a:graphic>
          </wp:inline>
        </w:drawing>
      </w:r>
      <w:r>
        <w:rPr>
          <w:sz w:val="32"/>
        </w:rPr>
        <mc:AlternateContent>
          <mc:Choice Requires="wps">
            <w:drawing>
              <wp:anchor distT="0" distB="0" distL="114300" distR="114300" simplePos="0" relativeHeight="251700224" behindDoc="0" locked="0" layoutInCell="1" allowOverlap="1">
                <wp:simplePos x="0" y="0"/>
                <wp:positionH relativeFrom="column">
                  <wp:posOffset>1174750</wp:posOffset>
                </wp:positionH>
                <wp:positionV relativeFrom="paragraph">
                  <wp:posOffset>1306195</wp:posOffset>
                </wp:positionV>
                <wp:extent cx="793115" cy="447040"/>
                <wp:effectExtent l="4445" t="4445" r="21590" b="5715"/>
                <wp:wrapNone/>
                <wp:docPr id="190" name="文本框 190"/>
                <wp:cNvGraphicFramePr/>
                <a:graphic xmlns:a="http://schemas.openxmlformats.org/drawingml/2006/main">
                  <a:graphicData uri="http://schemas.microsoft.com/office/word/2010/wordprocessingShape">
                    <wps:wsp>
                      <wps:cNvSpPr txBox="1"/>
                      <wps:spPr>
                        <a:xfrm>
                          <a:off x="0" y="0"/>
                          <a:ext cx="793115" cy="44704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D93933D"/>
                        </w:txbxContent>
                      </wps:txbx>
                      <wps:bodyPr upright="1"/>
                    </wps:wsp>
                  </a:graphicData>
                </a:graphic>
              </wp:anchor>
            </w:drawing>
          </mc:Choice>
          <mc:Fallback>
            <w:pict>
              <v:shape id="_x0000_s1026" o:spid="_x0000_s1026" o:spt="202" type="#_x0000_t202" style="position:absolute;left:0pt;margin-left:92.5pt;margin-top:102.85pt;height:35.2pt;width:62.45pt;z-index:251700224;mso-width-relative:page;mso-height-relative:page;" fillcolor="#FFFFFF" filled="t" stroked="t" coordsize="21600,21600" o:gfxdata="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EzkAg7ZAAAACwEAAA8AAAAAAAAAAQAg&#10;AAAAIgAAAGRycy9kb3ducmV2LnhtbFBLAQIUABQAAAAIAIdO4kBBJ+rHDQIAADkEAAAOAAAAAAAA&#10;AAEAIAAAACgBAABkcnMvZTJvRG9jLnhtbFBLBQYAAAAABgAGAFkBAACnBQAAAAA=&#10;">
                <v:fill on="t" focussize="0,0"/>
                <v:stroke color="#000000" joinstyle="miter"/>
                <v:imagedata o:title=""/>
                <o:lock v:ext="edit" aspectratio="f"/>
                <v:textbox>
                  <w:txbxContent>
                    <w:p w14:paraId="2D93933D"/>
                  </w:txbxContent>
                </v:textbox>
              </v:shape>
            </w:pict>
          </mc:Fallback>
        </mc:AlternateContent>
      </w:r>
      <w:r>
        <w:rPr>
          <w:sz w:val="32"/>
        </w:rPr>
        <mc:AlternateContent>
          <mc:Choice Requires="wps">
            <w:drawing>
              <wp:anchor distT="0" distB="0" distL="114300" distR="114300" simplePos="0" relativeHeight="251699200" behindDoc="0" locked="0" layoutInCell="1" allowOverlap="1">
                <wp:simplePos x="0" y="0"/>
                <wp:positionH relativeFrom="column">
                  <wp:posOffset>3946525</wp:posOffset>
                </wp:positionH>
                <wp:positionV relativeFrom="paragraph">
                  <wp:posOffset>5611495</wp:posOffset>
                </wp:positionV>
                <wp:extent cx="793115" cy="447040"/>
                <wp:effectExtent l="4445" t="4445" r="21590" b="5715"/>
                <wp:wrapNone/>
                <wp:docPr id="189" name="文本框 189"/>
                <wp:cNvGraphicFramePr/>
                <a:graphic xmlns:a="http://schemas.openxmlformats.org/drawingml/2006/main">
                  <a:graphicData uri="http://schemas.microsoft.com/office/word/2010/wordprocessingShape">
                    <wps:wsp>
                      <wps:cNvSpPr txBox="1"/>
                      <wps:spPr>
                        <a:xfrm>
                          <a:off x="0" y="0"/>
                          <a:ext cx="793115" cy="44704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A957AB0"/>
                        </w:txbxContent>
                      </wps:txbx>
                      <wps:bodyPr upright="1"/>
                    </wps:wsp>
                  </a:graphicData>
                </a:graphic>
              </wp:anchor>
            </w:drawing>
          </mc:Choice>
          <mc:Fallback>
            <w:pict>
              <v:shape id="_x0000_s1026" o:spid="_x0000_s1026" o:spt="202" type="#_x0000_t202" style="position:absolute;left:0pt;margin-left:310.75pt;margin-top:441.85pt;height:35.2pt;width:62.45pt;z-index:251699200;mso-width-relative:page;mso-height-relative:page;" fillcolor="#FFFFFF" filled="t" stroked="t" coordsize="21600,21600" o:gfxdata="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tOJDPaAAAACwEAAA8AAAAAAAAA&#10;AQAgAAAAIgAAAGRycy9kb3ducmV2LnhtbFBLAQIUABQAAAAIAIdO4kBPkkYQDwIAADkEAAAOAAAA&#10;AAAAAAEAIAAAACkBAABkcnMvZTJvRG9jLnhtbFBLBQYAAAAABgAGAFkBAACqBQAAAAA=&#10;">
                <v:fill on="t" focussize="0,0"/>
                <v:stroke color="#000000" joinstyle="miter"/>
                <v:imagedata o:title=""/>
                <o:lock v:ext="edit" aspectratio="f"/>
                <v:textbox>
                  <w:txbxContent>
                    <w:p w14:paraId="7A957AB0"/>
                  </w:txbxContent>
                </v:textbox>
              </v:shape>
            </w:pict>
          </mc:Fallback>
        </mc:AlternateContent>
      </w:r>
      <w:r>
        <w:rPr>
          <w:sz w:val="32"/>
        </w:rPr>
        <mc:AlternateContent>
          <mc:Choice Requires="wps">
            <w:drawing>
              <wp:anchor distT="0" distB="0" distL="114300" distR="114300" simplePos="0" relativeHeight="251698176" behindDoc="0" locked="0" layoutInCell="1" allowOverlap="1">
                <wp:simplePos x="0" y="0"/>
                <wp:positionH relativeFrom="column">
                  <wp:posOffset>1908175</wp:posOffset>
                </wp:positionH>
                <wp:positionV relativeFrom="paragraph">
                  <wp:posOffset>1915795</wp:posOffset>
                </wp:positionV>
                <wp:extent cx="1440815" cy="209550"/>
                <wp:effectExtent l="4445" t="4445" r="21590" b="14605"/>
                <wp:wrapNone/>
                <wp:docPr id="188" name="文本框 188"/>
                <wp:cNvGraphicFramePr/>
                <a:graphic xmlns:a="http://schemas.openxmlformats.org/drawingml/2006/main">
                  <a:graphicData uri="http://schemas.microsoft.com/office/word/2010/wordprocessingShape">
                    <wps:wsp>
                      <wps:cNvSpPr txBox="1"/>
                      <wps:spPr>
                        <a:xfrm>
                          <a:off x="0" y="0"/>
                          <a:ext cx="1440815" cy="2095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65C8437"/>
                        </w:txbxContent>
                      </wps:txbx>
                      <wps:bodyPr upright="1"/>
                    </wps:wsp>
                  </a:graphicData>
                </a:graphic>
              </wp:anchor>
            </w:drawing>
          </mc:Choice>
          <mc:Fallback>
            <w:pict>
              <v:shape id="_x0000_s1026" o:spid="_x0000_s1026" o:spt="202" type="#_x0000_t202" style="position:absolute;left:0pt;margin-left:150.25pt;margin-top:150.85pt;height:16.5pt;width:113.45pt;z-index:251698176;mso-width-relative:page;mso-height-relative:page;" fillcolor="#FFFFFF" filled="t" stroked="t" coordsize="21600,21600" o:gfxdata="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APZl82QAAAAsBAAAPAAAAAAAAAAEA&#10;IAAAACIAAABkcnMvZG93bnJldi54bWxQSwECFAAUAAAACACHTuJALYGqMQ4CAAA6BAAADgAAAAAA&#10;AAABACAAAAAoAQAAZHJzL2Uyb0RvYy54bWxQSwUGAAAAAAYABgBZAQAAqAUAAAAA&#10;">
                <v:fill on="t" focussize="0,0"/>
                <v:stroke color="#000000" joinstyle="miter"/>
                <v:imagedata o:title=""/>
                <o:lock v:ext="edit" aspectratio="f"/>
                <v:textbox>
                  <w:txbxContent>
                    <w:p w14:paraId="765C8437"/>
                  </w:txbxContent>
                </v:textbox>
              </v:shape>
            </w:pict>
          </mc:Fallback>
        </mc:AlternateContent>
      </w:r>
      <w:r>
        <w:rPr>
          <w:sz w:val="32"/>
        </w:rPr>
        <mc:AlternateContent>
          <mc:Choice Requires="wps">
            <w:drawing>
              <wp:anchor distT="0" distB="0" distL="114300" distR="114300" simplePos="0" relativeHeight="251697152" behindDoc="0" locked="0" layoutInCell="1" allowOverlap="1">
                <wp:simplePos x="0" y="0"/>
                <wp:positionH relativeFrom="column">
                  <wp:posOffset>2841625</wp:posOffset>
                </wp:positionH>
                <wp:positionV relativeFrom="paragraph">
                  <wp:posOffset>1382395</wp:posOffset>
                </wp:positionV>
                <wp:extent cx="1440815" cy="209550"/>
                <wp:effectExtent l="4445" t="4445" r="21590" b="14605"/>
                <wp:wrapNone/>
                <wp:docPr id="187" name="文本框 187"/>
                <wp:cNvGraphicFramePr/>
                <a:graphic xmlns:a="http://schemas.openxmlformats.org/drawingml/2006/main">
                  <a:graphicData uri="http://schemas.microsoft.com/office/word/2010/wordprocessingShape">
                    <wps:wsp>
                      <wps:cNvSpPr txBox="1"/>
                      <wps:spPr>
                        <a:xfrm>
                          <a:off x="0" y="0"/>
                          <a:ext cx="1440815" cy="2095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4B58267"/>
                        </w:txbxContent>
                      </wps:txbx>
                      <wps:bodyPr upright="1"/>
                    </wps:wsp>
                  </a:graphicData>
                </a:graphic>
              </wp:anchor>
            </w:drawing>
          </mc:Choice>
          <mc:Fallback>
            <w:pict>
              <v:shape id="_x0000_s1026" o:spid="_x0000_s1026" o:spt="202" type="#_x0000_t202" style="position:absolute;left:0pt;margin-left:223.75pt;margin-top:108.85pt;height:16.5pt;width:113.45pt;z-index:251697152;mso-width-relative:page;mso-height-relative:page;" fillcolor="#FFFFFF" filled="t" stroked="t" coordsize="21600,21600" o:gfxdata="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VcM+9oAAAALAQAADwAAAAAAAAAB&#10;ACAAAAAiAAAAZHJzL2Rvd25yZXYueG1sUEsBAhQAFAAAAAgAh07iQMMtLdgOAgAAOgQAAA4AAAAA&#10;AAAAAQAgAAAAKQEAAGRycy9lMm9Eb2MueG1sUEsFBgAAAAAGAAYAWQEAAKkFAAAAAA==&#10;">
                <v:fill on="t" focussize="0,0"/>
                <v:stroke color="#000000" joinstyle="miter"/>
                <v:imagedata o:title=""/>
                <o:lock v:ext="edit" aspectratio="f"/>
                <v:textbox>
                  <w:txbxContent>
                    <w:p w14:paraId="74B58267"/>
                  </w:txbxContent>
                </v:textbox>
              </v:shape>
            </w:pict>
          </mc:Fallback>
        </mc:AlternateContent>
      </w:r>
      <w:r>
        <w:rPr>
          <w:rFonts w:hint="eastAsia" w:ascii="Times New Roman" w:hAnsi="Times New Roman" w:eastAsia="楷体_GB2312" w:cs="Times New Roman"/>
          <w:b w:val="0"/>
          <w:bCs w:val="0"/>
          <w:iCs w:val="0"/>
          <w:sz w:val="36"/>
          <w:szCs w:val="36"/>
          <w:lang w:eastAsia="zh-CN"/>
        </w:rPr>
        <w:drawing>
          <wp:inline distT="0" distB="0" distL="114300" distR="114300">
            <wp:extent cx="5615940" cy="7942580"/>
            <wp:effectExtent l="0" t="0" r="3810" b="1270"/>
            <wp:docPr id="155" name="图片 155" descr="doc00623220260121100913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doc00623220260121100913_07"/>
                    <pic:cNvPicPr>
                      <a:picLocks noChangeAspect="1"/>
                    </pic:cNvPicPr>
                  </pic:nvPicPr>
                  <pic:blipFill>
                    <a:blip r:embed="rId18"/>
                    <a:stretch>
                      <a:fillRect/>
                    </a:stretch>
                  </pic:blipFill>
                  <pic:spPr>
                    <a:xfrm>
                      <a:off x="0" y="0"/>
                      <a:ext cx="5615940" cy="7942580"/>
                    </a:xfrm>
                    <a:prstGeom prst="rect">
                      <a:avLst/>
                    </a:prstGeom>
                  </pic:spPr>
                </pic:pic>
              </a:graphicData>
            </a:graphic>
          </wp:inline>
        </w:drawing>
      </w:r>
      <w:r>
        <w:rPr>
          <w:sz w:val="32"/>
        </w:rPr>
        <mc:AlternateContent>
          <mc:Choice Requires="wps">
            <w:drawing>
              <wp:anchor distT="0" distB="0" distL="114300" distR="114300" simplePos="0" relativeHeight="251701248" behindDoc="0" locked="0" layoutInCell="1" allowOverlap="1">
                <wp:simplePos x="0" y="0"/>
                <wp:positionH relativeFrom="column">
                  <wp:posOffset>1308100</wp:posOffset>
                </wp:positionH>
                <wp:positionV relativeFrom="paragraph">
                  <wp:posOffset>220345</wp:posOffset>
                </wp:positionV>
                <wp:extent cx="2459355" cy="7552055"/>
                <wp:effectExtent l="4445" t="4445" r="12700" b="6350"/>
                <wp:wrapNone/>
                <wp:docPr id="191" name="文本框 191"/>
                <wp:cNvGraphicFramePr/>
                <a:graphic xmlns:a="http://schemas.openxmlformats.org/drawingml/2006/main">
                  <a:graphicData uri="http://schemas.microsoft.com/office/word/2010/wordprocessingShape">
                    <wps:wsp>
                      <wps:cNvSpPr txBox="1"/>
                      <wps:spPr>
                        <a:xfrm>
                          <a:off x="0" y="0"/>
                          <a:ext cx="2459355" cy="755205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74F4A0A"/>
                        </w:txbxContent>
                      </wps:txbx>
                      <wps:bodyPr upright="1"/>
                    </wps:wsp>
                  </a:graphicData>
                </a:graphic>
              </wp:anchor>
            </w:drawing>
          </mc:Choice>
          <mc:Fallback>
            <w:pict>
              <v:shape id="_x0000_s1026" o:spid="_x0000_s1026" o:spt="202" type="#_x0000_t202" style="position:absolute;left:0pt;margin-left:103pt;margin-top:17.35pt;height:594.65pt;width:193.65pt;z-index:251701248;mso-width-relative:page;mso-height-relative:page;" fillcolor="#FFFFFF" filled="t" stroked="t" coordsize="21600,21600" o:gfxdata="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S7F/faAAAACwEAAA8AAAAAAAAAAQAg&#10;AAAAIgAAAGRycy9kb3ducmV2LnhtbFBLAQIUABQAAAAIAIdO4kBfhY0mDAIAADsEAAAOAAAAAAAA&#10;AAEAIAAAACkBAABkcnMvZTJvRG9jLnhtbFBLBQYAAAAABgAGAFkBAACnBQAAAAA=&#10;">
                <v:fill on="t" focussize="0,0"/>
                <v:stroke color="#000000" joinstyle="miter"/>
                <v:imagedata o:title=""/>
                <o:lock v:ext="edit" aspectratio="f"/>
                <v:textbox>
                  <w:txbxContent>
                    <w:p w14:paraId="374F4A0A"/>
                  </w:txbxContent>
                </v:textbox>
              </v:shape>
            </w:pict>
          </mc:Fallback>
        </mc:AlternateContent>
      </w:r>
      <w:r>
        <w:rPr>
          <w:rFonts w:hint="eastAsia" w:ascii="Times New Roman" w:hAnsi="Times New Roman" w:eastAsia="楷体_GB2312" w:cs="Times New Roman"/>
          <w:b w:val="0"/>
          <w:bCs w:val="0"/>
          <w:iCs w:val="0"/>
          <w:sz w:val="36"/>
          <w:szCs w:val="36"/>
          <w:lang w:eastAsia="zh-CN"/>
        </w:rPr>
        <w:drawing>
          <wp:inline distT="0" distB="0" distL="114300" distR="114300">
            <wp:extent cx="5615940" cy="7942580"/>
            <wp:effectExtent l="0" t="0" r="3810" b="1270"/>
            <wp:docPr id="154" name="图片 154" descr="doc00623220260121100913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doc00623220260121100913_08"/>
                    <pic:cNvPicPr>
                      <a:picLocks noChangeAspect="1"/>
                    </pic:cNvPicPr>
                  </pic:nvPicPr>
                  <pic:blipFill>
                    <a:blip r:embed="rId19"/>
                    <a:stretch>
                      <a:fillRect/>
                    </a:stretch>
                  </pic:blipFill>
                  <pic:spPr>
                    <a:xfrm>
                      <a:off x="0" y="0"/>
                      <a:ext cx="5615940" cy="7942580"/>
                    </a:xfrm>
                    <a:prstGeom prst="rect">
                      <a:avLst/>
                    </a:prstGeom>
                  </pic:spPr>
                </pic:pic>
              </a:graphicData>
            </a:graphic>
          </wp:inline>
        </w:drawing>
      </w:r>
      <w:r>
        <w:rPr>
          <w:sz w:val="32"/>
        </w:rPr>
        <mc:AlternateContent>
          <mc:Choice Requires="wps">
            <w:drawing>
              <wp:anchor distT="0" distB="0" distL="114300" distR="114300" simplePos="0" relativeHeight="251702272" behindDoc="0" locked="0" layoutInCell="1" allowOverlap="1">
                <wp:simplePos x="0" y="0"/>
                <wp:positionH relativeFrom="column">
                  <wp:posOffset>1431925</wp:posOffset>
                </wp:positionH>
                <wp:positionV relativeFrom="paragraph">
                  <wp:posOffset>182245</wp:posOffset>
                </wp:positionV>
                <wp:extent cx="2106930" cy="7638415"/>
                <wp:effectExtent l="5080" t="4445" r="21590" b="15240"/>
                <wp:wrapNone/>
                <wp:docPr id="192" name="文本框 192"/>
                <wp:cNvGraphicFramePr/>
                <a:graphic xmlns:a="http://schemas.openxmlformats.org/drawingml/2006/main">
                  <a:graphicData uri="http://schemas.microsoft.com/office/word/2010/wordprocessingShape">
                    <wps:wsp>
                      <wps:cNvSpPr txBox="1"/>
                      <wps:spPr>
                        <a:xfrm>
                          <a:off x="0" y="0"/>
                          <a:ext cx="2106930" cy="763841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C94945E"/>
                        </w:txbxContent>
                      </wps:txbx>
                      <wps:bodyPr upright="1"/>
                    </wps:wsp>
                  </a:graphicData>
                </a:graphic>
              </wp:anchor>
            </w:drawing>
          </mc:Choice>
          <mc:Fallback>
            <w:pict>
              <v:shape id="_x0000_s1026" o:spid="_x0000_s1026" o:spt="202" type="#_x0000_t202" style="position:absolute;left:0pt;margin-left:112.75pt;margin-top:14.35pt;height:601.45pt;width:165.9pt;z-index:251702272;mso-width-relative:page;mso-height-relative:page;" fillcolor="#FFFFFF" filled="t" stroked="t" coordsize="21600,21600" o:gfxdata="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KUASv2QAAAAsBAAAPAAAAAAAAAAEA&#10;IAAAACIAAABkcnMvZG93bnJldi54bWxQSwECFAAUAAAACACHTuJAcLdNpw4CAAA7BAAADgAAAAAA&#10;AAABACAAAAAoAQAAZHJzL2Uyb0RvYy54bWxQSwUGAAAAAAYABgBZAQAAqAUAAAAA&#10;">
                <v:fill on="t" focussize="0,0"/>
                <v:stroke color="#000000" joinstyle="miter"/>
                <v:imagedata o:title=""/>
                <o:lock v:ext="edit" aspectratio="f"/>
                <v:textbox>
                  <w:txbxContent>
                    <w:p w14:paraId="0C94945E"/>
                  </w:txbxContent>
                </v:textbox>
              </v:shape>
            </w:pict>
          </mc:Fallback>
        </mc:AlternateContent>
      </w:r>
      <w:r>
        <w:rPr>
          <w:rFonts w:hint="eastAsia" w:ascii="Times New Roman" w:hAnsi="Times New Roman" w:eastAsia="楷体_GB2312" w:cs="Times New Roman"/>
          <w:b w:val="0"/>
          <w:bCs w:val="0"/>
          <w:iCs w:val="0"/>
          <w:sz w:val="36"/>
          <w:szCs w:val="36"/>
          <w:lang w:eastAsia="zh-CN"/>
        </w:rPr>
        <w:drawing>
          <wp:inline distT="0" distB="0" distL="114300" distR="114300">
            <wp:extent cx="5615940" cy="7942580"/>
            <wp:effectExtent l="0" t="0" r="3810" b="1270"/>
            <wp:docPr id="153" name="图片 153" descr="doc00623220260121100913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doc00623220260121100913_09"/>
                    <pic:cNvPicPr>
                      <a:picLocks noChangeAspect="1"/>
                    </pic:cNvPicPr>
                  </pic:nvPicPr>
                  <pic:blipFill>
                    <a:blip r:embed="rId20"/>
                    <a:stretch>
                      <a:fillRect/>
                    </a:stretch>
                  </pic:blipFill>
                  <pic:spPr>
                    <a:xfrm>
                      <a:off x="0" y="0"/>
                      <a:ext cx="5615940" cy="7942580"/>
                    </a:xfrm>
                    <a:prstGeom prst="rect">
                      <a:avLst/>
                    </a:prstGeom>
                  </pic:spPr>
                </pic:pic>
              </a:graphicData>
            </a:graphic>
          </wp:inline>
        </w:drawing>
      </w:r>
    </w:p>
    <w:p w14:paraId="3ABDFB08">
      <w:pPr>
        <w:pStyle w:val="2"/>
        <w:bidi w:val="0"/>
        <w:rPr>
          <w:rFonts w:hint="eastAsia"/>
        </w:rPr>
      </w:pPr>
      <w:bookmarkStart w:id="5" w:name="_Toc7868"/>
      <w:bookmarkStart w:id="6" w:name="_Toc21854"/>
      <w:r>
        <w:rPr>
          <w:rFonts w:hint="eastAsia"/>
        </w:rPr>
        <w:t>建设项目基本情况</w:t>
      </w:r>
      <w:bookmarkEnd w:id="5"/>
      <w:bookmarkEnd w:id="6"/>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531"/>
        <w:gridCol w:w="2102"/>
        <w:gridCol w:w="1485"/>
        <w:gridCol w:w="3752"/>
      </w:tblGrid>
      <w:tr w14:paraId="604541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31" w:type="dxa"/>
            <w:noWrap w:val="0"/>
            <w:tcMar>
              <w:top w:w="16" w:type="dxa"/>
              <w:left w:w="16" w:type="dxa"/>
              <w:right w:w="16" w:type="dxa"/>
            </w:tcMar>
            <w:vAlign w:val="center"/>
          </w:tcPr>
          <w:p w14:paraId="414D03D7">
            <w:pPr>
              <w:pStyle w:val="40"/>
              <w:keepNext w:val="0"/>
              <w:keepLines w:val="0"/>
              <w:suppressLineNumbers w:val="0"/>
              <w:bidi w:val="0"/>
              <w:spacing w:before="0" w:beforeAutospacing="0" w:after="0" w:afterAutospacing="0"/>
              <w:ind w:left="0" w:right="0"/>
              <w:rPr>
                <w:rFonts w:hint="eastAsia"/>
              </w:rPr>
            </w:pPr>
            <w:r>
              <w:rPr>
                <w:rFonts w:hint="eastAsia"/>
              </w:rPr>
              <w:t>建设项目名称</w:t>
            </w:r>
          </w:p>
        </w:tc>
        <w:tc>
          <w:tcPr>
            <w:tcW w:w="7339" w:type="dxa"/>
            <w:gridSpan w:val="3"/>
            <w:noWrap w:val="0"/>
            <w:vAlign w:val="center"/>
          </w:tcPr>
          <w:p w14:paraId="12CE3D69">
            <w:pPr>
              <w:pStyle w:val="40"/>
              <w:keepNext w:val="0"/>
              <w:keepLines w:val="0"/>
              <w:suppressLineNumbers w:val="0"/>
              <w:bidi w:val="0"/>
              <w:spacing w:before="0" w:beforeAutospacing="0" w:after="0" w:afterAutospacing="0"/>
              <w:ind w:left="0" w:right="0"/>
              <w:rPr>
                <w:rFonts w:hint="eastAsia"/>
              </w:rPr>
            </w:pPr>
            <w:r>
              <w:rPr>
                <w:rFonts w:hint="eastAsia"/>
                <w:lang w:eastAsia="zh-CN"/>
              </w:rPr>
              <w:t>福清市三合电子科技有限公司年新增塑胶件25万套、钣金件5万套项目</w:t>
            </w:r>
          </w:p>
        </w:tc>
      </w:tr>
      <w:tr w14:paraId="23ADE0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31" w:type="dxa"/>
            <w:noWrap w:val="0"/>
            <w:tcMar>
              <w:top w:w="16" w:type="dxa"/>
              <w:left w:w="16" w:type="dxa"/>
              <w:right w:w="16" w:type="dxa"/>
            </w:tcMar>
            <w:vAlign w:val="center"/>
          </w:tcPr>
          <w:p w14:paraId="63B3FF24">
            <w:pPr>
              <w:pStyle w:val="40"/>
              <w:keepNext w:val="0"/>
              <w:keepLines w:val="0"/>
              <w:suppressLineNumbers w:val="0"/>
              <w:bidi w:val="0"/>
              <w:spacing w:before="0" w:beforeAutospacing="0" w:after="0" w:afterAutospacing="0"/>
              <w:ind w:left="0" w:right="0"/>
              <w:rPr>
                <w:rFonts w:hint="eastAsia"/>
              </w:rPr>
            </w:pPr>
            <w:r>
              <w:rPr>
                <w:rFonts w:hint="eastAsia"/>
              </w:rPr>
              <w:t>项目代码</w:t>
            </w:r>
          </w:p>
        </w:tc>
        <w:tc>
          <w:tcPr>
            <w:tcW w:w="7339" w:type="dxa"/>
            <w:gridSpan w:val="3"/>
            <w:noWrap w:val="0"/>
            <w:vAlign w:val="center"/>
          </w:tcPr>
          <w:p w14:paraId="26700856">
            <w:pPr>
              <w:pStyle w:val="40"/>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2601-350181-04-01-711118</w:t>
            </w:r>
          </w:p>
        </w:tc>
      </w:tr>
      <w:tr w14:paraId="4D0824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31" w:type="dxa"/>
            <w:noWrap w:val="0"/>
            <w:tcMar>
              <w:top w:w="16" w:type="dxa"/>
              <w:left w:w="16" w:type="dxa"/>
              <w:right w:w="16" w:type="dxa"/>
            </w:tcMar>
            <w:vAlign w:val="center"/>
          </w:tcPr>
          <w:p w14:paraId="40E828EC">
            <w:pPr>
              <w:pStyle w:val="40"/>
              <w:keepNext w:val="0"/>
              <w:keepLines w:val="0"/>
              <w:suppressLineNumbers w:val="0"/>
              <w:bidi w:val="0"/>
              <w:spacing w:before="0" w:beforeAutospacing="0" w:after="0" w:afterAutospacing="0"/>
              <w:ind w:left="0" w:right="0"/>
              <w:rPr>
                <w:rFonts w:hint="eastAsia"/>
              </w:rPr>
            </w:pPr>
            <w:r>
              <w:rPr>
                <w:rFonts w:hint="eastAsia"/>
              </w:rPr>
              <w:t>建设单位联系人</w:t>
            </w:r>
          </w:p>
        </w:tc>
        <w:tc>
          <w:tcPr>
            <w:tcW w:w="2102" w:type="dxa"/>
            <w:noWrap w:val="0"/>
            <w:vAlign w:val="center"/>
          </w:tcPr>
          <w:p w14:paraId="49753EDF">
            <w:pPr>
              <w:pStyle w:val="40"/>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郑*</w:t>
            </w:r>
          </w:p>
        </w:tc>
        <w:tc>
          <w:tcPr>
            <w:tcW w:w="1485" w:type="dxa"/>
            <w:noWrap w:val="0"/>
            <w:vAlign w:val="center"/>
          </w:tcPr>
          <w:p w14:paraId="5F937CAE">
            <w:pPr>
              <w:pStyle w:val="40"/>
              <w:keepNext w:val="0"/>
              <w:keepLines w:val="0"/>
              <w:suppressLineNumbers w:val="0"/>
              <w:bidi w:val="0"/>
              <w:spacing w:before="0" w:beforeAutospacing="0" w:after="0" w:afterAutospacing="0"/>
              <w:ind w:left="0" w:right="0"/>
              <w:rPr>
                <w:rFonts w:hint="eastAsia"/>
              </w:rPr>
            </w:pPr>
            <w:r>
              <w:rPr>
                <w:rFonts w:hint="eastAsia"/>
              </w:rPr>
              <w:t>联系方式</w:t>
            </w:r>
          </w:p>
        </w:tc>
        <w:tc>
          <w:tcPr>
            <w:tcW w:w="3752" w:type="dxa"/>
            <w:noWrap w:val="0"/>
            <w:vAlign w:val="center"/>
          </w:tcPr>
          <w:p w14:paraId="6CCB39C8">
            <w:pPr>
              <w:pStyle w:val="40"/>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1355917****</w:t>
            </w:r>
          </w:p>
        </w:tc>
      </w:tr>
      <w:tr w14:paraId="4819FD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31" w:type="dxa"/>
            <w:noWrap w:val="0"/>
            <w:tcMar>
              <w:top w:w="16" w:type="dxa"/>
              <w:left w:w="16" w:type="dxa"/>
              <w:right w:w="16" w:type="dxa"/>
            </w:tcMar>
            <w:vAlign w:val="center"/>
          </w:tcPr>
          <w:p w14:paraId="1F9540F3">
            <w:pPr>
              <w:pStyle w:val="40"/>
              <w:keepNext w:val="0"/>
              <w:keepLines w:val="0"/>
              <w:suppressLineNumbers w:val="0"/>
              <w:bidi w:val="0"/>
              <w:spacing w:before="0" w:beforeAutospacing="0" w:after="0" w:afterAutospacing="0"/>
              <w:ind w:left="0" w:right="0"/>
              <w:rPr>
                <w:rFonts w:hint="eastAsia"/>
              </w:rPr>
            </w:pPr>
            <w:r>
              <w:rPr>
                <w:rFonts w:hint="eastAsia"/>
              </w:rPr>
              <w:t>建设地点</w:t>
            </w:r>
          </w:p>
        </w:tc>
        <w:tc>
          <w:tcPr>
            <w:tcW w:w="7339" w:type="dxa"/>
            <w:gridSpan w:val="3"/>
            <w:noWrap w:val="0"/>
            <w:vAlign w:val="center"/>
          </w:tcPr>
          <w:p w14:paraId="48CA549F">
            <w:pPr>
              <w:pStyle w:val="40"/>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福建省福州市福清市阳下街道玉岭村147号车间2三楼</w:t>
            </w:r>
          </w:p>
        </w:tc>
      </w:tr>
      <w:tr w14:paraId="2E72B9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31" w:type="dxa"/>
            <w:noWrap w:val="0"/>
            <w:tcMar>
              <w:top w:w="16" w:type="dxa"/>
              <w:left w:w="16" w:type="dxa"/>
              <w:right w:w="16" w:type="dxa"/>
            </w:tcMar>
            <w:vAlign w:val="center"/>
          </w:tcPr>
          <w:p w14:paraId="6F979B3A">
            <w:pPr>
              <w:pStyle w:val="40"/>
              <w:keepNext w:val="0"/>
              <w:keepLines w:val="0"/>
              <w:suppressLineNumbers w:val="0"/>
              <w:bidi w:val="0"/>
              <w:spacing w:before="0" w:beforeAutospacing="0" w:after="0" w:afterAutospacing="0"/>
              <w:ind w:left="0" w:right="0"/>
              <w:rPr>
                <w:rFonts w:hint="eastAsia"/>
              </w:rPr>
            </w:pPr>
            <w:r>
              <w:rPr>
                <w:rFonts w:hint="eastAsia"/>
              </w:rPr>
              <w:t>地理坐标</w:t>
            </w:r>
          </w:p>
        </w:tc>
        <w:tc>
          <w:tcPr>
            <w:tcW w:w="7339" w:type="dxa"/>
            <w:gridSpan w:val="3"/>
            <w:noWrap w:val="0"/>
            <w:vAlign w:val="center"/>
          </w:tcPr>
          <w:p w14:paraId="35C6849D">
            <w:pPr>
              <w:pStyle w:val="40"/>
              <w:keepNext w:val="0"/>
              <w:keepLines w:val="0"/>
              <w:suppressLineNumbers w:val="0"/>
              <w:bidi w:val="0"/>
              <w:spacing w:before="0" w:beforeAutospacing="0" w:after="0" w:afterAutospacing="0"/>
              <w:ind w:left="0" w:right="0"/>
              <w:rPr>
                <w:rFonts w:hint="eastAsia"/>
              </w:rPr>
            </w:pPr>
            <w:r>
              <w:rPr>
                <w:rFonts w:hint="eastAsia"/>
              </w:rPr>
              <w:t xml:space="preserve">（ 119 度 </w:t>
            </w:r>
            <w:r>
              <w:rPr>
                <w:rFonts w:hint="eastAsia"/>
                <w:lang w:val="en-US" w:eastAsia="zh-CN"/>
              </w:rPr>
              <w:t>25</w:t>
            </w:r>
            <w:r>
              <w:rPr>
                <w:rFonts w:hint="eastAsia"/>
              </w:rPr>
              <w:t xml:space="preserve">  分 </w:t>
            </w:r>
            <w:r>
              <w:rPr>
                <w:rFonts w:hint="eastAsia"/>
                <w:lang w:val="en-US" w:eastAsia="zh-CN"/>
              </w:rPr>
              <w:t>6.58</w:t>
            </w:r>
            <w:r>
              <w:rPr>
                <w:rFonts w:hint="eastAsia"/>
              </w:rPr>
              <w:t xml:space="preserve"> 秒， 2</w:t>
            </w:r>
            <w:r>
              <w:rPr>
                <w:rFonts w:hint="eastAsia"/>
                <w:lang w:val="en-US" w:eastAsia="zh-CN"/>
              </w:rPr>
              <w:t>5</w:t>
            </w:r>
            <w:r>
              <w:rPr>
                <w:rFonts w:hint="eastAsia"/>
              </w:rPr>
              <w:t xml:space="preserve">  度  </w:t>
            </w:r>
            <w:r>
              <w:rPr>
                <w:rFonts w:hint="eastAsia"/>
                <w:lang w:val="en-US" w:eastAsia="zh-CN"/>
              </w:rPr>
              <w:t>45</w:t>
            </w:r>
            <w:r>
              <w:rPr>
                <w:rFonts w:hint="eastAsia"/>
              </w:rPr>
              <w:t xml:space="preserve">  分 </w:t>
            </w:r>
            <w:r>
              <w:rPr>
                <w:rFonts w:hint="eastAsia"/>
                <w:lang w:val="en-US" w:eastAsia="zh-CN"/>
              </w:rPr>
              <w:t>37.67</w:t>
            </w:r>
            <w:r>
              <w:rPr>
                <w:rFonts w:hint="eastAsia"/>
              </w:rPr>
              <w:t xml:space="preserve"> 秒）</w:t>
            </w:r>
          </w:p>
        </w:tc>
      </w:tr>
      <w:tr w14:paraId="068401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155" w:hRule="atLeast"/>
          <w:jc w:val="center"/>
        </w:trPr>
        <w:tc>
          <w:tcPr>
            <w:tcW w:w="1531" w:type="dxa"/>
            <w:noWrap w:val="0"/>
            <w:tcMar>
              <w:top w:w="16" w:type="dxa"/>
              <w:left w:w="16" w:type="dxa"/>
              <w:right w:w="16" w:type="dxa"/>
            </w:tcMar>
            <w:vAlign w:val="center"/>
          </w:tcPr>
          <w:p w14:paraId="43B78743">
            <w:pPr>
              <w:pStyle w:val="40"/>
              <w:keepNext w:val="0"/>
              <w:keepLines w:val="0"/>
              <w:suppressLineNumbers w:val="0"/>
              <w:bidi w:val="0"/>
              <w:spacing w:before="0" w:beforeAutospacing="0" w:after="0" w:afterAutospacing="0"/>
              <w:ind w:left="0" w:right="0"/>
              <w:rPr>
                <w:rFonts w:hint="eastAsia"/>
              </w:rPr>
            </w:pPr>
            <w:r>
              <w:rPr>
                <w:rFonts w:hint="eastAsia"/>
              </w:rPr>
              <w:t>国民经济</w:t>
            </w:r>
          </w:p>
          <w:p w14:paraId="6B5A7FEE">
            <w:pPr>
              <w:pStyle w:val="40"/>
              <w:keepNext w:val="0"/>
              <w:keepLines w:val="0"/>
              <w:suppressLineNumbers w:val="0"/>
              <w:bidi w:val="0"/>
              <w:spacing w:before="0" w:beforeAutospacing="0" w:after="0" w:afterAutospacing="0"/>
              <w:ind w:left="0" w:right="0"/>
              <w:rPr>
                <w:rFonts w:hint="eastAsia"/>
              </w:rPr>
            </w:pPr>
            <w:r>
              <w:rPr>
                <w:rFonts w:hint="eastAsia"/>
              </w:rPr>
              <w:t>行业类别</w:t>
            </w:r>
          </w:p>
        </w:tc>
        <w:tc>
          <w:tcPr>
            <w:tcW w:w="2102" w:type="dxa"/>
            <w:noWrap w:val="0"/>
            <w:vAlign w:val="center"/>
          </w:tcPr>
          <w:p w14:paraId="21BDD3FE">
            <w:pPr>
              <w:pStyle w:val="40"/>
              <w:keepNext w:val="0"/>
              <w:keepLines w:val="0"/>
              <w:suppressLineNumbers w:val="0"/>
              <w:bidi w:val="0"/>
              <w:spacing w:before="0" w:beforeAutospacing="0" w:after="0" w:afterAutospacing="0"/>
              <w:ind w:left="0" w:right="0"/>
              <w:jc w:val="both"/>
              <w:rPr>
                <w:rFonts w:hint="eastAsia"/>
                <w:lang w:val="en-US" w:eastAsia="zh-CN"/>
              </w:rPr>
            </w:pPr>
            <w:r>
              <w:rPr>
                <w:rFonts w:hint="eastAsia"/>
                <w:lang w:val="en-US" w:eastAsia="zh-CN"/>
              </w:rPr>
              <w:t>C2929塑料零件及其他塑料制品制造</w:t>
            </w:r>
          </w:p>
          <w:p w14:paraId="113C5442">
            <w:pPr>
              <w:pStyle w:val="40"/>
              <w:keepNext w:val="0"/>
              <w:keepLines w:val="0"/>
              <w:suppressLineNumbers w:val="0"/>
              <w:bidi w:val="0"/>
              <w:spacing w:before="0" w:beforeAutospacing="0" w:after="0" w:afterAutospacing="0"/>
              <w:ind w:left="0" w:right="0"/>
              <w:jc w:val="both"/>
              <w:rPr>
                <w:rFonts w:hint="default"/>
                <w:lang w:val="en-US" w:eastAsia="zh-CN"/>
              </w:rPr>
            </w:pPr>
            <w:r>
              <w:rPr>
                <w:rFonts w:hint="eastAsia"/>
                <w:lang w:val="en-US" w:eastAsia="zh-CN"/>
              </w:rPr>
              <w:t>C3360金属表面处理及热处理加工</w:t>
            </w:r>
          </w:p>
        </w:tc>
        <w:tc>
          <w:tcPr>
            <w:tcW w:w="1485" w:type="dxa"/>
            <w:noWrap w:val="0"/>
            <w:vAlign w:val="center"/>
          </w:tcPr>
          <w:p w14:paraId="605DA799">
            <w:pPr>
              <w:pStyle w:val="40"/>
              <w:keepNext w:val="0"/>
              <w:keepLines w:val="0"/>
              <w:suppressLineNumbers w:val="0"/>
              <w:bidi w:val="0"/>
              <w:spacing w:before="0" w:beforeAutospacing="0" w:after="0" w:afterAutospacing="0"/>
              <w:ind w:left="0" w:right="0"/>
              <w:rPr>
                <w:rFonts w:hint="eastAsia"/>
              </w:rPr>
            </w:pPr>
            <w:bookmarkStart w:id="7" w:name="_Hlk49843745"/>
            <w:r>
              <w:rPr>
                <w:rFonts w:hint="eastAsia"/>
              </w:rPr>
              <w:t>建设项目</w:t>
            </w:r>
          </w:p>
          <w:p w14:paraId="68DB11E1">
            <w:pPr>
              <w:pStyle w:val="40"/>
              <w:keepNext w:val="0"/>
              <w:keepLines w:val="0"/>
              <w:suppressLineNumbers w:val="0"/>
              <w:bidi w:val="0"/>
              <w:spacing w:before="0" w:beforeAutospacing="0" w:after="0" w:afterAutospacing="0"/>
              <w:ind w:left="0" w:right="0"/>
              <w:rPr>
                <w:rFonts w:hint="eastAsia"/>
              </w:rPr>
            </w:pPr>
            <w:r>
              <w:rPr>
                <w:rFonts w:hint="eastAsia"/>
              </w:rPr>
              <w:t>行业类别</w:t>
            </w:r>
            <w:bookmarkEnd w:id="7"/>
          </w:p>
        </w:tc>
        <w:tc>
          <w:tcPr>
            <w:tcW w:w="3752" w:type="dxa"/>
            <w:noWrap w:val="0"/>
            <w:vAlign w:val="center"/>
          </w:tcPr>
          <w:p w14:paraId="3A80DD7D">
            <w:pPr>
              <w:pStyle w:val="40"/>
              <w:keepNext w:val="0"/>
              <w:keepLines w:val="0"/>
              <w:suppressLineNumbers w:val="0"/>
              <w:bidi w:val="0"/>
              <w:spacing w:before="0" w:beforeAutospacing="0" w:after="0" w:afterAutospacing="0"/>
              <w:ind w:left="0" w:right="0"/>
              <w:jc w:val="both"/>
              <w:rPr>
                <w:rFonts w:hint="default"/>
                <w:lang w:val="en-US" w:eastAsia="zh-CN"/>
              </w:rPr>
            </w:pPr>
            <w:r>
              <w:rPr>
                <w:rFonts w:hint="eastAsia"/>
                <w:lang w:val="en-US" w:eastAsia="zh-CN"/>
              </w:rPr>
              <w:t>二十六、橡胶和塑料制品业 29 塑料制品业 292 其他（年用非溶剂型低VOCs含量涂料10吨以下的除外）</w:t>
            </w:r>
          </w:p>
          <w:p w14:paraId="6B3396A5">
            <w:pPr>
              <w:pStyle w:val="40"/>
              <w:keepNext w:val="0"/>
              <w:keepLines w:val="0"/>
              <w:suppressLineNumbers w:val="0"/>
              <w:bidi w:val="0"/>
              <w:spacing w:before="0" w:beforeAutospacing="0" w:after="0" w:afterAutospacing="0"/>
              <w:ind w:left="0" w:right="0"/>
              <w:jc w:val="both"/>
              <w:rPr>
                <w:rFonts w:hint="default"/>
                <w:lang w:val="en-US" w:eastAsia="zh-CN"/>
              </w:rPr>
            </w:pPr>
            <w:r>
              <w:rPr>
                <w:rFonts w:hint="eastAsia"/>
                <w:lang w:val="en-US" w:eastAsia="zh-CN"/>
              </w:rPr>
              <w:t>三十、金属制品业 33 金属表面处理及热处理加工 其他（年用非溶剂型低VOCs含量涂料10吨以下的除外）</w:t>
            </w:r>
          </w:p>
        </w:tc>
      </w:tr>
      <w:tr w14:paraId="43B96E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531" w:type="dxa"/>
            <w:noWrap w:val="0"/>
            <w:tcMar>
              <w:top w:w="16" w:type="dxa"/>
              <w:left w:w="16" w:type="dxa"/>
              <w:right w:w="16" w:type="dxa"/>
            </w:tcMar>
            <w:vAlign w:val="center"/>
          </w:tcPr>
          <w:p w14:paraId="59038B14">
            <w:pPr>
              <w:pStyle w:val="40"/>
              <w:keepNext w:val="0"/>
              <w:keepLines w:val="0"/>
              <w:suppressLineNumbers w:val="0"/>
              <w:bidi w:val="0"/>
              <w:spacing w:before="0" w:beforeAutospacing="0" w:after="0" w:afterAutospacing="0"/>
              <w:ind w:left="0" w:right="0"/>
              <w:rPr>
                <w:rFonts w:hint="eastAsia"/>
              </w:rPr>
            </w:pPr>
            <w:r>
              <w:rPr>
                <w:rFonts w:hint="eastAsia"/>
              </w:rPr>
              <w:t>建设性质</w:t>
            </w:r>
          </w:p>
        </w:tc>
        <w:tc>
          <w:tcPr>
            <w:tcW w:w="2102" w:type="dxa"/>
            <w:noWrap w:val="0"/>
            <w:vAlign w:val="center"/>
          </w:tcPr>
          <w:p w14:paraId="7174D393">
            <w:pPr>
              <w:pStyle w:val="40"/>
              <w:keepNext w:val="0"/>
              <w:keepLines w:val="0"/>
              <w:suppressLineNumbers w:val="0"/>
              <w:bidi w:val="0"/>
              <w:spacing w:before="0" w:beforeAutospacing="0" w:after="0" w:afterAutospacing="0"/>
              <w:ind w:left="0" w:right="0"/>
              <w:jc w:val="both"/>
              <w:rPr>
                <w:rFonts w:hint="eastAsia"/>
              </w:rPr>
            </w:pPr>
            <w:r>
              <w:rPr>
                <w:rFonts w:hint="eastAsia"/>
                <w:lang w:eastAsia="zh-CN"/>
              </w:rPr>
              <w:t>☑</w:t>
            </w:r>
            <w:r>
              <w:rPr>
                <w:rFonts w:hint="eastAsia"/>
              </w:rPr>
              <w:t>新建（迁建）</w:t>
            </w:r>
          </w:p>
          <w:p w14:paraId="5B661433">
            <w:pPr>
              <w:pStyle w:val="40"/>
              <w:keepNext w:val="0"/>
              <w:keepLines w:val="0"/>
              <w:suppressLineNumbers w:val="0"/>
              <w:bidi w:val="0"/>
              <w:spacing w:before="0" w:beforeAutospacing="0" w:after="0" w:afterAutospacing="0"/>
              <w:ind w:left="0" w:right="0"/>
              <w:jc w:val="both"/>
              <w:rPr>
                <w:rFonts w:hint="eastAsia"/>
              </w:rPr>
            </w:pPr>
            <w:r>
              <w:rPr>
                <w:rFonts w:hint="eastAsia"/>
              </w:rPr>
              <w:t>□改建</w:t>
            </w:r>
          </w:p>
          <w:p w14:paraId="1B86B5BA">
            <w:pPr>
              <w:pStyle w:val="40"/>
              <w:keepNext w:val="0"/>
              <w:keepLines w:val="0"/>
              <w:suppressLineNumbers w:val="0"/>
              <w:bidi w:val="0"/>
              <w:spacing w:before="0" w:beforeAutospacing="0" w:after="0" w:afterAutospacing="0"/>
              <w:ind w:left="0" w:right="0"/>
              <w:jc w:val="both"/>
              <w:rPr>
                <w:rFonts w:hint="eastAsia"/>
              </w:rPr>
            </w:pPr>
            <w:r>
              <w:rPr>
                <w:rFonts w:hint="eastAsia"/>
                <w:lang w:eastAsia="zh-CN"/>
              </w:rPr>
              <w:t>☑</w:t>
            </w:r>
            <w:r>
              <w:rPr>
                <w:rFonts w:hint="eastAsia"/>
              </w:rPr>
              <w:t>扩建</w:t>
            </w:r>
          </w:p>
          <w:p w14:paraId="37EECC27">
            <w:pPr>
              <w:pStyle w:val="40"/>
              <w:keepNext w:val="0"/>
              <w:keepLines w:val="0"/>
              <w:suppressLineNumbers w:val="0"/>
              <w:bidi w:val="0"/>
              <w:spacing w:before="0" w:beforeAutospacing="0" w:after="0" w:afterAutospacing="0"/>
              <w:ind w:left="0" w:right="0"/>
              <w:jc w:val="both"/>
              <w:rPr>
                <w:rFonts w:hint="eastAsia"/>
              </w:rPr>
            </w:pPr>
            <w:r>
              <w:rPr>
                <w:rFonts w:hint="eastAsia"/>
              </w:rPr>
              <w:t>□技术改造</w:t>
            </w:r>
          </w:p>
        </w:tc>
        <w:tc>
          <w:tcPr>
            <w:tcW w:w="1485" w:type="dxa"/>
            <w:noWrap w:val="0"/>
            <w:vAlign w:val="center"/>
          </w:tcPr>
          <w:p w14:paraId="13B4F5F5">
            <w:pPr>
              <w:pStyle w:val="40"/>
              <w:keepNext w:val="0"/>
              <w:keepLines w:val="0"/>
              <w:suppressLineNumbers w:val="0"/>
              <w:bidi w:val="0"/>
              <w:spacing w:before="0" w:beforeAutospacing="0" w:after="0" w:afterAutospacing="0"/>
              <w:ind w:left="0" w:right="0"/>
              <w:rPr>
                <w:rFonts w:hint="eastAsia"/>
              </w:rPr>
            </w:pPr>
            <w:r>
              <w:rPr>
                <w:rFonts w:hint="eastAsia"/>
              </w:rPr>
              <w:t>建设项目</w:t>
            </w:r>
          </w:p>
          <w:p w14:paraId="79938E97">
            <w:pPr>
              <w:pStyle w:val="40"/>
              <w:keepNext w:val="0"/>
              <w:keepLines w:val="0"/>
              <w:suppressLineNumbers w:val="0"/>
              <w:bidi w:val="0"/>
              <w:spacing w:before="0" w:beforeAutospacing="0" w:after="0" w:afterAutospacing="0"/>
              <w:ind w:left="0" w:right="0"/>
              <w:rPr>
                <w:rFonts w:hint="eastAsia"/>
              </w:rPr>
            </w:pPr>
            <w:r>
              <w:rPr>
                <w:rFonts w:hint="eastAsia"/>
              </w:rPr>
              <w:t>申报情形</w:t>
            </w:r>
          </w:p>
        </w:tc>
        <w:tc>
          <w:tcPr>
            <w:tcW w:w="3752" w:type="dxa"/>
            <w:noWrap w:val="0"/>
            <w:vAlign w:val="center"/>
          </w:tcPr>
          <w:p w14:paraId="05350B42">
            <w:pPr>
              <w:pStyle w:val="40"/>
              <w:keepNext w:val="0"/>
              <w:keepLines w:val="0"/>
              <w:suppressLineNumbers w:val="0"/>
              <w:bidi w:val="0"/>
              <w:spacing w:before="0" w:beforeAutospacing="0" w:after="0" w:afterAutospacing="0"/>
              <w:ind w:left="0" w:right="0"/>
              <w:jc w:val="both"/>
              <w:rPr>
                <w:rFonts w:hint="eastAsia"/>
              </w:rPr>
            </w:pPr>
            <w:r>
              <w:rPr>
                <w:rFonts w:hint="eastAsia"/>
              </w:rPr>
              <w:t xml:space="preserve">√首次申报项目             </w:t>
            </w:r>
          </w:p>
          <w:p w14:paraId="5B05E408">
            <w:pPr>
              <w:pStyle w:val="40"/>
              <w:keepNext w:val="0"/>
              <w:keepLines w:val="0"/>
              <w:suppressLineNumbers w:val="0"/>
              <w:bidi w:val="0"/>
              <w:spacing w:before="0" w:beforeAutospacing="0" w:after="0" w:afterAutospacing="0"/>
              <w:ind w:left="0" w:right="0"/>
              <w:jc w:val="both"/>
              <w:rPr>
                <w:rFonts w:hint="eastAsia"/>
              </w:rPr>
            </w:pPr>
            <w:r>
              <w:rPr>
                <w:rFonts w:hint="eastAsia"/>
              </w:rPr>
              <w:t>□不予批准后再次申报项目</w:t>
            </w:r>
          </w:p>
          <w:p w14:paraId="711D27B1">
            <w:pPr>
              <w:pStyle w:val="40"/>
              <w:keepNext w:val="0"/>
              <w:keepLines w:val="0"/>
              <w:suppressLineNumbers w:val="0"/>
              <w:bidi w:val="0"/>
              <w:spacing w:before="0" w:beforeAutospacing="0" w:after="0" w:afterAutospacing="0"/>
              <w:ind w:left="0" w:right="0"/>
              <w:jc w:val="both"/>
              <w:rPr>
                <w:rFonts w:hint="eastAsia"/>
              </w:rPr>
            </w:pPr>
            <w:r>
              <w:rPr>
                <w:rFonts w:hint="eastAsia"/>
              </w:rPr>
              <w:t xml:space="preserve">□超五年重新审核项目     </w:t>
            </w:r>
          </w:p>
          <w:p w14:paraId="3D091CC8">
            <w:pPr>
              <w:pStyle w:val="40"/>
              <w:keepNext w:val="0"/>
              <w:keepLines w:val="0"/>
              <w:suppressLineNumbers w:val="0"/>
              <w:bidi w:val="0"/>
              <w:spacing w:before="0" w:beforeAutospacing="0" w:after="0" w:afterAutospacing="0"/>
              <w:ind w:left="0" w:right="0"/>
              <w:jc w:val="both"/>
              <w:rPr>
                <w:rFonts w:hint="eastAsia"/>
              </w:rPr>
            </w:pPr>
            <w:r>
              <w:rPr>
                <w:rFonts w:hint="eastAsia"/>
              </w:rPr>
              <w:t>□重大变动重新报批项目</w:t>
            </w:r>
          </w:p>
        </w:tc>
      </w:tr>
      <w:tr w14:paraId="010220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531" w:type="dxa"/>
            <w:noWrap w:val="0"/>
            <w:tcMar>
              <w:top w:w="16" w:type="dxa"/>
              <w:left w:w="16" w:type="dxa"/>
              <w:right w:w="16" w:type="dxa"/>
            </w:tcMar>
            <w:vAlign w:val="center"/>
          </w:tcPr>
          <w:p w14:paraId="2E7D3628">
            <w:pPr>
              <w:pStyle w:val="40"/>
              <w:keepNext w:val="0"/>
              <w:keepLines w:val="0"/>
              <w:suppressLineNumbers w:val="0"/>
              <w:bidi w:val="0"/>
              <w:spacing w:before="0" w:beforeAutospacing="0" w:after="0" w:afterAutospacing="0"/>
              <w:ind w:left="0" w:right="0"/>
              <w:rPr>
                <w:rFonts w:hint="eastAsia"/>
              </w:rPr>
            </w:pPr>
            <w:r>
              <w:rPr>
                <w:rFonts w:hint="eastAsia"/>
              </w:rPr>
              <w:t>项目审批（核准/备案）部门（选填）</w:t>
            </w:r>
          </w:p>
        </w:tc>
        <w:tc>
          <w:tcPr>
            <w:tcW w:w="2102" w:type="dxa"/>
            <w:noWrap w:val="0"/>
            <w:vAlign w:val="center"/>
          </w:tcPr>
          <w:p w14:paraId="349D675A">
            <w:pPr>
              <w:pStyle w:val="40"/>
              <w:keepNext w:val="0"/>
              <w:keepLines w:val="0"/>
              <w:suppressLineNumbers w:val="0"/>
              <w:bidi w:val="0"/>
              <w:spacing w:before="0" w:beforeAutospacing="0" w:after="0" w:afterAutospacing="0"/>
              <w:ind w:left="0" w:right="0"/>
              <w:jc w:val="center"/>
              <w:rPr>
                <w:rFonts w:hint="eastAsia"/>
                <w:lang w:val="en-US" w:eastAsia="zh-CN"/>
              </w:rPr>
            </w:pPr>
            <w:r>
              <w:rPr>
                <w:rFonts w:hint="eastAsia"/>
                <w:lang w:val="en-US" w:eastAsia="zh-CN"/>
              </w:rPr>
              <w:t>福清市发展和改革局</w:t>
            </w:r>
          </w:p>
        </w:tc>
        <w:tc>
          <w:tcPr>
            <w:tcW w:w="1485" w:type="dxa"/>
            <w:noWrap w:val="0"/>
            <w:vAlign w:val="center"/>
          </w:tcPr>
          <w:p w14:paraId="7CAC915F">
            <w:pPr>
              <w:pStyle w:val="40"/>
              <w:keepNext w:val="0"/>
              <w:keepLines w:val="0"/>
              <w:suppressLineNumbers w:val="0"/>
              <w:bidi w:val="0"/>
              <w:spacing w:before="0" w:beforeAutospacing="0" w:after="0" w:afterAutospacing="0"/>
              <w:ind w:left="0" w:right="0"/>
              <w:rPr>
                <w:rFonts w:hint="eastAsia"/>
              </w:rPr>
            </w:pPr>
            <w:r>
              <w:rPr>
                <w:rFonts w:hint="eastAsia"/>
              </w:rPr>
              <w:t>项目审批（核准/备案）文号（选填）</w:t>
            </w:r>
          </w:p>
        </w:tc>
        <w:tc>
          <w:tcPr>
            <w:tcW w:w="3752" w:type="dxa"/>
            <w:noWrap w:val="0"/>
            <w:vAlign w:val="center"/>
          </w:tcPr>
          <w:p w14:paraId="2A0BDD84">
            <w:pPr>
              <w:pStyle w:val="40"/>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闽工信备〔2026〕A060001号</w:t>
            </w:r>
          </w:p>
        </w:tc>
      </w:tr>
      <w:tr w14:paraId="0BD8C2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2" w:hRule="atLeast"/>
          <w:jc w:val="center"/>
        </w:trPr>
        <w:tc>
          <w:tcPr>
            <w:tcW w:w="1531" w:type="dxa"/>
            <w:noWrap w:val="0"/>
            <w:tcMar>
              <w:top w:w="16" w:type="dxa"/>
              <w:left w:w="16" w:type="dxa"/>
              <w:right w:w="16" w:type="dxa"/>
            </w:tcMar>
            <w:vAlign w:val="center"/>
          </w:tcPr>
          <w:p w14:paraId="471CEE6F">
            <w:pPr>
              <w:pStyle w:val="40"/>
              <w:keepNext w:val="0"/>
              <w:keepLines w:val="0"/>
              <w:suppressLineNumbers w:val="0"/>
              <w:bidi w:val="0"/>
              <w:spacing w:before="0" w:beforeAutospacing="0" w:after="0" w:afterAutospacing="0"/>
              <w:ind w:left="0" w:right="0"/>
              <w:rPr>
                <w:rFonts w:hint="eastAsia"/>
              </w:rPr>
            </w:pPr>
            <w:r>
              <w:rPr>
                <w:rFonts w:hint="eastAsia"/>
              </w:rPr>
              <w:t>总投资（万元）</w:t>
            </w:r>
          </w:p>
        </w:tc>
        <w:tc>
          <w:tcPr>
            <w:tcW w:w="2102" w:type="dxa"/>
            <w:noWrap w:val="0"/>
            <w:vAlign w:val="center"/>
          </w:tcPr>
          <w:p w14:paraId="67991920">
            <w:pPr>
              <w:pStyle w:val="40"/>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120</w:t>
            </w:r>
          </w:p>
        </w:tc>
        <w:tc>
          <w:tcPr>
            <w:tcW w:w="1485" w:type="dxa"/>
            <w:noWrap w:val="0"/>
            <w:tcMar>
              <w:top w:w="16" w:type="dxa"/>
              <w:left w:w="16" w:type="dxa"/>
              <w:right w:w="16" w:type="dxa"/>
            </w:tcMar>
            <w:vAlign w:val="center"/>
          </w:tcPr>
          <w:p w14:paraId="531056B8">
            <w:pPr>
              <w:pStyle w:val="40"/>
              <w:keepNext w:val="0"/>
              <w:keepLines w:val="0"/>
              <w:suppressLineNumbers w:val="0"/>
              <w:bidi w:val="0"/>
              <w:spacing w:before="0" w:beforeAutospacing="0" w:after="0" w:afterAutospacing="0"/>
              <w:ind w:left="0" w:right="0"/>
              <w:rPr>
                <w:rFonts w:hint="eastAsia"/>
              </w:rPr>
            </w:pPr>
            <w:r>
              <w:rPr>
                <w:rFonts w:hint="eastAsia"/>
              </w:rPr>
              <w:t>环保投资（万元）</w:t>
            </w:r>
          </w:p>
        </w:tc>
        <w:tc>
          <w:tcPr>
            <w:tcW w:w="3752" w:type="dxa"/>
            <w:noWrap w:val="0"/>
            <w:vAlign w:val="center"/>
          </w:tcPr>
          <w:p w14:paraId="7D42533E">
            <w:pPr>
              <w:pStyle w:val="40"/>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30</w:t>
            </w:r>
          </w:p>
        </w:tc>
      </w:tr>
      <w:tr w14:paraId="07067B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31" w:type="dxa"/>
            <w:noWrap w:val="0"/>
            <w:tcMar>
              <w:top w:w="16" w:type="dxa"/>
              <w:left w:w="16" w:type="dxa"/>
              <w:right w:w="16" w:type="dxa"/>
            </w:tcMar>
            <w:vAlign w:val="center"/>
          </w:tcPr>
          <w:p w14:paraId="0F366AD9">
            <w:pPr>
              <w:pStyle w:val="40"/>
              <w:keepNext w:val="0"/>
              <w:keepLines w:val="0"/>
              <w:suppressLineNumbers w:val="0"/>
              <w:bidi w:val="0"/>
              <w:spacing w:before="0" w:beforeAutospacing="0" w:after="0" w:afterAutospacing="0"/>
              <w:ind w:left="0" w:right="0"/>
              <w:rPr>
                <w:rFonts w:hint="eastAsia"/>
              </w:rPr>
            </w:pPr>
            <w:r>
              <w:rPr>
                <w:rFonts w:hint="eastAsia"/>
              </w:rPr>
              <w:t>环保投资占比（%）</w:t>
            </w:r>
          </w:p>
        </w:tc>
        <w:tc>
          <w:tcPr>
            <w:tcW w:w="2102" w:type="dxa"/>
            <w:noWrap w:val="0"/>
            <w:vAlign w:val="center"/>
          </w:tcPr>
          <w:p w14:paraId="580FEFD8">
            <w:pPr>
              <w:pStyle w:val="40"/>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25</w:t>
            </w:r>
          </w:p>
        </w:tc>
        <w:tc>
          <w:tcPr>
            <w:tcW w:w="1485" w:type="dxa"/>
            <w:noWrap w:val="0"/>
            <w:tcMar>
              <w:top w:w="16" w:type="dxa"/>
              <w:left w:w="16" w:type="dxa"/>
              <w:right w:w="16" w:type="dxa"/>
            </w:tcMar>
            <w:vAlign w:val="center"/>
          </w:tcPr>
          <w:p w14:paraId="46F69D30">
            <w:pPr>
              <w:pStyle w:val="40"/>
              <w:keepNext w:val="0"/>
              <w:keepLines w:val="0"/>
              <w:suppressLineNumbers w:val="0"/>
              <w:bidi w:val="0"/>
              <w:spacing w:before="0" w:beforeAutospacing="0" w:after="0" w:afterAutospacing="0"/>
              <w:ind w:left="0" w:right="0"/>
              <w:rPr>
                <w:rFonts w:hint="eastAsia"/>
              </w:rPr>
            </w:pPr>
            <w:r>
              <w:rPr>
                <w:rFonts w:hint="eastAsia"/>
              </w:rPr>
              <w:t>施工工期</w:t>
            </w:r>
          </w:p>
        </w:tc>
        <w:tc>
          <w:tcPr>
            <w:tcW w:w="3752" w:type="dxa"/>
            <w:noWrap w:val="0"/>
            <w:vAlign w:val="center"/>
          </w:tcPr>
          <w:p w14:paraId="2D37FF0B">
            <w:pPr>
              <w:pStyle w:val="40"/>
              <w:keepNext w:val="0"/>
              <w:keepLines w:val="0"/>
              <w:suppressLineNumbers w:val="0"/>
              <w:bidi w:val="0"/>
              <w:spacing w:before="0" w:beforeAutospacing="0" w:after="0" w:afterAutospacing="0"/>
              <w:ind w:left="0" w:right="0"/>
              <w:jc w:val="center"/>
              <w:rPr>
                <w:rFonts w:hint="default"/>
                <w:lang w:val="en-US" w:eastAsia="zh-CN"/>
              </w:rPr>
            </w:pPr>
            <w:r>
              <w:rPr>
                <w:rFonts w:hint="eastAsia"/>
                <w:lang w:val="en-US" w:eastAsia="zh-CN"/>
              </w:rPr>
              <w:t>4个月</w:t>
            </w:r>
          </w:p>
        </w:tc>
      </w:tr>
      <w:tr w14:paraId="3C11FA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531" w:type="dxa"/>
            <w:noWrap w:val="0"/>
            <w:tcMar>
              <w:top w:w="16" w:type="dxa"/>
              <w:left w:w="16" w:type="dxa"/>
              <w:right w:w="16" w:type="dxa"/>
            </w:tcMar>
            <w:vAlign w:val="center"/>
          </w:tcPr>
          <w:p w14:paraId="2CB63446">
            <w:pPr>
              <w:pStyle w:val="40"/>
              <w:keepNext w:val="0"/>
              <w:keepLines w:val="0"/>
              <w:suppressLineNumbers w:val="0"/>
              <w:bidi w:val="0"/>
              <w:spacing w:before="0" w:beforeAutospacing="0" w:after="0" w:afterAutospacing="0"/>
              <w:ind w:left="0" w:right="0"/>
              <w:rPr>
                <w:rFonts w:hint="eastAsia"/>
              </w:rPr>
            </w:pPr>
            <w:r>
              <w:rPr>
                <w:rFonts w:hint="eastAsia"/>
              </w:rPr>
              <w:t>是否开工建设</w:t>
            </w:r>
          </w:p>
        </w:tc>
        <w:tc>
          <w:tcPr>
            <w:tcW w:w="2102" w:type="dxa"/>
            <w:noWrap w:val="0"/>
            <w:vAlign w:val="center"/>
          </w:tcPr>
          <w:p w14:paraId="5D198B6B">
            <w:pPr>
              <w:pStyle w:val="40"/>
              <w:keepNext w:val="0"/>
              <w:keepLines w:val="0"/>
              <w:suppressLineNumbers w:val="0"/>
              <w:bidi w:val="0"/>
              <w:spacing w:before="0" w:beforeAutospacing="0" w:after="0" w:afterAutospacing="0"/>
              <w:ind w:left="0" w:right="0"/>
              <w:jc w:val="both"/>
              <w:rPr>
                <w:rFonts w:hint="eastAsia"/>
              </w:rPr>
            </w:pPr>
            <w:r>
              <w:rPr>
                <w:rFonts w:hint="eastAsia"/>
              </w:rPr>
              <w:t>√否</w:t>
            </w:r>
          </w:p>
          <w:p w14:paraId="79024C59">
            <w:pPr>
              <w:pStyle w:val="40"/>
              <w:keepNext w:val="0"/>
              <w:keepLines w:val="0"/>
              <w:suppressLineNumbers w:val="0"/>
              <w:bidi w:val="0"/>
              <w:spacing w:before="0" w:beforeAutospacing="0" w:after="0" w:afterAutospacing="0"/>
              <w:ind w:left="0" w:right="0"/>
              <w:jc w:val="both"/>
              <w:rPr>
                <w:rFonts w:hint="eastAsia"/>
              </w:rPr>
            </w:pPr>
            <w:r>
              <w:rPr>
                <w:rFonts w:hint="eastAsia"/>
              </w:rPr>
              <w:t xml:space="preserve">□是：     </w:t>
            </w:r>
          </w:p>
        </w:tc>
        <w:tc>
          <w:tcPr>
            <w:tcW w:w="1485" w:type="dxa"/>
            <w:noWrap w:val="0"/>
            <w:tcMar>
              <w:top w:w="16" w:type="dxa"/>
              <w:left w:w="16" w:type="dxa"/>
              <w:right w:w="16" w:type="dxa"/>
            </w:tcMar>
            <w:vAlign w:val="center"/>
          </w:tcPr>
          <w:p w14:paraId="2AEBBA23">
            <w:pPr>
              <w:pStyle w:val="40"/>
              <w:keepNext w:val="0"/>
              <w:keepLines w:val="0"/>
              <w:suppressLineNumbers w:val="0"/>
              <w:bidi w:val="0"/>
              <w:spacing w:before="0" w:beforeAutospacing="0" w:after="0" w:afterAutospacing="0"/>
              <w:ind w:left="0" w:right="0"/>
              <w:rPr>
                <w:rFonts w:hint="eastAsia"/>
              </w:rPr>
            </w:pPr>
            <w:r>
              <w:rPr>
                <w:rFonts w:hint="eastAsia"/>
              </w:rPr>
              <w:t>用地（用海）</w:t>
            </w:r>
          </w:p>
          <w:p w14:paraId="45681835">
            <w:pPr>
              <w:pStyle w:val="40"/>
              <w:keepNext w:val="0"/>
              <w:keepLines w:val="0"/>
              <w:suppressLineNumbers w:val="0"/>
              <w:bidi w:val="0"/>
              <w:spacing w:before="0" w:beforeAutospacing="0" w:after="0" w:afterAutospacing="0"/>
              <w:ind w:left="0" w:right="0"/>
              <w:rPr>
                <w:rFonts w:hint="eastAsia"/>
              </w:rPr>
            </w:pPr>
            <w:r>
              <w:rPr>
                <w:rFonts w:hint="eastAsia"/>
              </w:rPr>
              <w:t>面积（m</w:t>
            </w:r>
            <w:r>
              <w:rPr>
                <w:rFonts w:hint="eastAsia"/>
                <w:vertAlign w:val="superscript"/>
              </w:rPr>
              <w:t>2</w:t>
            </w:r>
            <w:r>
              <w:rPr>
                <w:rFonts w:hint="eastAsia"/>
              </w:rPr>
              <w:t>）</w:t>
            </w:r>
          </w:p>
        </w:tc>
        <w:tc>
          <w:tcPr>
            <w:tcW w:w="3752" w:type="dxa"/>
            <w:noWrap w:val="0"/>
            <w:vAlign w:val="center"/>
          </w:tcPr>
          <w:p w14:paraId="2DD636E9">
            <w:pPr>
              <w:pStyle w:val="40"/>
              <w:keepNext w:val="0"/>
              <w:keepLines w:val="0"/>
              <w:suppressLineNumbers w:val="0"/>
              <w:bidi w:val="0"/>
              <w:spacing w:before="0" w:beforeAutospacing="0" w:after="0" w:afterAutospacing="0"/>
              <w:ind w:left="0" w:right="0"/>
              <w:jc w:val="both"/>
              <w:rPr>
                <w:rFonts w:hint="default"/>
                <w:lang w:val="en-US" w:eastAsia="zh-CN"/>
              </w:rPr>
            </w:pPr>
            <w:r>
              <w:rPr>
                <w:rFonts w:hint="eastAsia"/>
              </w:rPr>
              <w:t>租赁厂房面积</w:t>
            </w:r>
            <w:r>
              <w:rPr>
                <w:rFonts w:hint="eastAsia"/>
                <w:lang w:val="en-US" w:eastAsia="zh-CN"/>
              </w:rPr>
              <w:t>2212.46</w:t>
            </w:r>
            <w:r>
              <w:rPr>
                <w:rFonts w:hint="eastAsia"/>
              </w:rPr>
              <w:t>m</w:t>
            </w:r>
            <w:r>
              <w:rPr>
                <w:rFonts w:hint="eastAsia"/>
                <w:vertAlign w:val="superscript"/>
              </w:rPr>
              <w:t>2</w:t>
            </w:r>
          </w:p>
        </w:tc>
      </w:tr>
      <w:tr w14:paraId="167390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531" w:type="dxa"/>
            <w:noWrap w:val="0"/>
            <w:vAlign w:val="center"/>
          </w:tcPr>
          <w:p w14:paraId="3B4FDC37">
            <w:pPr>
              <w:pStyle w:val="40"/>
              <w:keepNext w:val="0"/>
              <w:keepLines w:val="0"/>
              <w:suppressLineNumbers w:val="0"/>
              <w:bidi w:val="0"/>
              <w:spacing w:before="0" w:beforeAutospacing="0" w:after="0" w:afterAutospacing="0"/>
              <w:ind w:left="0" w:right="0"/>
              <w:rPr>
                <w:rFonts w:hint="eastAsia"/>
              </w:rPr>
            </w:pPr>
            <w:r>
              <w:rPr>
                <w:rFonts w:hint="eastAsia"/>
              </w:rPr>
              <w:t>专项评价设置情况</w:t>
            </w:r>
          </w:p>
        </w:tc>
        <w:tc>
          <w:tcPr>
            <w:tcW w:w="7339" w:type="dxa"/>
            <w:gridSpan w:val="3"/>
            <w:noWrap w:val="0"/>
            <w:vAlign w:val="center"/>
          </w:tcPr>
          <w:p w14:paraId="64650911">
            <w:pPr>
              <w:keepNext w:val="0"/>
              <w:keepLines w:val="0"/>
              <w:suppressLineNumbers w:val="0"/>
              <w:bidi w:val="0"/>
              <w:spacing w:before="0" w:beforeAutospacing="0" w:after="0" w:afterAutospacing="0"/>
              <w:ind w:left="0" w:right="0"/>
              <w:rPr>
                <w:rFonts w:hint="eastAsia"/>
                <w:b w:val="0"/>
                <w:bCs w:val="0"/>
                <w:iCs w:val="0"/>
                <w:color w:val="auto"/>
              </w:rPr>
            </w:pPr>
            <w:r>
              <w:rPr>
                <w:rFonts w:hint="eastAsia"/>
                <w:b w:val="0"/>
                <w:bCs w:val="0"/>
                <w:iCs w:val="0"/>
              </w:rPr>
              <w:t>根据《建设项目环境影响报告表编制技术指南（污染影响类试行）》，项目工程专项设置情况参照专项评价设置原则表，项目不设置专项评价，具体详见表1-1。</w:t>
            </w:r>
          </w:p>
          <w:p w14:paraId="1319CE75">
            <w:pPr>
              <w:pStyle w:val="39"/>
              <w:keepNext w:val="0"/>
              <w:keepLines w:val="0"/>
              <w:suppressLineNumbers w:val="0"/>
              <w:bidi w:val="0"/>
              <w:spacing w:before="0" w:beforeAutospacing="0" w:after="0" w:afterAutospacing="0"/>
              <w:ind w:left="0" w:right="0"/>
              <w:rPr>
                <w:rFonts w:hint="eastAsia"/>
              </w:rPr>
            </w:pPr>
            <w:r>
              <w:rPr>
                <w:rFonts w:hint="eastAsia"/>
              </w:rPr>
              <w:t>表1-1  专项评价设置表</w:t>
            </w:r>
          </w:p>
          <w:tbl>
            <w:tblPr>
              <w:tblStyle w:val="30"/>
              <w:tblW w:w="67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7"/>
              <w:gridCol w:w="2557"/>
              <w:gridCol w:w="2171"/>
              <w:gridCol w:w="905"/>
            </w:tblGrid>
            <w:tr w14:paraId="6B5FD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1127" w:type="dxa"/>
                  <w:tcBorders>
                    <w:top w:val="single" w:color="auto" w:sz="12" w:space="0"/>
                    <w:left w:val="nil"/>
                    <w:bottom w:val="single" w:color="auto" w:sz="4" w:space="0"/>
                    <w:right w:val="single" w:color="auto" w:sz="4" w:space="0"/>
                  </w:tcBorders>
                  <w:vAlign w:val="center"/>
                </w:tcPr>
                <w:p w14:paraId="60122CF4">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专项评价类别</w:t>
                  </w:r>
                </w:p>
              </w:tc>
              <w:tc>
                <w:tcPr>
                  <w:tcW w:w="2557" w:type="dxa"/>
                  <w:tcBorders>
                    <w:top w:val="single" w:color="auto" w:sz="12" w:space="0"/>
                    <w:left w:val="single" w:color="auto" w:sz="4" w:space="0"/>
                    <w:bottom w:val="single" w:color="auto" w:sz="4" w:space="0"/>
                    <w:right w:val="single" w:color="auto" w:sz="4" w:space="0"/>
                  </w:tcBorders>
                  <w:vAlign w:val="center"/>
                </w:tcPr>
                <w:p w14:paraId="34536D4D">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设置原则</w:t>
                  </w:r>
                </w:p>
              </w:tc>
              <w:tc>
                <w:tcPr>
                  <w:tcW w:w="2171" w:type="dxa"/>
                  <w:tcBorders>
                    <w:top w:val="single" w:color="auto" w:sz="12" w:space="0"/>
                    <w:left w:val="single" w:color="auto" w:sz="4" w:space="0"/>
                    <w:bottom w:val="single" w:color="auto" w:sz="4" w:space="0"/>
                    <w:right w:val="single" w:color="auto" w:sz="4" w:space="0"/>
                  </w:tcBorders>
                  <w:vAlign w:val="center"/>
                </w:tcPr>
                <w:p w14:paraId="7F94E295">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本项目情况</w:t>
                  </w:r>
                </w:p>
              </w:tc>
              <w:tc>
                <w:tcPr>
                  <w:tcW w:w="905" w:type="dxa"/>
                  <w:tcBorders>
                    <w:top w:val="single" w:color="auto" w:sz="12" w:space="0"/>
                    <w:left w:val="single" w:color="auto" w:sz="4" w:space="0"/>
                    <w:bottom w:val="single" w:color="auto" w:sz="4" w:space="0"/>
                    <w:right w:val="nil"/>
                  </w:tcBorders>
                  <w:vAlign w:val="center"/>
                </w:tcPr>
                <w:p w14:paraId="0DC57680">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是否设置专项评价</w:t>
                  </w:r>
                </w:p>
              </w:tc>
            </w:tr>
            <w:tr w14:paraId="6A574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1127" w:type="dxa"/>
                  <w:tcBorders>
                    <w:top w:val="single" w:color="auto" w:sz="4" w:space="0"/>
                    <w:left w:val="nil"/>
                    <w:bottom w:val="single" w:color="auto" w:sz="4" w:space="0"/>
                    <w:right w:val="single" w:color="auto" w:sz="4" w:space="0"/>
                  </w:tcBorders>
                  <w:vAlign w:val="center"/>
                </w:tcPr>
                <w:p w14:paraId="56B304B1">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大气</w:t>
                  </w:r>
                </w:p>
              </w:tc>
              <w:tc>
                <w:tcPr>
                  <w:tcW w:w="2557" w:type="dxa"/>
                  <w:tcBorders>
                    <w:top w:val="single" w:color="auto" w:sz="4" w:space="0"/>
                    <w:left w:val="single" w:color="auto" w:sz="4" w:space="0"/>
                    <w:bottom w:val="single" w:color="auto" w:sz="4" w:space="0"/>
                    <w:right w:val="single" w:color="auto" w:sz="4" w:space="0"/>
                  </w:tcBorders>
                  <w:vAlign w:val="center"/>
                </w:tcPr>
                <w:p w14:paraId="2CC7F183">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排放废气含有毒有害污染物1、二噁英、苯并[a]芘、氰化物、氯气且厂界外</w:t>
                  </w:r>
                  <w:r>
                    <w:rPr>
                      <w:rFonts w:hint="eastAsia"/>
                      <w:b w:val="0"/>
                      <w:bCs w:val="0"/>
                      <w:szCs w:val="22"/>
                      <w:lang w:eastAsia="zh-CN"/>
                    </w:rPr>
                    <w:t>50</w:t>
                  </w:r>
                  <w:r>
                    <w:rPr>
                      <w:rFonts w:hint="eastAsia"/>
                      <w:b w:val="0"/>
                      <w:bCs w:val="0"/>
                      <w:szCs w:val="22"/>
                    </w:rPr>
                    <w:t>0米范围内有环境空气保护目标2的建设项目。</w:t>
                  </w:r>
                </w:p>
              </w:tc>
              <w:tc>
                <w:tcPr>
                  <w:tcW w:w="2171" w:type="dxa"/>
                  <w:tcBorders>
                    <w:top w:val="single" w:color="auto" w:sz="4" w:space="0"/>
                    <w:left w:val="single" w:color="auto" w:sz="4" w:space="0"/>
                    <w:bottom w:val="single" w:color="auto" w:sz="4" w:space="0"/>
                    <w:right w:val="single" w:color="auto" w:sz="4" w:space="0"/>
                  </w:tcBorders>
                  <w:vAlign w:val="center"/>
                </w:tcPr>
                <w:p w14:paraId="0D89080F">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项目排放废气不含有毒有害污染物1、二噁英苯并[a]芘、氰化物、氯气。</w:t>
                  </w:r>
                </w:p>
              </w:tc>
              <w:tc>
                <w:tcPr>
                  <w:tcW w:w="905" w:type="dxa"/>
                  <w:tcBorders>
                    <w:top w:val="single" w:color="auto" w:sz="4" w:space="0"/>
                    <w:left w:val="single" w:color="auto" w:sz="4" w:space="0"/>
                    <w:bottom w:val="single" w:color="auto" w:sz="4" w:space="0"/>
                    <w:right w:val="nil"/>
                  </w:tcBorders>
                  <w:vAlign w:val="center"/>
                </w:tcPr>
                <w:p w14:paraId="5D06D647">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否</w:t>
                  </w:r>
                </w:p>
              </w:tc>
            </w:tr>
            <w:tr w14:paraId="1D796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1127" w:type="dxa"/>
                  <w:tcBorders>
                    <w:top w:val="single" w:color="auto" w:sz="4" w:space="0"/>
                    <w:left w:val="nil"/>
                    <w:bottom w:val="single" w:color="auto" w:sz="4" w:space="0"/>
                    <w:right w:val="single" w:color="auto" w:sz="4" w:space="0"/>
                  </w:tcBorders>
                  <w:vAlign w:val="center"/>
                </w:tcPr>
                <w:p w14:paraId="329CC4BC">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地表水</w:t>
                  </w:r>
                </w:p>
              </w:tc>
              <w:tc>
                <w:tcPr>
                  <w:tcW w:w="2557" w:type="dxa"/>
                  <w:tcBorders>
                    <w:top w:val="single" w:color="auto" w:sz="4" w:space="0"/>
                    <w:left w:val="single" w:color="auto" w:sz="4" w:space="0"/>
                    <w:bottom w:val="single" w:color="auto" w:sz="4" w:space="0"/>
                    <w:right w:val="single" w:color="auto" w:sz="4" w:space="0"/>
                  </w:tcBorders>
                  <w:vAlign w:val="center"/>
                </w:tcPr>
                <w:p w14:paraId="43343DA8">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新增工业废水直排建设项目（槽罐车外送污水处理厂的除外）；新增废水直排的污水集中处理厂</w:t>
                  </w:r>
                </w:p>
              </w:tc>
              <w:tc>
                <w:tcPr>
                  <w:tcW w:w="2171" w:type="dxa"/>
                  <w:tcBorders>
                    <w:top w:val="single" w:color="auto" w:sz="4" w:space="0"/>
                    <w:left w:val="single" w:color="auto" w:sz="4" w:space="0"/>
                    <w:bottom w:val="single" w:color="auto" w:sz="4" w:space="0"/>
                    <w:right w:val="single" w:color="auto" w:sz="4" w:space="0"/>
                  </w:tcBorders>
                  <w:vAlign w:val="center"/>
                </w:tcPr>
                <w:p w14:paraId="462E3C4F">
                  <w:pPr>
                    <w:pStyle w:val="15"/>
                    <w:keepNext w:val="0"/>
                    <w:keepLines w:val="0"/>
                    <w:suppressLineNumbers w:val="0"/>
                    <w:bidi w:val="0"/>
                    <w:spacing w:before="0" w:beforeAutospacing="0" w:after="0" w:afterAutospacing="0"/>
                    <w:ind w:left="0" w:right="0"/>
                    <w:rPr>
                      <w:b w:val="0"/>
                      <w:bCs w:val="0"/>
                    </w:rPr>
                  </w:pPr>
                  <w:r>
                    <w:rPr>
                      <w:rStyle w:val="46"/>
                    </w:rPr>
                    <w:t>项目</w:t>
                  </w:r>
                  <w:r>
                    <w:rPr>
                      <w:rStyle w:val="46"/>
                      <w:rFonts w:hint="eastAsia"/>
                    </w:rPr>
                    <w:t>外排的生活污水经化粪池处理达标后排入市政污水管网，纳入</w:t>
                  </w:r>
                  <w:r>
                    <w:rPr>
                      <w:rStyle w:val="46"/>
                      <w:rFonts w:hint="eastAsia"/>
                      <w:lang w:eastAsia="zh-CN"/>
                    </w:rPr>
                    <w:t>福清市融元污水处理厂</w:t>
                  </w:r>
                  <w:r>
                    <w:rPr>
                      <w:rStyle w:val="46"/>
                      <w:rFonts w:hint="eastAsia"/>
                    </w:rPr>
                    <w:t>集中处理；项目不外排生产废水</w:t>
                  </w:r>
                </w:p>
              </w:tc>
              <w:tc>
                <w:tcPr>
                  <w:tcW w:w="905" w:type="dxa"/>
                  <w:tcBorders>
                    <w:top w:val="single" w:color="auto" w:sz="4" w:space="0"/>
                    <w:left w:val="single" w:color="auto" w:sz="4" w:space="0"/>
                    <w:bottom w:val="single" w:color="auto" w:sz="4" w:space="0"/>
                    <w:right w:val="nil"/>
                  </w:tcBorders>
                  <w:vAlign w:val="center"/>
                </w:tcPr>
                <w:p w14:paraId="76CC7A36">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否</w:t>
                  </w:r>
                </w:p>
              </w:tc>
            </w:tr>
            <w:tr w14:paraId="35CAE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1127" w:type="dxa"/>
                  <w:tcBorders>
                    <w:top w:val="single" w:color="auto" w:sz="4" w:space="0"/>
                    <w:left w:val="nil"/>
                    <w:bottom w:val="single" w:color="auto" w:sz="4" w:space="0"/>
                    <w:right w:val="single" w:color="auto" w:sz="4" w:space="0"/>
                  </w:tcBorders>
                  <w:vAlign w:val="center"/>
                </w:tcPr>
                <w:p w14:paraId="56C364B0">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环境风险</w:t>
                  </w:r>
                </w:p>
              </w:tc>
              <w:tc>
                <w:tcPr>
                  <w:tcW w:w="2557" w:type="dxa"/>
                  <w:tcBorders>
                    <w:top w:val="single" w:color="auto" w:sz="4" w:space="0"/>
                    <w:left w:val="single" w:color="auto" w:sz="4" w:space="0"/>
                    <w:bottom w:val="single" w:color="auto" w:sz="4" w:space="0"/>
                    <w:right w:val="single" w:color="auto" w:sz="4" w:space="0"/>
                  </w:tcBorders>
                  <w:vAlign w:val="center"/>
                </w:tcPr>
                <w:p w14:paraId="20FAA3E2">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有毒有害和易燃易爆危险物质存储量超过临界量</w:t>
                  </w:r>
                  <w:r>
                    <w:rPr>
                      <w:rFonts w:hint="eastAsia"/>
                      <w:b w:val="0"/>
                      <w:bCs w:val="0"/>
                      <w:szCs w:val="22"/>
                      <w:vertAlign w:val="superscript"/>
                      <w:lang w:val="en-US" w:eastAsia="zh-CN"/>
                    </w:rPr>
                    <w:t>3</w:t>
                  </w:r>
                  <w:r>
                    <w:rPr>
                      <w:rFonts w:hint="eastAsia"/>
                      <w:b w:val="0"/>
                      <w:bCs w:val="0"/>
                      <w:szCs w:val="22"/>
                    </w:rPr>
                    <w:t>的建设项目。</w:t>
                  </w:r>
                </w:p>
              </w:tc>
              <w:tc>
                <w:tcPr>
                  <w:tcW w:w="2171" w:type="dxa"/>
                  <w:tcBorders>
                    <w:top w:val="single" w:color="auto" w:sz="4" w:space="0"/>
                    <w:left w:val="single" w:color="auto" w:sz="4" w:space="0"/>
                    <w:bottom w:val="single" w:color="auto" w:sz="4" w:space="0"/>
                    <w:right w:val="single" w:color="auto" w:sz="4" w:space="0"/>
                  </w:tcBorders>
                  <w:vAlign w:val="center"/>
                </w:tcPr>
                <w:p w14:paraId="4A6DD6D0">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项目涉及的有毒有害和易燃易爆危险物质存储量未超过临界量</w:t>
                  </w:r>
                </w:p>
              </w:tc>
              <w:tc>
                <w:tcPr>
                  <w:tcW w:w="905" w:type="dxa"/>
                  <w:tcBorders>
                    <w:top w:val="single" w:color="auto" w:sz="4" w:space="0"/>
                    <w:left w:val="single" w:color="auto" w:sz="4" w:space="0"/>
                    <w:bottom w:val="single" w:color="auto" w:sz="4" w:space="0"/>
                    <w:right w:val="nil"/>
                  </w:tcBorders>
                  <w:vAlign w:val="center"/>
                </w:tcPr>
                <w:p w14:paraId="72D6CEDD">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否</w:t>
                  </w:r>
                </w:p>
              </w:tc>
            </w:tr>
            <w:tr w14:paraId="101A7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1127" w:type="dxa"/>
                  <w:tcBorders>
                    <w:top w:val="single" w:color="auto" w:sz="4" w:space="0"/>
                    <w:left w:val="nil"/>
                    <w:bottom w:val="single" w:color="auto" w:sz="4" w:space="0"/>
                    <w:right w:val="single" w:color="auto" w:sz="4" w:space="0"/>
                  </w:tcBorders>
                  <w:vAlign w:val="center"/>
                </w:tcPr>
                <w:p w14:paraId="43A54D17">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生态</w:t>
                  </w:r>
                </w:p>
              </w:tc>
              <w:tc>
                <w:tcPr>
                  <w:tcW w:w="2557" w:type="dxa"/>
                  <w:tcBorders>
                    <w:top w:val="single" w:color="auto" w:sz="4" w:space="0"/>
                    <w:left w:val="single" w:color="auto" w:sz="4" w:space="0"/>
                    <w:bottom w:val="single" w:color="auto" w:sz="4" w:space="0"/>
                    <w:right w:val="single" w:color="auto" w:sz="4" w:space="0"/>
                  </w:tcBorders>
                  <w:vAlign w:val="center"/>
                </w:tcPr>
                <w:p w14:paraId="378B5382">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取水口下游</w:t>
                  </w:r>
                  <w:r>
                    <w:rPr>
                      <w:rFonts w:hint="eastAsia"/>
                      <w:b w:val="0"/>
                      <w:bCs w:val="0"/>
                      <w:szCs w:val="22"/>
                      <w:lang w:eastAsia="zh-CN"/>
                    </w:rPr>
                    <w:t>50</w:t>
                  </w:r>
                  <w:r>
                    <w:rPr>
                      <w:rFonts w:hint="eastAsia"/>
                      <w:b w:val="0"/>
                      <w:bCs w:val="0"/>
                      <w:szCs w:val="22"/>
                    </w:rPr>
                    <w:t>0米范围内有重要水生生物的自然产卵场、索饵场、越冬场和河游通道的新增河道取水的污染类建设项目</w:t>
                  </w:r>
                </w:p>
              </w:tc>
              <w:tc>
                <w:tcPr>
                  <w:tcW w:w="2171" w:type="dxa"/>
                  <w:tcBorders>
                    <w:top w:val="single" w:color="auto" w:sz="4" w:space="0"/>
                    <w:left w:val="single" w:color="auto" w:sz="4" w:space="0"/>
                    <w:bottom w:val="single" w:color="auto" w:sz="4" w:space="0"/>
                    <w:right w:val="single" w:color="auto" w:sz="4" w:space="0"/>
                  </w:tcBorders>
                  <w:vAlign w:val="center"/>
                </w:tcPr>
                <w:p w14:paraId="770F6822">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项目用水由市政给水管网供给，不设置取水口</w:t>
                  </w:r>
                </w:p>
              </w:tc>
              <w:tc>
                <w:tcPr>
                  <w:tcW w:w="905" w:type="dxa"/>
                  <w:tcBorders>
                    <w:top w:val="single" w:color="auto" w:sz="4" w:space="0"/>
                    <w:left w:val="single" w:color="auto" w:sz="4" w:space="0"/>
                    <w:bottom w:val="single" w:color="auto" w:sz="4" w:space="0"/>
                    <w:right w:val="nil"/>
                  </w:tcBorders>
                  <w:vAlign w:val="center"/>
                </w:tcPr>
                <w:p w14:paraId="251ACC40">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否</w:t>
                  </w:r>
                </w:p>
              </w:tc>
            </w:tr>
            <w:tr w14:paraId="28B4E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trPr>
              <w:tc>
                <w:tcPr>
                  <w:tcW w:w="1127" w:type="dxa"/>
                  <w:tcBorders>
                    <w:top w:val="single" w:color="auto" w:sz="4" w:space="0"/>
                    <w:left w:val="nil"/>
                    <w:bottom w:val="single" w:color="auto" w:sz="4" w:space="0"/>
                    <w:right w:val="single" w:color="auto" w:sz="4" w:space="0"/>
                  </w:tcBorders>
                  <w:vAlign w:val="center"/>
                </w:tcPr>
                <w:p w14:paraId="631F99FF">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海洋</w:t>
                  </w:r>
                </w:p>
              </w:tc>
              <w:tc>
                <w:tcPr>
                  <w:tcW w:w="2557" w:type="dxa"/>
                  <w:tcBorders>
                    <w:top w:val="single" w:color="auto" w:sz="4" w:space="0"/>
                    <w:left w:val="single" w:color="auto" w:sz="4" w:space="0"/>
                    <w:bottom w:val="single" w:color="auto" w:sz="4" w:space="0"/>
                    <w:right w:val="single" w:color="auto" w:sz="4" w:space="0"/>
                  </w:tcBorders>
                  <w:vAlign w:val="center"/>
                </w:tcPr>
                <w:p w14:paraId="4E63A76C">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直接向海排放污染物的海洋工程建设项目</w:t>
                  </w:r>
                </w:p>
              </w:tc>
              <w:tc>
                <w:tcPr>
                  <w:tcW w:w="2171" w:type="dxa"/>
                  <w:tcBorders>
                    <w:top w:val="single" w:color="auto" w:sz="4" w:space="0"/>
                    <w:left w:val="single" w:color="auto" w:sz="4" w:space="0"/>
                    <w:bottom w:val="single" w:color="auto" w:sz="4" w:space="0"/>
                    <w:right w:val="single" w:color="auto" w:sz="4" w:space="0"/>
                  </w:tcBorders>
                  <w:vAlign w:val="center"/>
                </w:tcPr>
                <w:p w14:paraId="601AC7A1">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项目不属于海洋工程建设项目</w:t>
                  </w:r>
                </w:p>
              </w:tc>
              <w:tc>
                <w:tcPr>
                  <w:tcW w:w="905" w:type="dxa"/>
                  <w:tcBorders>
                    <w:top w:val="single" w:color="auto" w:sz="4" w:space="0"/>
                    <w:left w:val="single" w:color="auto" w:sz="4" w:space="0"/>
                    <w:bottom w:val="single" w:color="auto" w:sz="4" w:space="0"/>
                    <w:right w:val="nil"/>
                  </w:tcBorders>
                  <w:vAlign w:val="center"/>
                </w:tcPr>
                <w:p w14:paraId="7E694CD1">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否</w:t>
                  </w:r>
                </w:p>
              </w:tc>
            </w:tr>
            <w:tr w14:paraId="6A764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6760" w:type="dxa"/>
                  <w:gridSpan w:val="4"/>
                  <w:tcBorders>
                    <w:top w:val="single" w:color="auto" w:sz="4" w:space="0"/>
                    <w:left w:val="nil"/>
                    <w:bottom w:val="single" w:color="auto" w:sz="12" w:space="0"/>
                    <w:right w:val="nil"/>
                  </w:tcBorders>
                  <w:vAlign w:val="center"/>
                </w:tcPr>
                <w:p w14:paraId="3FD85D0B">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注：1.废气中有毒有害污染物指纳入《有毒有害大气污染物名录》的污染物（不包括无排放标准的污染物）。2.环境空气保护目标指自然保护区、风景名胜区、居住区文化区和农村地区中人群较集中的区域。3.临界量及其计算方法可参考《建设项目环境风险评价技术导则》《HJ169》附录B、附录C。</w:t>
                  </w:r>
                </w:p>
              </w:tc>
            </w:tr>
          </w:tbl>
          <w:p w14:paraId="7C6AEA8E">
            <w:pPr>
              <w:pStyle w:val="40"/>
              <w:keepNext w:val="0"/>
              <w:keepLines w:val="0"/>
              <w:suppressLineNumbers w:val="0"/>
              <w:bidi w:val="0"/>
              <w:spacing w:before="0" w:beforeAutospacing="0" w:after="0" w:afterAutospacing="0"/>
              <w:ind w:left="0" w:right="0"/>
              <w:rPr>
                <w:rFonts w:hint="eastAsia"/>
              </w:rPr>
            </w:pPr>
          </w:p>
        </w:tc>
      </w:tr>
      <w:tr w14:paraId="74C210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1531" w:type="dxa"/>
            <w:noWrap w:val="0"/>
            <w:vAlign w:val="center"/>
          </w:tcPr>
          <w:p w14:paraId="516B510E">
            <w:pPr>
              <w:pStyle w:val="40"/>
              <w:keepNext w:val="0"/>
              <w:keepLines w:val="0"/>
              <w:suppressLineNumbers w:val="0"/>
              <w:bidi w:val="0"/>
              <w:spacing w:before="0" w:beforeAutospacing="0" w:after="0" w:afterAutospacing="0"/>
              <w:ind w:left="0" w:right="0"/>
              <w:rPr>
                <w:rFonts w:hint="eastAsia"/>
              </w:rPr>
            </w:pPr>
            <w:r>
              <w:rPr>
                <w:rFonts w:hint="eastAsia"/>
              </w:rPr>
              <w:t>规划情况</w:t>
            </w:r>
          </w:p>
        </w:tc>
        <w:tc>
          <w:tcPr>
            <w:tcW w:w="7339" w:type="dxa"/>
            <w:gridSpan w:val="3"/>
            <w:noWrap w:val="0"/>
            <w:vAlign w:val="center"/>
          </w:tcPr>
          <w:p w14:paraId="1911DF5A">
            <w:pPr>
              <w:keepNext w:val="0"/>
              <w:keepLines w:val="0"/>
              <w:suppressLineNumbers w:val="0"/>
              <w:bidi w:val="0"/>
              <w:spacing w:before="0" w:beforeAutospacing="0" w:after="0" w:afterAutospacing="0"/>
              <w:ind w:left="0" w:leftChars="0" w:right="0" w:firstLine="0" w:firstLineChars="0"/>
              <w:rPr>
                <w:rFonts w:hint="eastAsia"/>
                <w:lang w:eastAsia="zh-CN"/>
              </w:rPr>
            </w:pPr>
            <w:r>
              <w:rPr>
                <w:rFonts w:hint="eastAsia" w:ascii="Times New Roman" w:hAnsi="Times New Roman" w:cs="Times New Roman"/>
                <w:b w:val="0"/>
                <w:color w:val="auto"/>
                <w:kern w:val="0"/>
                <w:sz w:val="24"/>
                <w:szCs w:val="24"/>
                <w:u w:val="none"/>
                <w:lang w:val="en-US" w:eastAsia="zh-CN" w:bidi="ar"/>
              </w:rPr>
              <w:t>（1）</w:t>
            </w:r>
            <w:r>
              <w:rPr>
                <w:rFonts w:hint="default" w:ascii="Times New Roman" w:hAnsi="Times New Roman" w:eastAsia="宋体" w:cs="Times New Roman"/>
                <w:b w:val="0"/>
                <w:color w:val="auto"/>
                <w:kern w:val="0"/>
                <w:sz w:val="24"/>
                <w:szCs w:val="24"/>
                <w:u w:val="none"/>
                <w:lang w:val="en-US" w:eastAsia="zh-CN" w:bidi="ar"/>
              </w:rPr>
              <w:t>规划名称：</w:t>
            </w:r>
            <w:r>
              <w:rPr>
                <w:rFonts w:hint="default"/>
                <w:lang w:val="en-US" w:eastAsia="zh-CN"/>
              </w:rPr>
              <w:t>《福清融侨经济技术开发区总体规划</w:t>
            </w:r>
            <w:r>
              <w:rPr>
                <w:rFonts w:hint="eastAsia"/>
                <w:lang w:val="en-US" w:eastAsia="zh-CN"/>
              </w:rPr>
              <w:t>（</w:t>
            </w:r>
            <w:r>
              <w:rPr>
                <w:rFonts w:hint="default"/>
                <w:lang w:val="en-US" w:eastAsia="zh-CN"/>
              </w:rPr>
              <w:t>2018-2035年</w:t>
            </w:r>
            <w:r>
              <w:rPr>
                <w:rFonts w:hint="eastAsia"/>
                <w:lang w:val="en-US" w:eastAsia="zh-CN"/>
              </w:rPr>
              <w:t>）</w:t>
            </w:r>
            <w:r>
              <w:rPr>
                <w:rFonts w:hint="default"/>
                <w:lang w:val="en-US" w:eastAsia="zh-CN"/>
              </w:rPr>
              <w:t>》</w:t>
            </w:r>
          </w:p>
          <w:p w14:paraId="4D19DA1C">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审批机关：福清市人民政府</w:t>
            </w:r>
          </w:p>
          <w:p w14:paraId="6B8DF9BB">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审批文件名称及文号：《福清市人民政府关于同意融侨经济技术开发区总体规划</w:t>
            </w:r>
            <w:r>
              <w:rPr>
                <w:rFonts w:hint="eastAsia"/>
                <w:lang w:val="en-US" w:eastAsia="zh-CN"/>
              </w:rPr>
              <w:t>（</w:t>
            </w:r>
            <w:r>
              <w:rPr>
                <w:rFonts w:hint="default"/>
                <w:lang w:val="en-US" w:eastAsia="zh-CN"/>
              </w:rPr>
              <w:t>2018-2035年</w:t>
            </w:r>
            <w:r>
              <w:rPr>
                <w:rFonts w:hint="eastAsia"/>
                <w:lang w:val="en-US" w:eastAsia="zh-CN"/>
              </w:rPr>
              <w:t>）</w:t>
            </w:r>
            <w:r>
              <w:rPr>
                <w:rFonts w:hint="default"/>
                <w:lang w:val="en-US" w:eastAsia="zh-CN"/>
              </w:rPr>
              <w:t>编制范围的批复》</w:t>
            </w:r>
            <w:r>
              <w:rPr>
                <w:rFonts w:hint="eastAsia"/>
                <w:lang w:val="en-US" w:eastAsia="zh-CN"/>
              </w:rPr>
              <w:t>（</w:t>
            </w:r>
            <w:r>
              <w:rPr>
                <w:rFonts w:hint="default"/>
                <w:lang w:val="en-US" w:eastAsia="zh-CN"/>
              </w:rPr>
              <w:t>融政综〔2019〕189号</w:t>
            </w:r>
            <w:r>
              <w:rPr>
                <w:rFonts w:hint="eastAsia"/>
                <w:lang w:val="en-US" w:eastAsia="zh-CN"/>
              </w:rPr>
              <w:t>）</w:t>
            </w:r>
          </w:p>
          <w:p w14:paraId="7ABA47B9">
            <w:pPr>
              <w:keepNext w:val="0"/>
              <w:keepLines w:val="0"/>
              <w:suppressLineNumbers w:val="0"/>
              <w:bidi w:val="0"/>
              <w:spacing w:before="0" w:beforeAutospacing="0" w:after="0" w:afterAutospacing="0"/>
              <w:ind w:left="0" w:leftChars="0" w:right="0" w:firstLine="0" w:firstLineChars="0"/>
              <w:rPr>
                <w:rFonts w:hint="default"/>
                <w:lang w:val="en-US" w:eastAsia="zh-CN"/>
              </w:rPr>
            </w:pPr>
            <w:r>
              <w:rPr>
                <w:rFonts w:hint="eastAsia" w:ascii="Times New Roman" w:hAnsi="Times New Roman" w:cs="Times New Roman"/>
                <w:b w:val="0"/>
                <w:color w:val="auto"/>
                <w:kern w:val="0"/>
                <w:sz w:val="24"/>
                <w:szCs w:val="24"/>
                <w:u w:val="none"/>
                <w:lang w:val="en-US" w:eastAsia="zh-CN" w:bidi="ar"/>
              </w:rPr>
              <w:t>（2）</w:t>
            </w:r>
            <w:r>
              <w:rPr>
                <w:rFonts w:hint="default" w:ascii="Times New Roman" w:hAnsi="Times New Roman" w:eastAsia="宋体" w:cs="Times New Roman"/>
                <w:b w:val="0"/>
                <w:color w:val="auto"/>
                <w:kern w:val="0"/>
                <w:sz w:val="24"/>
                <w:szCs w:val="24"/>
                <w:u w:val="none"/>
                <w:lang w:val="en-US" w:eastAsia="zh-CN" w:bidi="ar"/>
              </w:rPr>
              <w:t>规划名称：</w:t>
            </w:r>
            <w:r>
              <w:rPr>
                <w:rFonts w:hint="default"/>
                <w:lang w:val="en-US" w:eastAsia="zh-CN"/>
              </w:rPr>
              <w:t>《福清市国土空间总体规划（2021—2035年）》</w:t>
            </w:r>
          </w:p>
          <w:p w14:paraId="0B1C6F70">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审批机关：福建省人民政府</w:t>
            </w:r>
            <w:r>
              <w:rPr>
                <w:rFonts w:hint="eastAsia"/>
                <w:lang w:val="en-US" w:eastAsia="zh-CN"/>
              </w:rPr>
              <w:t>；</w:t>
            </w:r>
          </w:p>
          <w:p w14:paraId="47CA1C72">
            <w:pPr>
              <w:keepNext w:val="0"/>
              <w:keepLines w:val="0"/>
              <w:suppressLineNumbers w:val="0"/>
              <w:bidi w:val="0"/>
              <w:spacing w:before="0" w:beforeAutospacing="0" w:after="0" w:afterAutospacing="0"/>
              <w:ind w:left="0" w:right="0"/>
              <w:rPr>
                <w:rFonts w:hint="eastAsia"/>
              </w:rPr>
            </w:pPr>
            <w:r>
              <w:rPr>
                <w:rFonts w:hint="default"/>
                <w:lang w:val="en-US" w:eastAsia="zh-CN"/>
              </w:rPr>
              <w:t>审批文件名称及文号：福建省人民政府关于福州市所辖6个县（市）国土空间总体规划（2021—2035年）的批复</w:t>
            </w:r>
            <w:r>
              <w:rPr>
                <w:rFonts w:hint="eastAsia"/>
                <w:lang w:val="en-US" w:eastAsia="zh-CN"/>
              </w:rPr>
              <w:t>（</w:t>
            </w:r>
            <w:r>
              <w:rPr>
                <w:rFonts w:hint="default"/>
                <w:lang w:val="en-US" w:eastAsia="zh-CN"/>
              </w:rPr>
              <w:t>闽政文〔2024〕420号</w:t>
            </w:r>
            <w:r>
              <w:rPr>
                <w:rFonts w:hint="eastAsia"/>
                <w:lang w:val="en-US" w:eastAsia="zh-CN"/>
              </w:rPr>
              <w:t>）</w:t>
            </w:r>
          </w:p>
        </w:tc>
      </w:tr>
      <w:tr w14:paraId="45DAC8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1531" w:type="dxa"/>
            <w:noWrap w:val="0"/>
            <w:vAlign w:val="center"/>
          </w:tcPr>
          <w:p w14:paraId="02FC4FAF">
            <w:pPr>
              <w:pStyle w:val="40"/>
              <w:keepNext w:val="0"/>
              <w:keepLines w:val="0"/>
              <w:suppressLineNumbers w:val="0"/>
              <w:bidi w:val="0"/>
              <w:spacing w:before="0" w:beforeAutospacing="0" w:after="0" w:afterAutospacing="0"/>
              <w:ind w:left="0" w:right="0"/>
              <w:rPr>
                <w:rFonts w:hint="eastAsia"/>
              </w:rPr>
            </w:pPr>
            <w:r>
              <w:rPr>
                <w:rFonts w:hint="eastAsia"/>
              </w:rPr>
              <w:t>规划环境影响评价情况</w:t>
            </w:r>
          </w:p>
        </w:tc>
        <w:tc>
          <w:tcPr>
            <w:tcW w:w="7339" w:type="dxa"/>
            <w:gridSpan w:val="3"/>
            <w:noWrap w:val="0"/>
            <w:vAlign w:val="center"/>
          </w:tcPr>
          <w:p w14:paraId="62ABCF53">
            <w:pPr>
              <w:keepNext w:val="0"/>
              <w:keepLines w:val="0"/>
              <w:suppressLineNumbers w:val="0"/>
              <w:bidi w:val="0"/>
              <w:spacing w:before="0" w:beforeAutospacing="0" w:after="0" w:afterAutospacing="0"/>
              <w:ind w:left="0" w:leftChars="0" w:right="0" w:firstLine="0" w:firstLineChars="0"/>
              <w:rPr>
                <w:rFonts w:hint="eastAsia"/>
                <w:lang w:val="en-US" w:eastAsia="zh-CN"/>
              </w:rPr>
            </w:pPr>
            <w:r>
              <w:rPr>
                <w:rFonts w:hint="eastAsia"/>
                <w:lang w:val="en-US" w:eastAsia="zh-CN"/>
              </w:rPr>
              <w:t>规划环境影响评价文件名称：《</w:t>
            </w:r>
            <w:r>
              <w:rPr>
                <w:rFonts w:hint="default"/>
                <w:lang w:val="en-US" w:eastAsia="zh-CN"/>
              </w:rPr>
              <w:t>福清融侨经济技术开发区总体规划</w:t>
            </w:r>
            <w:r>
              <w:rPr>
                <w:rFonts w:hint="eastAsia"/>
                <w:lang w:val="en-US" w:eastAsia="zh-CN"/>
              </w:rPr>
              <w:t>（</w:t>
            </w:r>
            <w:r>
              <w:rPr>
                <w:rFonts w:hint="default"/>
                <w:lang w:val="en-US" w:eastAsia="zh-CN"/>
              </w:rPr>
              <w:t>2018-2035年</w:t>
            </w:r>
            <w:r>
              <w:rPr>
                <w:rFonts w:hint="eastAsia"/>
                <w:lang w:val="en-US" w:eastAsia="zh-CN"/>
              </w:rPr>
              <w:t>）</w:t>
            </w:r>
            <w:r>
              <w:rPr>
                <w:rFonts w:hint="default"/>
                <w:lang w:val="en-US" w:eastAsia="zh-CN"/>
              </w:rPr>
              <w:t>环境影响报告书</w:t>
            </w:r>
            <w:r>
              <w:rPr>
                <w:rFonts w:hint="eastAsia"/>
                <w:lang w:val="en-US" w:eastAsia="zh-CN"/>
              </w:rPr>
              <w:t>》</w:t>
            </w:r>
          </w:p>
          <w:p w14:paraId="536391D7">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召集审查机关：中华人民共和国</w:t>
            </w:r>
            <w:r>
              <w:rPr>
                <w:rFonts w:hint="default"/>
                <w:lang w:val="en-US" w:eastAsia="zh-CN"/>
              </w:rPr>
              <w:t>生态环境部</w:t>
            </w:r>
          </w:p>
          <w:p w14:paraId="7D96D016">
            <w:pPr>
              <w:keepNext w:val="0"/>
              <w:keepLines w:val="0"/>
              <w:suppressLineNumbers w:val="0"/>
              <w:bidi w:val="0"/>
              <w:spacing w:before="0" w:beforeAutospacing="0" w:after="0" w:afterAutospacing="0"/>
              <w:ind w:left="0" w:right="0"/>
              <w:rPr>
                <w:rFonts w:hint="eastAsia"/>
              </w:rPr>
            </w:pPr>
            <w:r>
              <w:rPr>
                <w:rFonts w:hint="eastAsia"/>
                <w:lang w:val="en-US" w:eastAsia="zh-CN"/>
              </w:rPr>
              <w:t>审查文件名称及文号：</w:t>
            </w:r>
            <w:r>
              <w:rPr>
                <w:rFonts w:hint="default"/>
                <w:lang w:val="en-US" w:eastAsia="zh-CN"/>
              </w:rPr>
              <w:t>关于《福清融侨经济技术开发区总体规划</w:t>
            </w:r>
            <w:r>
              <w:rPr>
                <w:rFonts w:hint="eastAsia"/>
                <w:lang w:val="en-US" w:eastAsia="zh-CN"/>
              </w:rPr>
              <w:t>（</w:t>
            </w:r>
            <w:r>
              <w:rPr>
                <w:rFonts w:hint="default"/>
                <w:lang w:val="en-US" w:eastAsia="zh-CN"/>
              </w:rPr>
              <w:t>2018-2035年</w:t>
            </w:r>
            <w:r>
              <w:rPr>
                <w:rFonts w:hint="eastAsia"/>
                <w:lang w:val="en-US" w:eastAsia="zh-CN"/>
              </w:rPr>
              <w:t>）</w:t>
            </w:r>
            <w:r>
              <w:rPr>
                <w:rFonts w:hint="default"/>
                <w:lang w:val="en-US" w:eastAsia="zh-CN"/>
              </w:rPr>
              <w:t>环境影响报告书》的审查意见</w:t>
            </w:r>
            <w:r>
              <w:rPr>
                <w:rFonts w:hint="eastAsia"/>
                <w:lang w:val="en-US" w:eastAsia="zh-CN"/>
              </w:rPr>
              <w:t>（</w:t>
            </w:r>
            <w:r>
              <w:rPr>
                <w:rFonts w:hint="default"/>
                <w:lang w:val="en-US" w:eastAsia="zh-CN"/>
              </w:rPr>
              <w:t>环审</w:t>
            </w:r>
            <w:r>
              <w:rPr>
                <w:rFonts w:hint="eastAsia"/>
                <w:lang w:val="en-US" w:eastAsia="zh-CN"/>
              </w:rPr>
              <w:t>〔2020〕80号）</w:t>
            </w:r>
          </w:p>
        </w:tc>
      </w:tr>
      <w:tr w14:paraId="44FFC7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1531" w:type="dxa"/>
            <w:noWrap w:val="0"/>
            <w:vAlign w:val="center"/>
          </w:tcPr>
          <w:p w14:paraId="74F59DC6">
            <w:pPr>
              <w:pStyle w:val="40"/>
              <w:keepNext w:val="0"/>
              <w:keepLines w:val="0"/>
              <w:suppressLineNumbers w:val="0"/>
              <w:bidi w:val="0"/>
              <w:spacing w:before="0" w:beforeAutospacing="0" w:after="0" w:afterAutospacing="0"/>
              <w:ind w:left="0" w:right="0"/>
              <w:rPr>
                <w:rFonts w:hint="eastAsia"/>
              </w:rPr>
            </w:pPr>
            <w:r>
              <w:rPr>
                <w:rFonts w:hint="eastAsia"/>
              </w:rPr>
              <w:t>规划及规划环境影响评价符合性分析</w:t>
            </w:r>
          </w:p>
        </w:tc>
        <w:tc>
          <w:tcPr>
            <w:tcW w:w="7339" w:type="dxa"/>
            <w:gridSpan w:val="3"/>
            <w:noWrap w:val="0"/>
            <w:vAlign w:val="center"/>
          </w:tcPr>
          <w:p w14:paraId="7961A9DB">
            <w:pPr>
              <w:pStyle w:val="3"/>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与</w:t>
            </w:r>
            <w:r>
              <w:rPr>
                <w:rFonts w:hint="default"/>
                <w:lang w:val="en-US" w:eastAsia="zh-CN"/>
              </w:rPr>
              <w:t>《福清融侨经济技术开发区总体规划</w:t>
            </w:r>
            <w:r>
              <w:rPr>
                <w:rFonts w:hint="eastAsia"/>
                <w:lang w:val="en-US" w:eastAsia="zh-CN"/>
              </w:rPr>
              <w:t>（</w:t>
            </w:r>
            <w:r>
              <w:rPr>
                <w:rFonts w:hint="default"/>
                <w:lang w:val="en-US" w:eastAsia="zh-CN"/>
              </w:rPr>
              <w:t>2018-2035年</w:t>
            </w:r>
            <w:r>
              <w:rPr>
                <w:rFonts w:hint="eastAsia"/>
                <w:lang w:val="en-US" w:eastAsia="zh-CN"/>
              </w:rPr>
              <w:t>）</w:t>
            </w:r>
            <w:r>
              <w:rPr>
                <w:rFonts w:hint="default"/>
                <w:lang w:val="en-US" w:eastAsia="zh-CN"/>
              </w:rPr>
              <w:t>》</w:t>
            </w:r>
            <w:r>
              <w:rPr>
                <w:rFonts w:hint="eastAsia"/>
                <w:lang w:val="en-US" w:eastAsia="zh-CN"/>
              </w:rPr>
              <w:t>符合性分析</w:t>
            </w:r>
          </w:p>
          <w:p w14:paraId="562D6351">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根据总体规划内容可知，开发区为理顺与中心城区的发展关系，建立健全</w:t>
            </w:r>
            <w:r>
              <w:rPr>
                <w:rFonts w:hint="eastAsia"/>
                <w:lang w:val="en-US" w:eastAsia="zh-CN"/>
              </w:rPr>
              <w:t>“</w:t>
            </w:r>
            <w:r>
              <w:rPr>
                <w:rFonts w:hint="default"/>
                <w:lang w:val="en-US" w:eastAsia="zh-CN"/>
              </w:rPr>
              <w:t>多规合一</w:t>
            </w:r>
            <w:r>
              <w:rPr>
                <w:rFonts w:hint="eastAsia"/>
                <w:lang w:val="en-US" w:eastAsia="zh-CN"/>
              </w:rPr>
              <w:t>”</w:t>
            </w:r>
            <w:r>
              <w:rPr>
                <w:rFonts w:hint="default"/>
                <w:lang w:val="en-US" w:eastAsia="zh-CN"/>
              </w:rPr>
              <w:t>体制机制，突出开发区核心产业优势，强调龙头企业引领，通过</w:t>
            </w:r>
            <w:r>
              <w:rPr>
                <w:rFonts w:hint="eastAsia"/>
                <w:lang w:val="en-US" w:eastAsia="zh-CN"/>
              </w:rPr>
              <w:t>“</w:t>
            </w:r>
            <w:r>
              <w:rPr>
                <w:rFonts w:hint="default"/>
                <w:lang w:val="en-US" w:eastAsia="zh-CN"/>
              </w:rPr>
              <w:t>组团式</w:t>
            </w:r>
            <w:r>
              <w:rPr>
                <w:rFonts w:hint="eastAsia"/>
                <w:lang w:val="en-US" w:eastAsia="zh-CN"/>
              </w:rPr>
              <w:t>”</w:t>
            </w:r>
            <w:r>
              <w:rPr>
                <w:rFonts w:hint="default"/>
                <w:lang w:val="en-US" w:eastAsia="zh-CN"/>
              </w:rPr>
              <w:t>布局，着力营造融侨经济技术开发区</w:t>
            </w:r>
            <w:r>
              <w:rPr>
                <w:rFonts w:hint="eastAsia"/>
                <w:lang w:val="en-US" w:eastAsia="zh-CN"/>
              </w:rPr>
              <w:t>“</w:t>
            </w:r>
            <w:r>
              <w:rPr>
                <w:rFonts w:hint="default"/>
                <w:lang w:val="en-US" w:eastAsia="zh-CN"/>
              </w:rPr>
              <w:t>现代生态开发区</w:t>
            </w:r>
            <w:r>
              <w:rPr>
                <w:rFonts w:hint="eastAsia"/>
                <w:lang w:val="en-US" w:eastAsia="zh-CN"/>
              </w:rPr>
              <w:t>”</w:t>
            </w:r>
            <w:r>
              <w:rPr>
                <w:rFonts w:hint="default"/>
                <w:lang w:val="en-US" w:eastAsia="zh-CN"/>
              </w:rPr>
              <w:t>的空间特色，规划整体形成</w:t>
            </w:r>
            <w:r>
              <w:rPr>
                <w:rFonts w:hint="eastAsia"/>
                <w:lang w:val="en-US" w:eastAsia="zh-CN"/>
              </w:rPr>
              <w:t>“</w:t>
            </w:r>
            <w:r>
              <w:rPr>
                <w:rFonts w:hint="default"/>
                <w:lang w:val="en-US" w:eastAsia="zh-CN"/>
              </w:rPr>
              <w:t>一区三园多组团</w:t>
            </w:r>
            <w:r>
              <w:rPr>
                <w:rFonts w:hint="eastAsia"/>
                <w:lang w:val="en-US" w:eastAsia="zh-CN"/>
              </w:rPr>
              <w:t>”</w:t>
            </w:r>
            <w:r>
              <w:rPr>
                <w:rFonts w:hint="default"/>
                <w:lang w:val="en-US" w:eastAsia="zh-CN"/>
              </w:rPr>
              <w:t>的空间结构。</w:t>
            </w:r>
            <w:r>
              <w:rPr>
                <w:rFonts w:hint="eastAsia"/>
                <w:lang w:val="en-US" w:eastAsia="zh-CN"/>
              </w:rPr>
              <w:t>“</w:t>
            </w:r>
            <w:r>
              <w:rPr>
                <w:rFonts w:hint="default"/>
                <w:lang w:val="en-US" w:eastAsia="zh-CN"/>
              </w:rPr>
              <w:t>一区</w:t>
            </w:r>
            <w:r>
              <w:rPr>
                <w:rFonts w:hint="eastAsia"/>
                <w:lang w:val="en-US" w:eastAsia="zh-CN"/>
              </w:rPr>
              <w:t>”即</w:t>
            </w:r>
            <w:r>
              <w:rPr>
                <w:rFonts w:hint="default"/>
                <w:lang w:val="en-US" w:eastAsia="zh-CN"/>
              </w:rPr>
              <w:t>融侨经济技术开发区。利用国家级开发区品牌，充分释放</w:t>
            </w:r>
            <w:r>
              <w:rPr>
                <w:rFonts w:hint="eastAsia"/>
                <w:lang w:val="en-US" w:eastAsia="zh-CN"/>
              </w:rPr>
              <w:t>“</w:t>
            </w:r>
            <w:r>
              <w:rPr>
                <w:rFonts w:hint="default"/>
                <w:lang w:val="en-US" w:eastAsia="zh-CN"/>
              </w:rPr>
              <w:t>五区叠加、一区毗邻</w:t>
            </w:r>
            <w:r>
              <w:rPr>
                <w:rFonts w:hint="eastAsia"/>
                <w:lang w:val="en-US" w:eastAsia="zh-CN"/>
              </w:rPr>
              <w:t>”</w:t>
            </w:r>
            <w:r>
              <w:rPr>
                <w:rFonts w:hint="default"/>
                <w:lang w:val="en-US" w:eastAsia="zh-CN"/>
              </w:rPr>
              <w:t>政策优势，以空间转型引领开发区的新一轮跨越发展。</w:t>
            </w:r>
            <w:r>
              <w:rPr>
                <w:rFonts w:hint="eastAsia"/>
                <w:lang w:val="en-US" w:eastAsia="zh-CN"/>
              </w:rPr>
              <w:t>“</w:t>
            </w:r>
            <w:r>
              <w:rPr>
                <w:rFonts w:hint="default"/>
                <w:lang w:val="en-US" w:eastAsia="zh-CN"/>
              </w:rPr>
              <w:t>三园</w:t>
            </w:r>
            <w:r>
              <w:rPr>
                <w:rFonts w:hint="eastAsia"/>
                <w:lang w:val="en-US" w:eastAsia="zh-CN"/>
              </w:rPr>
              <w:t>”即</w:t>
            </w:r>
            <w:r>
              <w:rPr>
                <w:rFonts w:hint="default"/>
                <w:lang w:val="en-US" w:eastAsia="zh-CN"/>
              </w:rPr>
              <w:t>中心产业园、城北产业园和南部产业园。其中中心产业园：重点发展电子信息、精密汽车部件等产业，配套创新研发、文化会展、商务金融、经贸交流等具有高附加值的现代服务业功能，打造成为开发区内电子信息、先进制造业核心产业基地，</w:t>
            </w:r>
            <w:r>
              <w:rPr>
                <w:rFonts w:hint="eastAsia"/>
                <w:lang w:val="en-US" w:eastAsia="zh-CN"/>
              </w:rPr>
              <w:t>“</w:t>
            </w:r>
            <w:r>
              <w:rPr>
                <w:rFonts w:hint="default"/>
                <w:lang w:val="en-US" w:eastAsia="zh-CN"/>
              </w:rPr>
              <w:t>双创</w:t>
            </w:r>
            <w:r>
              <w:rPr>
                <w:rFonts w:hint="eastAsia"/>
                <w:lang w:val="en-US" w:eastAsia="zh-CN"/>
              </w:rPr>
              <w:t>”</w:t>
            </w:r>
            <w:r>
              <w:rPr>
                <w:rFonts w:hint="default"/>
                <w:lang w:val="en-US" w:eastAsia="zh-CN"/>
              </w:rPr>
              <w:t>平台、现代服务业建设核心区，形成福清市极具影响力、辐射力和竞争力的大福清</w:t>
            </w:r>
            <w:r>
              <w:rPr>
                <w:rFonts w:hint="eastAsia"/>
                <w:lang w:val="en-US" w:eastAsia="zh-CN"/>
              </w:rPr>
              <w:t>“</w:t>
            </w:r>
            <w:r>
              <w:rPr>
                <w:rFonts w:hint="default"/>
                <w:lang w:val="en-US" w:eastAsia="zh-CN"/>
              </w:rPr>
              <w:t>副中心</w:t>
            </w:r>
            <w:r>
              <w:rPr>
                <w:rFonts w:hint="eastAsia"/>
                <w:lang w:val="en-US" w:eastAsia="zh-CN"/>
              </w:rPr>
              <w:t>”</w:t>
            </w:r>
            <w:r>
              <w:rPr>
                <w:rFonts w:hint="default"/>
                <w:lang w:val="en-US" w:eastAsia="zh-CN"/>
              </w:rPr>
              <w:t>。城北产业园：依托京东方等电子信息龙头企业优势，以电子信息、光学、机械电气为主导</w:t>
            </w:r>
            <w:r>
              <w:rPr>
                <w:rFonts w:hint="eastAsia"/>
                <w:lang w:val="en-US" w:eastAsia="zh-CN"/>
              </w:rPr>
              <w:t>，以</w:t>
            </w:r>
            <w:r>
              <w:rPr>
                <w:rFonts w:hint="default"/>
                <w:lang w:val="en-US" w:eastAsia="zh-CN"/>
              </w:rPr>
              <w:t>科技研发为支撑，突出转型升级、创新驱动、品牌带动和对台合作，建成高聚集效应、高技术水平、高带动力的高端科技创新产业园。南部产业园：依托龙头企业的强劲动力，以及沈海高速、324国道的交通区位，重点发展与电子信息、精密汽车部件、光学相关配套上下游产业，通过校企联合、企业自主创新等方式推动园区内产业转型升级。</w:t>
            </w:r>
          </w:p>
          <w:p w14:paraId="7A909A19">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本规划分为核心区和协调区2个层次。其中：</w:t>
            </w:r>
          </w:p>
          <w:p w14:paraId="67CF0572">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r>
              <w:rPr>
                <w:rFonts w:hint="default"/>
                <w:lang w:val="en-US" w:eastAsia="zh-CN"/>
              </w:rPr>
              <w:t>核心区</w:t>
            </w:r>
            <w:r>
              <w:rPr>
                <w:rFonts w:hint="eastAsia"/>
                <w:lang w:val="en-US" w:eastAsia="zh-CN"/>
              </w:rPr>
              <w:t>即</w:t>
            </w:r>
            <w:r>
              <w:rPr>
                <w:rFonts w:hint="default"/>
                <w:lang w:val="en-US" w:eastAsia="zh-CN"/>
              </w:rPr>
              <w:t>国家批复的融侨经济技术开发区范围。土地面积9.19平方公里，其中宏路中心区6.4平方公里，洪宽工业村2.79平方公里。</w:t>
            </w:r>
          </w:p>
          <w:p w14:paraId="6D4BF0F1">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w:t>
            </w:r>
            <w:r>
              <w:rPr>
                <w:rFonts w:hint="default"/>
                <w:lang w:val="en-US" w:eastAsia="zh-CN"/>
              </w:rPr>
              <w:t>协调区：考虑到开发区与福清城区一体化发展，结合开发区委托代管范围</w:t>
            </w:r>
            <w:r>
              <w:rPr>
                <w:rFonts w:hint="eastAsia"/>
                <w:lang w:val="en-US" w:eastAsia="zh-CN"/>
              </w:rPr>
              <w:t>，以</w:t>
            </w:r>
            <w:r>
              <w:rPr>
                <w:rFonts w:hint="default"/>
                <w:lang w:val="en-US" w:eastAsia="zh-CN"/>
              </w:rPr>
              <w:t>规划《福清市城市总体规划（2017-2035）》为依据，进一步将规划范围向外围扩展。协调区西至福厦高速，东依福长高速，北邻作坊村，南靠纵一路环线，土地面积53.2平方公里。本规划深度按协调区进行控制。</w:t>
            </w:r>
          </w:p>
          <w:p w14:paraId="7454A65E">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根据《福清融侨经济技术开发区总体规划</w:t>
            </w:r>
            <w:r>
              <w:rPr>
                <w:rFonts w:hint="eastAsia"/>
                <w:lang w:val="en-US" w:eastAsia="zh-CN"/>
              </w:rPr>
              <w:t>（</w:t>
            </w:r>
            <w:r>
              <w:rPr>
                <w:rFonts w:hint="default"/>
                <w:lang w:val="en-US" w:eastAsia="zh-CN"/>
              </w:rPr>
              <w:t>2018-2035年</w:t>
            </w:r>
            <w:r>
              <w:rPr>
                <w:rFonts w:hint="eastAsia"/>
                <w:lang w:val="en-US" w:eastAsia="zh-CN"/>
              </w:rPr>
              <w:t>）</w:t>
            </w:r>
            <w:r>
              <w:rPr>
                <w:rFonts w:hint="default"/>
                <w:lang w:val="en-US" w:eastAsia="zh-CN"/>
              </w:rPr>
              <w:t>》的</w:t>
            </w:r>
            <w:r>
              <w:rPr>
                <w:rFonts w:hint="eastAsia"/>
                <w:lang w:val="en-US" w:eastAsia="zh-CN"/>
              </w:rPr>
              <w:t>“</w:t>
            </w:r>
            <w:r>
              <w:rPr>
                <w:rFonts w:hint="default"/>
                <w:lang w:val="en-US" w:eastAsia="zh-CN"/>
              </w:rPr>
              <w:t>产业发展-第二十二条构建</w:t>
            </w:r>
            <w:r>
              <w:rPr>
                <w:rFonts w:hint="eastAsia"/>
                <w:lang w:val="en-US" w:eastAsia="zh-CN"/>
              </w:rPr>
              <w:t>“</w:t>
            </w:r>
            <w:r>
              <w:rPr>
                <w:rFonts w:hint="default"/>
                <w:lang w:val="en-US" w:eastAsia="zh-CN"/>
              </w:rPr>
              <w:t>3+1</w:t>
            </w:r>
            <w:r>
              <w:rPr>
                <w:rFonts w:hint="eastAsia"/>
                <w:lang w:val="en-US" w:eastAsia="zh-CN"/>
              </w:rPr>
              <w:t>”</w:t>
            </w:r>
            <w:r>
              <w:rPr>
                <w:rFonts w:hint="default"/>
                <w:lang w:val="en-US" w:eastAsia="zh-CN"/>
              </w:rPr>
              <w:t>的产业体系：</w:t>
            </w:r>
          </w:p>
          <w:p w14:paraId="5CB7F14F">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w:t>
            </w:r>
            <w:r>
              <w:rPr>
                <w:rFonts w:hint="default"/>
                <w:lang w:val="en-US" w:eastAsia="zh-CN"/>
              </w:rPr>
              <w:t>三大支柱产业</w:t>
            </w:r>
          </w:p>
          <w:p w14:paraId="12FA16FB">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电子信息产业：显示科技、云计算、电子元器件、光电科技、计算机与智能终端设备等。</w:t>
            </w:r>
          </w:p>
          <w:p w14:paraId="46DA6161">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精密汽车部件产业：汽车电气电子装置、动力传动装置、汽车轴承、新能源动力电池等。</w:t>
            </w:r>
          </w:p>
          <w:p w14:paraId="6E793AFE">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光学产业：光学部件、光通讯技术、电子光学、虚拟现实装置等。</w:t>
            </w:r>
          </w:p>
          <w:p w14:paraId="4710D4DF">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在三大支柱产业基础之上，完善与其相关的配套产业。</w:t>
            </w:r>
          </w:p>
          <w:p w14:paraId="00380F4B">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w:t>
            </w:r>
            <w:r>
              <w:rPr>
                <w:rFonts w:hint="default"/>
                <w:lang w:val="en-US" w:eastAsia="zh-CN"/>
              </w:rPr>
              <w:t>一项新兴产业</w:t>
            </w:r>
          </w:p>
          <w:p w14:paraId="3EFE5814">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现代服务业：金融商务、总部经济、科技研发、文化创意、物流展销都市型产业与服务型制造业。</w:t>
            </w:r>
          </w:p>
          <w:p w14:paraId="2E921780">
            <w:pPr>
              <w:keepNext w:val="0"/>
              <w:keepLines w:val="0"/>
              <w:suppressLineNumbers w:val="0"/>
              <w:bidi w:val="0"/>
              <w:spacing w:before="0" w:beforeAutospacing="0" w:after="0" w:afterAutospacing="0"/>
              <w:ind w:left="0" w:right="0"/>
              <w:rPr>
                <w:rFonts w:hint="default"/>
                <w:lang w:val="en-US" w:eastAsia="zh-CN"/>
              </w:rPr>
            </w:pPr>
            <w:r>
              <w:rPr>
                <w:rFonts w:hint="eastAsia"/>
                <w:lang w:val="en-GB" w:eastAsia="zh-CN"/>
              </w:rPr>
              <w:t>本项目位于福建省福州市福清融侨经济技术开发区内（福建省福州市福清市阳下街道玉岭村147号车间2三楼）</w:t>
            </w:r>
            <w:r>
              <w:rPr>
                <w:rFonts w:hint="eastAsia"/>
                <w:lang w:val="en-US" w:eastAsia="zh-CN"/>
              </w:rPr>
              <w:t>。根据福清融侨经济技术开发区对主导产业发展方向的定位，对照《国民经济行业分类》（GB/T4754-2017），主导行业涉及国民经济类别主要包括C29、C304、C33、C34、C35、C36、C38、C39、C40，</w:t>
            </w:r>
            <w:r>
              <w:rPr>
                <w:rFonts w:hint="eastAsia"/>
              </w:rPr>
              <w:t>禁止新建，含电镀工艺、冶炼工艺、电解铝的项目，现有生产能力一定期限内搬迁；包装印刷业禁止使用不符合环保要求的油墨、胶黏剂。</w:t>
            </w:r>
            <w:r>
              <w:rPr>
                <w:rFonts w:hint="eastAsia"/>
                <w:lang w:val="en-US" w:eastAsia="zh-CN"/>
              </w:rPr>
              <w:t>本项目行业类别为“C2929塑料零件及其他塑料制品制造、C3360金属表面处理及热处理加工”，属于规划区内主导产业。</w:t>
            </w:r>
            <w:r>
              <w:rPr>
                <w:rFonts w:hint="default"/>
                <w:lang w:val="en-US" w:eastAsia="zh-CN"/>
              </w:rPr>
              <w:t>因此</w:t>
            </w:r>
            <w:r>
              <w:rPr>
                <w:rFonts w:hint="eastAsia"/>
                <w:lang w:val="en-US" w:eastAsia="zh-CN"/>
              </w:rPr>
              <w:t>，</w:t>
            </w:r>
            <w:r>
              <w:rPr>
                <w:rFonts w:hint="default"/>
                <w:lang w:val="en-US" w:eastAsia="zh-CN"/>
              </w:rPr>
              <w:t>项目的建设符合《福清融侨经济技术开发区总体规划</w:t>
            </w:r>
            <w:r>
              <w:rPr>
                <w:rFonts w:hint="eastAsia"/>
                <w:lang w:val="en-US" w:eastAsia="zh-CN"/>
              </w:rPr>
              <w:t>（</w:t>
            </w:r>
            <w:r>
              <w:rPr>
                <w:rFonts w:hint="default"/>
                <w:lang w:val="en-US" w:eastAsia="zh-CN"/>
              </w:rPr>
              <w:t>2018-2035年</w:t>
            </w:r>
            <w:r>
              <w:rPr>
                <w:rFonts w:hint="eastAsia"/>
                <w:lang w:val="en-US" w:eastAsia="zh-CN"/>
              </w:rPr>
              <w:t>）</w:t>
            </w:r>
            <w:r>
              <w:rPr>
                <w:rFonts w:hint="default"/>
                <w:lang w:val="en-US" w:eastAsia="zh-CN"/>
              </w:rPr>
              <w:t>》有关要求。</w:t>
            </w:r>
          </w:p>
          <w:p w14:paraId="49B58A69">
            <w:pPr>
              <w:pStyle w:val="3"/>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与</w:t>
            </w:r>
            <w:r>
              <w:rPr>
                <w:rFonts w:hint="default"/>
                <w:lang w:val="en-US" w:eastAsia="zh-CN"/>
              </w:rPr>
              <w:t>《福清市国土空间总体规划（2021—2035年）》</w:t>
            </w:r>
            <w:r>
              <w:rPr>
                <w:rFonts w:hint="eastAsia"/>
                <w:lang w:val="en-US" w:eastAsia="zh-CN"/>
              </w:rPr>
              <w:t>符合性分析</w:t>
            </w:r>
          </w:p>
          <w:p w14:paraId="365B0CC1">
            <w:pPr>
              <w:keepNext w:val="0"/>
              <w:keepLines w:val="0"/>
              <w:pageBreakBefore w:val="0"/>
              <w:widowControl/>
              <w:numPr>
                <w:ilvl w:val="0"/>
                <w:numId w:val="0"/>
              </w:numPr>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eastAsia" w:cs="Times New Roman"/>
                <w:color w:val="auto"/>
                <w:sz w:val="24"/>
                <w:szCs w:val="24"/>
                <w:highlight w:val="none"/>
                <w:u w:val="none"/>
                <w:lang w:val="en-US" w:eastAsia="zh-CN"/>
              </w:rPr>
            </w:pPr>
            <w:r>
              <w:rPr>
                <w:rFonts w:hint="eastAsia" w:ascii="Times New Roman" w:hAnsi="Times New Roman" w:eastAsia="宋体" w:cs="Times New Roman"/>
                <w:color w:val="auto"/>
                <w:sz w:val="24"/>
                <w:szCs w:val="24"/>
                <w:highlight w:val="none"/>
                <w:u w:val="none"/>
                <w:lang w:val="en-US" w:eastAsia="zh-CN"/>
              </w:rPr>
              <w:t>根据总体规划内容可知，</w:t>
            </w:r>
            <w:r>
              <w:rPr>
                <w:rFonts w:hint="eastAsia" w:cs="Times New Roman"/>
                <w:color w:val="auto"/>
                <w:sz w:val="24"/>
                <w:szCs w:val="24"/>
                <w:highlight w:val="none"/>
                <w:u w:val="none"/>
                <w:lang w:val="en-US" w:eastAsia="zh-CN"/>
              </w:rPr>
              <w:t>规划“一轴两湾五组团”的国土空间格局，一轴“龙江城市综合发展轴”、两湾“福清湾生态宜居湾、江阴湾临港产业湾”、五组团“中心城区组团、元洪港组团、江阴港城组团、龙高半岛城镇组团、西北部特色生态组团”。坚持底线思维，以国土空间规划为依据，将“三区三线”作为调整经济结构、规划产业发展、推进城镇化不可逾越的红线。严格保护永久基本农田“按照一定时期人口和经济社会发展对农产品的需求，依据国土空间规划确定的不得擅自占用或改变用途的耕地”。科学划定生态保护红线“生态空间范围内具有特殊重要生态功能，必须强制性严格保护的陆域、水域、海域等区域”。合理划定城镇开发边界“一定时期内因城镇发展需要，可以集中进行城镇开发建设完善城镇功能、提升空间品质的区域边界”。五组团“城西组团、城北组团、城中组团、城关组团、东部新城组团”的中心城区空间结构，延续“沿江向海、环湾发展”的城市方向，以龙江为带动，推动沿江、向海、环湾有序建设、集约发展，打造具有滨江滨海特色的现代化城区。构建现代产业体系，壮大四大优势产业“电子信息、食品、化工新材料、精密汽车部件”、培养四大新兴产业“氢能源和新能源、高端装备制造、海洋生物医药、互联网与大数据产业”、提升两大传统产业“塑胶产业、纺织产业”、发展两大特色产业“现代服务业、现代农业”、培育千百亿产业集群“三大千亿产业集群+N个百亿项目集群”。</w:t>
            </w:r>
          </w:p>
          <w:p w14:paraId="14151BF8">
            <w:pPr>
              <w:keepNext w:val="0"/>
              <w:keepLines w:val="0"/>
              <w:pageBreakBefore w:val="0"/>
              <w:widowControl/>
              <w:numPr>
                <w:ilvl w:val="0"/>
                <w:numId w:val="0"/>
              </w:numPr>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eastAsia" w:cs="Times New Roman"/>
                <w:color w:val="auto"/>
                <w:sz w:val="24"/>
                <w:szCs w:val="24"/>
                <w:highlight w:val="none"/>
                <w:u w:val="none"/>
                <w:lang w:val="en-US" w:eastAsia="zh-CN"/>
              </w:rPr>
            </w:pPr>
            <w:r>
              <w:rPr>
                <w:rFonts w:hint="eastAsia" w:cs="Times New Roman"/>
                <w:color w:val="auto"/>
                <w:sz w:val="24"/>
                <w:szCs w:val="24"/>
                <w:highlight w:val="none"/>
                <w:u w:val="none"/>
                <w:lang w:val="en-US" w:eastAsia="zh-CN"/>
              </w:rPr>
              <w:t>构建现代化产业体系“一带两湾四区”的产业发展格局，形成“四个重点产业园区、多个工业集中区”的产业园区空间布局，加快推进重点产业园区标准化建设，统筹划定工业用地控制线。四区主要为融城现代产业综合区“以电子信息、食品、总部经济、电子商务、文化创意为主”、西部生态产业区“以特色种植、文化旅游为主”、高龙特色产业区“以现代农业、休闲农业、滨海旅游为主”、江阴临港产业区“以化工新材料、现代物流、智能制造、海洋经济为主”。</w:t>
            </w:r>
          </w:p>
          <w:p w14:paraId="74B9422B">
            <w:pPr>
              <w:keepNext w:val="0"/>
              <w:keepLines w:val="0"/>
              <w:suppressLineNumbers w:val="0"/>
              <w:bidi w:val="0"/>
              <w:spacing w:before="0" w:beforeAutospacing="0" w:after="0" w:afterAutospacing="0"/>
              <w:ind w:left="0" w:right="0"/>
              <w:rPr>
                <w:rFonts w:hint="eastAsia" w:cs="Times New Roman"/>
                <w:color w:val="auto"/>
                <w:sz w:val="24"/>
                <w:szCs w:val="24"/>
                <w:highlight w:val="none"/>
                <w:u w:val="none"/>
                <w:lang w:val="en-US" w:eastAsia="zh-CN"/>
              </w:rPr>
            </w:pPr>
            <w:r>
              <w:rPr>
                <w:rFonts w:hint="eastAsia"/>
                <w:lang w:val="en-GB" w:eastAsia="zh-CN"/>
              </w:rPr>
              <w:t>本项目位于福建省福州市福清融侨经济技术开发区内（福建省福州市福清市阳下街道玉岭村147号车间2三楼）</w:t>
            </w:r>
            <w:r>
              <w:rPr>
                <w:rFonts w:hint="default"/>
                <w:lang w:val="en-US" w:eastAsia="zh-CN"/>
              </w:rPr>
              <w:t>，</w:t>
            </w:r>
            <w:r>
              <w:rPr>
                <w:rFonts w:hint="eastAsia"/>
                <w:lang w:val="en-US" w:eastAsia="zh-CN"/>
              </w:rPr>
              <w:t>位于城北组团（详见</w:t>
            </w:r>
            <w:r>
              <w:rPr>
                <w:rFonts w:hint="eastAsia"/>
                <w:lang w:val="en-US" w:eastAsia="zh-CN"/>
              </w:rPr>
              <w:fldChar w:fldCharType="begin"/>
            </w:r>
            <w:r>
              <w:rPr>
                <w:rFonts w:hint="eastAsia"/>
                <w:lang w:val="en-US" w:eastAsia="zh-CN"/>
              </w:rPr>
              <w:instrText xml:space="preserve"> REF _Ref9311 \h </w:instrText>
            </w:r>
            <w:r>
              <w:rPr>
                <w:rFonts w:hint="eastAsia"/>
                <w:lang w:val="en-US" w:eastAsia="zh-CN"/>
              </w:rPr>
              <w:fldChar w:fldCharType="separate"/>
            </w:r>
            <w:r>
              <w:rPr>
                <w:rFonts w:hint="eastAsia"/>
              </w:rPr>
              <w:t>附图 7</w:t>
            </w:r>
            <w:r>
              <w:rPr>
                <w:rFonts w:hint="eastAsia"/>
                <w:lang w:val="en-US" w:eastAsia="zh-CN"/>
              </w:rPr>
              <w:fldChar w:fldCharType="end"/>
            </w:r>
            <w:r>
              <w:rPr>
                <w:rFonts w:hint="eastAsia"/>
                <w:lang w:val="en-US" w:eastAsia="zh-CN"/>
              </w:rPr>
              <w:t>）。</w:t>
            </w:r>
            <w:r>
              <w:rPr>
                <w:rFonts w:hint="default"/>
              </w:rPr>
              <w:t>本项目主要从事</w:t>
            </w:r>
            <w:r>
              <w:rPr>
                <w:rFonts w:hint="eastAsia"/>
                <w:lang w:val="en-US" w:eastAsia="zh-CN"/>
              </w:rPr>
              <w:t>铝合金、塑胶件及钣金件加工生产，属于精密汽车部件，符合规划中壮大四大优势产业规划。因此本项目符合</w:t>
            </w:r>
            <w:r>
              <w:rPr>
                <w:rFonts w:hint="default"/>
                <w:lang w:val="en-US" w:eastAsia="zh-CN"/>
              </w:rPr>
              <w:t>《福清</w:t>
            </w:r>
            <w:r>
              <w:rPr>
                <w:rFonts w:hint="default" w:cs="Times New Roman"/>
                <w:color w:val="auto"/>
                <w:sz w:val="24"/>
                <w:szCs w:val="24"/>
                <w:highlight w:val="none"/>
                <w:u w:val="none"/>
                <w:lang w:val="en-US" w:eastAsia="zh-CN"/>
              </w:rPr>
              <w:t>市国土空间总体规划（2021—2035年）》</w:t>
            </w:r>
            <w:r>
              <w:rPr>
                <w:rFonts w:hint="eastAsia" w:cs="Times New Roman"/>
                <w:color w:val="auto"/>
                <w:sz w:val="24"/>
                <w:szCs w:val="24"/>
                <w:highlight w:val="none"/>
                <w:u w:val="none"/>
                <w:lang w:val="en-US" w:eastAsia="zh-CN"/>
              </w:rPr>
              <w:t>有关要求。</w:t>
            </w:r>
          </w:p>
          <w:p w14:paraId="1E78A017">
            <w:pPr>
              <w:pStyle w:val="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与《福清融侨经济技术开发区总体规划环境影响报告书（2018</w:t>
            </w:r>
            <w:r>
              <w:rPr>
                <w:rFonts w:hint="eastAsia"/>
                <w:lang w:val="en-US" w:eastAsia="zh-CN"/>
              </w:rPr>
              <w:t>—</w:t>
            </w:r>
            <w:r>
              <w:rPr>
                <w:rFonts w:hint="default"/>
                <w:lang w:val="en-US" w:eastAsia="zh-CN"/>
              </w:rPr>
              <w:t>2035年）》符合性分析</w:t>
            </w:r>
          </w:p>
          <w:p w14:paraId="157CE5B0">
            <w:pPr>
              <w:keepNext w:val="0"/>
              <w:keepLines w:val="0"/>
              <w:suppressLineNumbers w:val="0"/>
              <w:bidi w:val="0"/>
              <w:spacing w:before="0" w:beforeAutospacing="0" w:after="0" w:afterAutospacing="0"/>
              <w:ind w:left="0" w:right="0"/>
              <w:rPr>
                <w:rFonts w:hint="eastAsia"/>
                <w:lang w:val="en-GB"/>
              </w:rPr>
            </w:pPr>
            <w:r>
              <w:rPr>
                <w:rFonts w:hint="eastAsia"/>
                <w:lang w:val="en-GB"/>
              </w:rPr>
              <w:t>根据《福清融侨经济技术开发区总体规划环境影响报告书</w:t>
            </w:r>
            <w:r>
              <w:rPr>
                <w:rFonts w:hint="eastAsia"/>
                <w:lang w:val="en-GB" w:eastAsia="zh-CN"/>
              </w:rPr>
              <w:t>（</w:t>
            </w:r>
            <w:r>
              <w:rPr>
                <w:rFonts w:hint="eastAsia"/>
                <w:lang w:val="en-GB"/>
              </w:rPr>
              <w:t>2018-2035年</w:t>
            </w:r>
            <w:r>
              <w:rPr>
                <w:rFonts w:hint="eastAsia"/>
                <w:lang w:val="en-GB" w:eastAsia="zh-CN"/>
              </w:rPr>
              <w:t>）</w:t>
            </w:r>
            <w:r>
              <w:rPr>
                <w:rFonts w:hint="eastAsia"/>
                <w:lang w:val="en-GB"/>
              </w:rPr>
              <w:t>》及其审查意见</w:t>
            </w:r>
            <w:r>
              <w:rPr>
                <w:rFonts w:hint="eastAsia"/>
                <w:lang w:val="en-GB" w:eastAsia="zh-CN"/>
              </w:rPr>
              <w:t>（</w:t>
            </w:r>
            <w:r>
              <w:rPr>
                <w:rFonts w:hint="eastAsia"/>
                <w:lang w:val="en-GB"/>
              </w:rPr>
              <w:t>环审</w:t>
            </w:r>
            <w:r>
              <w:rPr>
                <w:rFonts w:hint="eastAsia"/>
                <w:lang w:val="en-GB" w:eastAsia="zh-CN"/>
              </w:rPr>
              <w:t>〔2020〕80号）</w:t>
            </w:r>
            <w:r>
              <w:rPr>
                <w:rFonts w:hint="eastAsia"/>
                <w:lang w:val="en-GB"/>
              </w:rPr>
              <w:t>，融侨经济技术开发区主要以电子信息：显示科技、光电科技、电子元器件、通讯设备、计算机与智能终端设备等。机械电气：数控机床、精密磨具、光机电一体化等。汽车零配件：汽配玻璃、汽车零部件、变速器、汽车轴承等。根据开发区对主导产业发展方向的定位，对照《国民经济行业分类》</w:t>
            </w:r>
            <w:r>
              <w:rPr>
                <w:rFonts w:hint="eastAsia"/>
                <w:lang w:val="en-GB" w:eastAsia="zh-CN"/>
              </w:rPr>
              <w:t>（</w:t>
            </w:r>
            <w:r>
              <w:rPr>
                <w:rFonts w:hint="eastAsia"/>
                <w:lang w:val="en-GB"/>
              </w:rPr>
              <w:t>GB/T4754-2017</w:t>
            </w:r>
            <w:r>
              <w:rPr>
                <w:rFonts w:hint="eastAsia"/>
                <w:lang w:val="en-GB" w:eastAsia="zh-CN"/>
              </w:rPr>
              <w:t>）</w:t>
            </w:r>
            <w:r>
              <w:rPr>
                <w:rFonts w:hint="eastAsia"/>
                <w:lang w:val="en-GB"/>
              </w:rPr>
              <w:t>，主导行业涉及国民经济类别主要包括C29、C304、C33、C34、C35、C36、C38、C39、C40；项目从事</w:t>
            </w:r>
            <w:r>
              <w:rPr>
                <w:rFonts w:hint="eastAsia"/>
                <w:lang w:val="en-US" w:eastAsia="zh-CN"/>
              </w:rPr>
              <w:t>铝合金、塑胶件及钣金件加工生产</w:t>
            </w:r>
            <w:r>
              <w:rPr>
                <w:rFonts w:hint="eastAsia"/>
                <w:lang w:val="en-GB"/>
              </w:rPr>
              <w:t>，属于</w:t>
            </w:r>
            <w:r>
              <w:rPr>
                <w:rFonts w:hint="eastAsia"/>
                <w:lang w:val="en-GB" w:eastAsia="zh-CN"/>
              </w:rPr>
              <w:t>C2929塑料零件及其他塑料制品制造</w:t>
            </w:r>
            <w:r>
              <w:rPr>
                <w:rFonts w:hint="eastAsia"/>
                <w:lang w:val="en-US" w:eastAsia="zh-CN"/>
              </w:rPr>
              <w:t>以及C3360金属表面处理及热处理加工</w:t>
            </w:r>
            <w:r>
              <w:rPr>
                <w:rFonts w:hint="eastAsia"/>
                <w:lang w:val="en-GB"/>
              </w:rPr>
              <w:t>。符合该园区规划环评的主导产业政策。</w:t>
            </w:r>
          </w:p>
          <w:p w14:paraId="2BD18069">
            <w:pPr>
              <w:keepNext w:val="0"/>
              <w:keepLines w:val="0"/>
              <w:suppressLineNumbers w:val="0"/>
              <w:bidi w:val="0"/>
              <w:spacing w:before="0" w:beforeAutospacing="0" w:after="0" w:afterAutospacing="0"/>
              <w:ind w:left="0" w:right="0"/>
              <w:rPr>
                <w:rFonts w:hint="eastAsia" w:ascii="Times New Roman" w:hAnsi="Times New Roman" w:eastAsia="宋体" w:cs="Times New Roman"/>
                <w:color w:val="auto"/>
                <w:szCs w:val="24"/>
                <w:lang w:val="en-GB"/>
              </w:rPr>
            </w:pPr>
            <w:r>
              <w:rPr>
                <w:rFonts w:hint="eastAsia"/>
                <w:lang w:val="en-GB"/>
              </w:rPr>
              <w:t>对照《福清融侨经济技术开发区总体规划环境影响报告书</w:t>
            </w:r>
            <w:r>
              <w:rPr>
                <w:rFonts w:hint="eastAsia"/>
                <w:lang w:val="en-GB" w:eastAsia="zh-CN"/>
              </w:rPr>
              <w:t>（</w:t>
            </w:r>
            <w:r>
              <w:rPr>
                <w:rFonts w:hint="eastAsia"/>
                <w:lang w:val="en-GB"/>
              </w:rPr>
              <w:t>2018-2035年</w:t>
            </w:r>
            <w:r>
              <w:rPr>
                <w:rFonts w:hint="eastAsia"/>
                <w:lang w:val="en-GB" w:eastAsia="zh-CN"/>
              </w:rPr>
              <w:t>）</w:t>
            </w:r>
            <w:r>
              <w:rPr>
                <w:rFonts w:hint="eastAsia"/>
                <w:lang w:val="en-GB"/>
              </w:rPr>
              <w:t>》中规划区配套及其他行业环境准入要求，项目与规划区主导产业环境准入清单符合性分析及批复相符性分析详见下表。</w:t>
            </w:r>
          </w:p>
          <w:p w14:paraId="6D2056CC">
            <w:pPr>
              <w:pStyle w:val="39"/>
              <w:keepNext w:val="0"/>
              <w:keepLines w:val="0"/>
              <w:suppressLineNumbers w:val="0"/>
              <w:bidi w:val="0"/>
              <w:spacing w:before="0" w:beforeAutospacing="0" w:after="0" w:afterAutospacing="0"/>
              <w:ind w:left="0" w:right="0"/>
              <w:rPr>
                <w:rFonts w:hint="eastAsia" w:eastAsia="宋体"/>
                <w:lang w:eastAsia="zh-CN"/>
              </w:rPr>
            </w:pPr>
            <w:r>
              <w:rPr>
                <w:rFonts w:hint="default"/>
              </w:rPr>
              <w:t>表</w:t>
            </w:r>
            <w:r>
              <w:rPr>
                <w:rFonts w:hint="eastAsia"/>
                <w:lang w:val="en-US" w:eastAsia="zh-CN"/>
              </w:rPr>
              <w:t xml:space="preserve">1-2 </w:t>
            </w:r>
            <w:r>
              <w:rPr>
                <w:rFonts w:hint="default"/>
              </w:rPr>
              <w:t>本项目与规划区主导产业环境准入清单符合性分析表</w:t>
            </w:r>
            <w:r>
              <w:rPr>
                <w:rFonts w:hint="eastAsia"/>
                <w:lang w:eastAsia="zh-CN"/>
              </w:rPr>
              <w:t>（</w:t>
            </w:r>
            <w:r>
              <w:rPr>
                <w:rFonts w:hint="default"/>
              </w:rPr>
              <w:t>摘录</w:t>
            </w:r>
            <w:r>
              <w:rPr>
                <w:rFonts w:hint="eastAsia"/>
                <w:lang w:eastAsia="zh-CN"/>
              </w:rPr>
              <w:t>）</w:t>
            </w:r>
          </w:p>
          <w:tbl>
            <w:tblPr>
              <w:tblStyle w:val="29"/>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6"/>
              <w:gridCol w:w="3229"/>
              <w:gridCol w:w="2410"/>
              <w:gridCol w:w="701"/>
            </w:tblGrid>
            <w:tr w14:paraId="2188EB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pct"/>
                  <w:noWrap w:val="0"/>
                  <w:vAlign w:val="center"/>
                </w:tcPr>
                <w:p w14:paraId="2FB7450E">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lang w:val="en-US" w:eastAsia="zh-CN"/>
                    </w:rPr>
                    <w:t>类别名称</w:t>
                  </w:r>
                </w:p>
              </w:tc>
              <w:tc>
                <w:tcPr>
                  <w:tcW w:w="2268" w:type="pct"/>
                  <w:noWrap w:val="0"/>
                  <w:vAlign w:val="center"/>
                </w:tcPr>
                <w:p w14:paraId="710D1B85">
                  <w:pPr>
                    <w:pStyle w:val="38"/>
                    <w:keepNext w:val="0"/>
                    <w:keepLines w:val="0"/>
                    <w:widowControl/>
                    <w:suppressLineNumbers w:val="0"/>
                    <w:bidi w:val="0"/>
                    <w:spacing w:before="0" w:beforeAutospacing="0" w:after="0" w:afterAutospacing="0"/>
                    <w:ind w:left="0" w:right="0"/>
                    <w:rPr>
                      <w:rFonts w:hint="default"/>
                      <w:szCs w:val="22"/>
                      <w:highlight w:val="none"/>
                      <w:lang w:val="en-US" w:eastAsia="zh-CN"/>
                    </w:rPr>
                  </w:pPr>
                  <w:r>
                    <w:rPr>
                      <w:rFonts w:hint="default"/>
                      <w:szCs w:val="22"/>
                      <w:highlight w:val="none"/>
                    </w:rPr>
                    <w:t>空间布局</w:t>
                  </w:r>
                  <w:r>
                    <w:rPr>
                      <w:rFonts w:hint="default"/>
                      <w:szCs w:val="22"/>
                      <w:highlight w:val="none"/>
                      <w:lang w:val="en-US" w:eastAsia="zh-CN"/>
                    </w:rPr>
                    <w:t>约束</w:t>
                  </w:r>
                </w:p>
              </w:tc>
              <w:tc>
                <w:tcPr>
                  <w:tcW w:w="1693" w:type="pct"/>
                  <w:noWrap w:val="0"/>
                  <w:vAlign w:val="center"/>
                </w:tcPr>
                <w:p w14:paraId="588D808E">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本项目</w:t>
                  </w:r>
                </w:p>
              </w:tc>
              <w:tc>
                <w:tcPr>
                  <w:tcW w:w="492" w:type="pct"/>
                  <w:noWrap w:val="0"/>
                  <w:vAlign w:val="center"/>
                </w:tcPr>
                <w:p w14:paraId="4289AC1F">
                  <w:pPr>
                    <w:pStyle w:val="38"/>
                    <w:keepNext w:val="0"/>
                    <w:keepLines w:val="0"/>
                    <w:widowControl/>
                    <w:suppressLineNumbers w:val="0"/>
                    <w:bidi w:val="0"/>
                    <w:spacing w:before="0" w:beforeAutospacing="0" w:after="0" w:afterAutospacing="0"/>
                    <w:ind w:left="0" w:right="0"/>
                    <w:rPr>
                      <w:rFonts w:hint="default"/>
                      <w:szCs w:val="22"/>
                      <w:highlight w:val="none"/>
                      <w:lang w:val="en-US" w:eastAsia="zh-CN"/>
                    </w:rPr>
                  </w:pPr>
                  <w:r>
                    <w:rPr>
                      <w:rFonts w:hint="default"/>
                      <w:szCs w:val="22"/>
                      <w:highlight w:val="none"/>
                    </w:rPr>
                    <w:t>符合性</w:t>
                  </w:r>
                </w:p>
              </w:tc>
            </w:tr>
            <w:tr w14:paraId="545183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pct"/>
                  <w:noWrap w:val="0"/>
                  <w:vAlign w:val="center"/>
                </w:tcPr>
                <w:p w14:paraId="48E23853">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29橡胶和塑料制品业</w:t>
                  </w:r>
                </w:p>
              </w:tc>
              <w:tc>
                <w:tcPr>
                  <w:tcW w:w="2268" w:type="pct"/>
                  <w:noWrap w:val="0"/>
                  <w:vAlign w:val="center"/>
                </w:tcPr>
                <w:p w14:paraId="13D0EAA8">
                  <w:pPr>
                    <w:pStyle w:val="38"/>
                    <w:keepNext w:val="0"/>
                    <w:keepLines w:val="0"/>
                    <w:widowControl/>
                    <w:suppressLineNumbers w:val="0"/>
                    <w:bidi w:val="0"/>
                    <w:spacing w:before="0" w:beforeAutospacing="0" w:after="0" w:afterAutospacing="0"/>
                    <w:ind w:left="0" w:right="0"/>
                    <w:jc w:val="both"/>
                    <w:rPr>
                      <w:rFonts w:hint="default"/>
                      <w:szCs w:val="22"/>
                      <w:highlight w:val="none"/>
                    </w:rPr>
                  </w:pPr>
                  <w:r>
                    <w:rPr>
                      <w:rFonts w:hint="default"/>
                      <w:szCs w:val="22"/>
                      <w:highlight w:val="none"/>
                    </w:rPr>
                    <w:t>禁止新建：</w:t>
                  </w:r>
                </w:p>
                <w:p w14:paraId="7F5CBD17">
                  <w:pPr>
                    <w:pStyle w:val="38"/>
                    <w:keepNext w:val="0"/>
                    <w:keepLines w:val="0"/>
                    <w:widowControl/>
                    <w:suppressLineNumbers w:val="0"/>
                    <w:bidi w:val="0"/>
                    <w:spacing w:before="0" w:beforeAutospacing="0" w:after="0" w:afterAutospacing="0"/>
                    <w:ind w:left="0" w:right="0"/>
                    <w:jc w:val="both"/>
                    <w:rPr>
                      <w:rFonts w:hint="default"/>
                      <w:szCs w:val="22"/>
                      <w:highlight w:val="none"/>
                      <w:lang w:eastAsia="zh-CN"/>
                    </w:rPr>
                  </w:pPr>
                  <w:r>
                    <w:rPr>
                      <w:rFonts w:hint="default"/>
                      <w:szCs w:val="22"/>
                      <w:highlight w:val="none"/>
                    </w:rPr>
                    <w:t>1、涉及开炼、密炼、硫化工艺</w:t>
                  </w:r>
                  <w:r>
                    <w:rPr>
                      <w:rFonts w:hint="default"/>
                      <w:szCs w:val="22"/>
                      <w:highlight w:val="none"/>
                      <w:lang w:eastAsia="zh-CN"/>
                    </w:rPr>
                    <w:t>；</w:t>
                  </w:r>
                </w:p>
                <w:p w14:paraId="2BE57FCB">
                  <w:pPr>
                    <w:pStyle w:val="38"/>
                    <w:keepNext w:val="0"/>
                    <w:keepLines w:val="0"/>
                    <w:widowControl/>
                    <w:suppressLineNumbers w:val="0"/>
                    <w:bidi w:val="0"/>
                    <w:spacing w:before="0" w:beforeAutospacing="0" w:after="0" w:afterAutospacing="0"/>
                    <w:ind w:left="0" w:right="0"/>
                    <w:jc w:val="both"/>
                    <w:rPr>
                      <w:rFonts w:hint="default"/>
                      <w:szCs w:val="22"/>
                      <w:highlight w:val="none"/>
                      <w:lang w:eastAsia="zh-CN"/>
                    </w:rPr>
                  </w:pPr>
                  <w:r>
                    <w:rPr>
                      <w:rFonts w:hint="default"/>
                      <w:szCs w:val="22"/>
                      <w:highlight w:val="none"/>
                    </w:rPr>
                    <w:t>2、采用煤、油、生物质等非清洁能源</w:t>
                  </w:r>
                  <w:r>
                    <w:rPr>
                      <w:rFonts w:hint="default"/>
                      <w:szCs w:val="22"/>
                      <w:highlight w:val="none"/>
                      <w:lang w:eastAsia="zh-CN"/>
                    </w:rPr>
                    <w:t>；</w:t>
                  </w:r>
                </w:p>
                <w:p w14:paraId="6F0863ED">
                  <w:pPr>
                    <w:pStyle w:val="38"/>
                    <w:keepNext w:val="0"/>
                    <w:keepLines w:val="0"/>
                    <w:widowControl/>
                    <w:suppressLineNumbers w:val="0"/>
                    <w:bidi w:val="0"/>
                    <w:spacing w:before="0" w:beforeAutospacing="0" w:after="0" w:afterAutospacing="0"/>
                    <w:ind w:left="0" w:right="0"/>
                    <w:jc w:val="both"/>
                    <w:rPr>
                      <w:rFonts w:hint="default"/>
                      <w:szCs w:val="22"/>
                      <w:highlight w:val="none"/>
                      <w:lang w:eastAsia="zh-CN"/>
                    </w:rPr>
                  </w:pPr>
                  <w:r>
                    <w:rPr>
                      <w:rFonts w:hint="default"/>
                      <w:szCs w:val="22"/>
                      <w:highlight w:val="none"/>
                    </w:rPr>
                    <w:t>3、再生橡胶制造、橡胶加工、橡胶制品翻新</w:t>
                  </w:r>
                  <w:r>
                    <w:rPr>
                      <w:rFonts w:hint="default"/>
                      <w:szCs w:val="22"/>
                      <w:highlight w:val="none"/>
                      <w:lang w:eastAsia="zh-CN"/>
                    </w:rPr>
                    <w:t>；</w:t>
                  </w:r>
                </w:p>
                <w:p w14:paraId="2B31D5EF">
                  <w:pPr>
                    <w:pStyle w:val="38"/>
                    <w:keepNext w:val="0"/>
                    <w:keepLines w:val="0"/>
                    <w:widowControl/>
                    <w:suppressLineNumbers w:val="0"/>
                    <w:bidi w:val="0"/>
                    <w:spacing w:before="0" w:beforeAutospacing="0" w:after="0" w:afterAutospacing="0"/>
                    <w:ind w:left="0" w:right="0"/>
                    <w:jc w:val="both"/>
                    <w:rPr>
                      <w:rFonts w:hint="default"/>
                      <w:szCs w:val="22"/>
                      <w:highlight w:val="none"/>
                      <w:lang w:eastAsia="zh-CN"/>
                    </w:rPr>
                  </w:pPr>
                  <w:r>
                    <w:rPr>
                      <w:rFonts w:hint="default"/>
                      <w:szCs w:val="22"/>
                      <w:highlight w:val="none"/>
                    </w:rPr>
                    <w:t>4、废旧塑料再生现有生产能力允许企业在一定期限内采取措施改造升级</w:t>
                  </w:r>
                  <w:r>
                    <w:rPr>
                      <w:rFonts w:hint="default"/>
                      <w:szCs w:val="22"/>
                      <w:highlight w:val="none"/>
                      <w:lang w:eastAsia="zh-CN"/>
                    </w:rPr>
                    <w:t>。</w:t>
                  </w:r>
                </w:p>
              </w:tc>
              <w:tc>
                <w:tcPr>
                  <w:tcW w:w="1693" w:type="pct"/>
                  <w:noWrap w:val="0"/>
                  <w:vAlign w:val="center"/>
                </w:tcPr>
                <w:p w14:paraId="3C490DB3">
                  <w:pPr>
                    <w:pStyle w:val="38"/>
                    <w:keepNext w:val="0"/>
                    <w:keepLines w:val="0"/>
                    <w:widowControl/>
                    <w:suppressLineNumbers w:val="0"/>
                    <w:bidi w:val="0"/>
                    <w:spacing w:before="0" w:beforeAutospacing="0" w:after="0" w:afterAutospacing="0"/>
                    <w:ind w:left="0" w:right="0"/>
                    <w:jc w:val="both"/>
                    <w:rPr>
                      <w:rFonts w:hint="default"/>
                      <w:szCs w:val="22"/>
                      <w:highlight w:val="none"/>
                      <w:lang w:eastAsia="zh-CN"/>
                    </w:rPr>
                  </w:pPr>
                  <w:r>
                    <w:rPr>
                      <w:rFonts w:hint="default"/>
                      <w:szCs w:val="22"/>
                      <w:highlight w:val="none"/>
                      <w:lang w:val="en-US" w:eastAsia="zh-CN"/>
                    </w:rPr>
                    <w:t>1、本项目不涉及</w:t>
                  </w:r>
                  <w:r>
                    <w:rPr>
                      <w:rFonts w:hint="default"/>
                      <w:szCs w:val="22"/>
                      <w:highlight w:val="none"/>
                    </w:rPr>
                    <w:t>开炼、密炼、硫化工艺</w:t>
                  </w:r>
                  <w:r>
                    <w:rPr>
                      <w:rFonts w:hint="default"/>
                      <w:szCs w:val="22"/>
                      <w:highlight w:val="none"/>
                      <w:lang w:eastAsia="zh-CN"/>
                    </w:rPr>
                    <w:t>；</w:t>
                  </w:r>
                </w:p>
                <w:p w14:paraId="3EBB09E6">
                  <w:pPr>
                    <w:pStyle w:val="38"/>
                    <w:keepNext w:val="0"/>
                    <w:keepLines w:val="0"/>
                    <w:widowControl/>
                    <w:suppressLineNumbers w:val="0"/>
                    <w:bidi w:val="0"/>
                    <w:spacing w:before="0" w:beforeAutospacing="0" w:after="0" w:afterAutospacing="0"/>
                    <w:ind w:left="0" w:right="0"/>
                    <w:jc w:val="both"/>
                    <w:rPr>
                      <w:rFonts w:hint="default"/>
                      <w:szCs w:val="22"/>
                      <w:highlight w:val="none"/>
                      <w:lang w:eastAsia="zh-CN"/>
                    </w:rPr>
                  </w:pPr>
                  <w:r>
                    <w:rPr>
                      <w:rFonts w:hint="default"/>
                      <w:szCs w:val="22"/>
                      <w:highlight w:val="none"/>
                      <w:lang w:val="en-US" w:eastAsia="zh-CN"/>
                    </w:rPr>
                    <w:t>2、本项目不</w:t>
                  </w:r>
                  <w:r>
                    <w:rPr>
                      <w:rFonts w:hint="default"/>
                      <w:szCs w:val="22"/>
                      <w:highlight w:val="none"/>
                    </w:rPr>
                    <w:t>采用煤、油、生物质等非清洁能源</w:t>
                  </w:r>
                  <w:r>
                    <w:rPr>
                      <w:rFonts w:hint="default"/>
                      <w:szCs w:val="22"/>
                      <w:highlight w:val="none"/>
                      <w:lang w:eastAsia="zh-CN"/>
                    </w:rPr>
                    <w:t>；</w:t>
                  </w:r>
                </w:p>
                <w:p w14:paraId="0EFE87BA">
                  <w:pPr>
                    <w:pStyle w:val="38"/>
                    <w:keepNext w:val="0"/>
                    <w:keepLines w:val="0"/>
                    <w:widowControl/>
                    <w:suppressLineNumbers w:val="0"/>
                    <w:bidi w:val="0"/>
                    <w:spacing w:before="0" w:beforeAutospacing="0" w:after="0" w:afterAutospacing="0"/>
                    <w:ind w:left="0" w:right="0"/>
                    <w:jc w:val="both"/>
                    <w:rPr>
                      <w:rFonts w:hint="default"/>
                      <w:szCs w:val="22"/>
                      <w:highlight w:val="none"/>
                      <w:lang w:eastAsia="zh-CN"/>
                    </w:rPr>
                  </w:pPr>
                  <w:r>
                    <w:rPr>
                      <w:rFonts w:hint="default"/>
                      <w:szCs w:val="22"/>
                      <w:highlight w:val="none"/>
                      <w:lang w:val="en-US" w:eastAsia="zh-CN"/>
                    </w:rPr>
                    <w:t>3、本项目不属于</w:t>
                  </w:r>
                  <w:r>
                    <w:rPr>
                      <w:rFonts w:hint="default"/>
                      <w:szCs w:val="22"/>
                      <w:highlight w:val="none"/>
                    </w:rPr>
                    <w:t>再生橡胶制造、橡胶加工、橡胶制品翻新</w:t>
                  </w:r>
                  <w:r>
                    <w:rPr>
                      <w:rFonts w:hint="default"/>
                      <w:szCs w:val="22"/>
                      <w:highlight w:val="none"/>
                      <w:lang w:eastAsia="zh-CN"/>
                    </w:rPr>
                    <w:t>；</w:t>
                  </w:r>
                </w:p>
                <w:p w14:paraId="32492F12">
                  <w:pPr>
                    <w:pStyle w:val="38"/>
                    <w:keepNext w:val="0"/>
                    <w:keepLines w:val="0"/>
                    <w:widowControl/>
                    <w:suppressLineNumbers w:val="0"/>
                    <w:bidi w:val="0"/>
                    <w:spacing w:before="0" w:beforeAutospacing="0" w:after="0" w:afterAutospacing="0"/>
                    <w:ind w:left="0" w:right="0"/>
                    <w:jc w:val="both"/>
                    <w:rPr>
                      <w:rFonts w:hint="default"/>
                      <w:szCs w:val="22"/>
                      <w:highlight w:val="none"/>
                      <w:lang w:val="en-US" w:eastAsia="zh-CN"/>
                    </w:rPr>
                  </w:pPr>
                  <w:r>
                    <w:rPr>
                      <w:rFonts w:hint="default"/>
                      <w:szCs w:val="22"/>
                      <w:highlight w:val="none"/>
                      <w:lang w:val="en-US" w:eastAsia="zh-CN"/>
                    </w:rPr>
                    <w:t>4、本项目不属于</w:t>
                  </w:r>
                  <w:r>
                    <w:rPr>
                      <w:rFonts w:hint="default"/>
                      <w:szCs w:val="22"/>
                      <w:highlight w:val="none"/>
                    </w:rPr>
                    <w:t>废旧塑料再生</w:t>
                  </w:r>
                  <w:r>
                    <w:rPr>
                      <w:rFonts w:hint="default"/>
                      <w:szCs w:val="22"/>
                      <w:highlight w:val="none"/>
                      <w:lang w:val="en-US" w:eastAsia="zh-CN"/>
                    </w:rPr>
                    <w:t>行业。</w:t>
                  </w:r>
                </w:p>
              </w:tc>
              <w:tc>
                <w:tcPr>
                  <w:tcW w:w="492" w:type="pct"/>
                  <w:noWrap w:val="0"/>
                  <w:vAlign w:val="center"/>
                </w:tcPr>
                <w:p w14:paraId="45C99F44">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符合</w:t>
                  </w:r>
                </w:p>
              </w:tc>
            </w:tr>
            <w:tr w14:paraId="5B7542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pct"/>
                  <w:noWrap w:val="0"/>
                  <w:vAlign w:val="center"/>
                </w:tcPr>
                <w:p w14:paraId="45F937F2">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33金属制品业</w:t>
                  </w:r>
                </w:p>
              </w:tc>
              <w:tc>
                <w:tcPr>
                  <w:tcW w:w="2268" w:type="pct"/>
                  <w:noWrap w:val="0"/>
                  <w:vAlign w:val="center"/>
                </w:tcPr>
                <w:p w14:paraId="2949F770">
                  <w:pPr>
                    <w:pStyle w:val="38"/>
                    <w:keepNext w:val="0"/>
                    <w:keepLines w:val="0"/>
                    <w:widowControl/>
                    <w:suppressLineNumbers w:val="0"/>
                    <w:bidi w:val="0"/>
                    <w:spacing w:before="0" w:beforeAutospacing="0" w:after="0" w:afterAutospacing="0"/>
                    <w:ind w:left="0" w:right="0"/>
                    <w:jc w:val="both"/>
                    <w:rPr>
                      <w:rFonts w:hint="eastAsia" w:eastAsia="宋体"/>
                      <w:szCs w:val="22"/>
                      <w:highlight w:val="none"/>
                      <w:lang w:eastAsia="zh-CN"/>
                    </w:rPr>
                  </w:pPr>
                  <w:r>
                    <w:rPr>
                      <w:rFonts w:hint="default"/>
                      <w:szCs w:val="22"/>
                      <w:highlight w:val="none"/>
                    </w:rPr>
                    <w:t>禁止新建</w:t>
                  </w:r>
                  <w:r>
                    <w:rPr>
                      <w:rFonts w:hint="eastAsia"/>
                      <w:szCs w:val="22"/>
                      <w:highlight w:val="none"/>
                      <w:lang w:eastAsia="zh-CN"/>
                    </w:rPr>
                    <w:t>；</w:t>
                  </w:r>
                </w:p>
                <w:p w14:paraId="7C520A16">
                  <w:pPr>
                    <w:pStyle w:val="38"/>
                    <w:keepNext w:val="0"/>
                    <w:keepLines w:val="0"/>
                    <w:widowControl/>
                    <w:suppressLineNumbers w:val="0"/>
                    <w:bidi w:val="0"/>
                    <w:spacing w:before="0" w:beforeAutospacing="0" w:after="0" w:afterAutospacing="0"/>
                    <w:ind w:left="0" w:right="0"/>
                    <w:jc w:val="both"/>
                    <w:rPr>
                      <w:rFonts w:hint="eastAsia" w:eastAsia="宋体"/>
                      <w:szCs w:val="22"/>
                      <w:highlight w:val="none"/>
                      <w:lang w:eastAsia="zh-CN"/>
                    </w:rPr>
                  </w:pPr>
                  <w:r>
                    <w:rPr>
                      <w:rFonts w:hint="default"/>
                      <w:szCs w:val="22"/>
                      <w:highlight w:val="none"/>
                    </w:rPr>
                    <w:t>1、使用有机涂层的</w:t>
                  </w:r>
                  <w:r>
                    <w:rPr>
                      <w:rFonts w:hint="eastAsia"/>
                      <w:szCs w:val="22"/>
                      <w:highlight w:val="none"/>
                      <w:lang w:eastAsia="zh-CN"/>
                    </w:rPr>
                    <w:t>（</w:t>
                  </w:r>
                  <w:r>
                    <w:rPr>
                      <w:rFonts w:hint="default"/>
                      <w:szCs w:val="22"/>
                      <w:highlight w:val="none"/>
                    </w:rPr>
                    <w:t>喷塑、电泳及高端项目配套除外</w:t>
                  </w:r>
                  <w:r>
                    <w:rPr>
                      <w:rFonts w:hint="eastAsia"/>
                      <w:szCs w:val="22"/>
                      <w:highlight w:val="none"/>
                      <w:lang w:eastAsia="zh-CN"/>
                    </w:rPr>
                    <w:t>）</w:t>
                  </w:r>
                </w:p>
                <w:p w14:paraId="5E7573DE">
                  <w:pPr>
                    <w:pStyle w:val="38"/>
                    <w:keepNext w:val="0"/>
                    <w:keepLines w:val="0"/>
                    <w:widowControl/>
                    <w:suppressLineNumbers w:val="0"/>
                    <w:bidi w:val="0"/>
                    <w:spacing w:before="0" w:beforeAutospacing="0" w:after="0" w:afterAutospacing="0"/>
                    <w:ind w:left="0" w:right="0"/>
                    <w:jc w:val="both"/>
                    <w:rPr>
                      <w:rFonts w:hint="default"/>
                      <w:szCs w:val="22"/>
                      <w:highlight w:val="none"/>
                    </w:rPr>
                  </w:pPr>
                  <w:r>
                    <w:rPr>
                      <w:rFonts w:hint="default"/>
                      <w:szCs w:val="22"/>
                      <w:highlight w:val="none"/>
                    </w:rPr>
                    <w:t>2、涉及熔炼、电镀工艺</w:t>
                  </w:r>
                </w:p>
                <w:p w14:paraId="4E09BAD2">
                  <w:pPr>
                    <w:pStyle w:val="38"/>
                    <w:keepNext w:val="0"/>
                    <w:keepLines w:val="0"/>
                    <w:widowControl/>
                    <w:suppressLineNumbers w:val="0"/>
                    <w:bidi w:val="0"/>
                    <w:spacing w:before="0" w:beforeAutospacing="0" w:after="0" w:afterAutospacing="0"/>
                    <w:ind w:left="0" w:right="0"/>
                    <w:jc w:val="both"/>
                    <w:rPr>
                      <w:rFonts w:hint="default"/>
                      <w:szCs w:val="22"/>
                      <w:highlight w:val="none"/>
                    </w:rPr>
                  </w:pPr>
                  <w:r>
                    <w:rPr>
                      <w:rFonts w:hint="default"/>
                      <w:szCs w:val="22"/>
                      <w:highlight w:val="none"/>
                    </w:rPr>
                    <w:t>3</w:t>
                  </w:r>
                  <w:r>
                    <w:rPr>
                      <w:rFonts w:hint="default"/>
                      <w:szCs w:val="22"/>
                      <w:highlight w:val="none"/>
                      <w:lang w:eastAsia="zh-CN"/>
                    </w:rPr>
                    <w:t>、</w:t>
                  </w:r>
                  <w:r>
                    <w:rPr>
                      <w:rFonts w:hint="default"/>
                      <w:szCs w:val="22"/>
                      <w:highlight w:val="none"/>
                    </w:rPr>
                    <w:t>涉及钝化工艺的热镀锌</w:t>
                  </w:r>
                </w:p>
                <w:p w14:paraId="5AED8583">
                  <w:pPr>
                    <w:pStyle w:val="38"/>
                    <w:keepNext w:val="0"/>
                    <w:keepLines w:val="0"/>
                    <w:widowControl/>
                    <w:suppressLineNumbers w:val="0"/>
                    <w:bidi w:val="0"/>
                    <w:spacing w:before="0" w:beforeAutospacing="0" w:after="0" w:afterAutospacing="0"/>
                    <w:ind w:left="0" w:right="0"/>
                    <w:jc w:val="both"/>
                    <w:rPr>
                      <w:rFonts w:hint="default"/>
                      <w:szCs w:val="22"/>
                      <w:highlight w:val="none"/>
                    </w:rPr>
                  </w:pPr>
                  <w:r>
                    <w:rPr>
                      <w:rFonts w:hint="default"/>
                      <w:szCs w:val="22"/>
                      <w:highlight w:val="none"/>
                      <w:lang w:val="en-US" w:eastAsia="zh-CN"/>
                    </w:rPr>
                    <w:t>4、</w:t>
                  </w:r>
                  <w:r>
                    <w:rPr>
                      <w:rFonts w:hint="default"/>
                      <w:szCs w:val="22"/>
                      <w:highlight w:val="none"/>
                    </w:rPr>
                    <w:t>油性漆使用量超过 10t/a 喷漆工艺</w:t>
                  </w:r>
                </w:p>
                <w:p w14:paraId="5F4ADB72">
                  <w:pPr>
                    <w:pStyle w:val="38"/>
                    <w:keepNext w:val="0"/>
                    <w:keepLines w:val="0"/>
                    <w:widowControl/>
                    <w:suppressLineNumbers w:val="0"/>
                    <w:bidi w:val="0"/>
                    <w:spacing w:before="0" w:beforeAutospacing="0" w:after="0" w:afterAutospacing="0"/>
                    <w:ind w:left="0" w:right="0"/>
                    <w:jc w:val="both"/>
                    <w:rPr>
                      <w:rFonts w:hint="default"/>
                      <w:szCs w:val="22"/>
                      <w:highlight w:val="none"/>
                    </w:rPr>
                  </w:pPr>
                  <w:r>
                    <w:rPr>
                      <w:rFonts w:hint="default"/>
                      <w:szCs w:val="22"/>
                      <w:highlight w:val="none"/>
                      <w:lang w:val="en-US" w:eastAsia="zh-CN"/>
                    </w:rPr>
                    <w:t>5、</w:t>
                  </w:r>
                  <w:r>
                    <w:rPr>
                      <w:rFonts w:hint="default"/>
                      <w:szCs w:val="22"/>
                      <w:highlight w:val="none"/>
                    </w:rPr>
                    <w:t>使用火焰法除旧漆，使用干喷砂除锈</w:t>
                  </w:r>
                </w:p>
                <w:p w14:paraId="389DBDD7">
                  <w:pPr>
                    <w:pStyle w:val="38"/>
                    <w:keepNext w:val="0"/>
                    <w:keepLines w:val="0"/>
                    <w:widowControl/>
                    <w:suppressLineNumbers w:val="0"/>
                    <w:bidi w:val="0"/>
                    <w:spacing w:before="0" w:beforeAutospacing="0" w:after="0" w:afterAutospacing="0"/>
                    <w:ind w:left="0" w:right="0"/>
                    <w:jc w:val="both"/>
                    <w:rPr>
                      <w:rFonts w:hint="default"/>
                      <w:szCs w:val="22"/>
                      <w:highlight w:val="none"/>
                    </w:rPr>
                  </w:pPr>
                  <w:r>
                    <w:rPr>
                      <w:rFonts w:hint="default"/>
                      <w:szCs w:val="22"/>
                      <w:highlight w:val="none"/>
                      <w:lang w:val="en-US" w:eastAsia="zh-CN"/>
                    </w:rPr>
                    <w:t>6、</w:t>
                  </w:r>
                  <w:r>
                    <w:rPr>
                      <w:rFonts w:hint="default"/>
                      <w:szCs w:val="22"/>
                      <w:highlight w:val="none"/>
                    </w:rPr>
                    <w:t>采用煤、油、生物质等非清洁能源</w:t>
                  </w:r>
                </w:p>
                <w:p w14:paraId="788877CE">
                  <w:pPr>
                    <w:pStyle w:val="38"/>
                    <w:keepNext w:val="0"/>
                    <w:keepLines w:val="0"/>
                    <w:widowControl/>
                    <w:suppressLineNumbers w:val="0"/>
                    <w:bidi w:val="0"/>
                    <w:spacing w:before="0" w:beforeAutospacing="0" w:after="0" w:afterAutospacing="0"/>
                    <w:ind w:left="0" w:right="0"/>
                    <w:jc w:val="both"/>
                    <w:rPr>
                      <w:rFonts w:hint="default"/>
                      <w:szCs w:val="22"/>
                      <w:highlight w:val="none"/>
                    </w:rPr>
                  </w:pPr>
                  <w:r>
                    <w:rPr>
                      <w:rFonts w:hint="default"/>
                      <w:szCs w:val="22"/>
                      <w:highlight w:val="none"/>
                      <w:lang w:val="en-US" w:eastAsia="zh-CN"/>
                    </w:rPr>
                    <w:t>7、</w:t>
                  </w:r>
                  <w:r>
                    <w:rPr>
                      <w:rFonts w:hint="default"/>
                      <w:szCs w:val="22"/>
                      <w:highlight w:val="none"/>
                    </w:rPr>
                    <w:t>铅酸蓄电池制造</w:t>
                  </w:r>
                </w:p>
                <w:p w14:paraId="7330F084">
                  <w:pPr>
                    <w:pStyle w:val="38"/>
                    <w:keepNext w:val="0"/>
                    <w:keepLines w:val="0"/>
                    <w:widowControl/>
                    <w:suppressLineNumbers w:val="0"/>
                    <w:bidi w:val="0"/>
                    <w:spacing w:before="0" w:beforeAutospacing="0" w:after="0" w:afterAutospacing="0"/>
                    <w:ind w:left="0" w:right="0"/>
                    <w:jc w:val="both"/>
                    <w:rPr>
                      <w:rFonts w:hint="default"/>
                      <w:szCs w:val="22"/>
                      <w:highlight w:val="none"/>
                    </w:rPr>
                  </w:pPr>
                  <w:r>
                    <w:rPr>
                      <w:rFonts w:hint="default"/>
                      <w:szCs w:val="22"/>
                      <w:highlight w:val="none"/>
                    </w:rPr>
                    <w:t>8、印刷电路板</w:t>
                  </w:r>
                  <w:r>
                    <w:rPr>
                      <w:rFonts w:hint="eastAsia"/>
                      <w:szCs w:val="22"/>
                      <w:highlight w:val="none"/>
                      <w:lang w:eastAsia="zh-CN"/>
                    </w:rPr>
                    <w:t>（</w:t>
                  </w:r>
                  <w:r>
                    <w:rPr>
                      <w:rFonts w:hint="default"/>
                      <w:szCs w:val="22"/>
                      <w:highlight w:val="none"/>
                    </w:rPr>
                    <w:t>高密度印刷电路板和柔性电路板除外</w:t>
                  </w:r>
                  <w:r>
                    <w:rPr>
                      <w:rFonts w:hint="eastAsia"/>
                      <w:szCs w:val="22"/>
                      <w:highlight w:val="none"/>
                      <w:lang w:eastAsia="zh-CN"/>
                    </w:rPr>
                    <w:t>）</w:t>
                  </w:r>
                  <w:r>
                    <w:rPr>
                      <w:rFonts w:hint="default"/>
                      <w:szCs w:val="22"/>
                      <w:highlight w:val="none"/>
                    </w:rPr>
                    <w:t>现有生产能力允许企业在一定期限内采取措施改造升级</w:t>
                  </w:r>
                </w:p>
              </w:tc>
              <w:tc>
                <w:tcPr>
                  <w:tcW w:w="1693" w:type="pct"/>
                  <w:noWrap w:val="0"/>
                  <w:vAlign w:val="center"/>
                </w:tcPr>
                <w:p w14:paraId="39FFCD8B">
                  <w:pPr>
                    <w:pStyle w:val="38"/>
                    <w:keepNext w:val="0"/>
                    <w:keepLines w:val="0"/>
                    <w:widowControl/>
                    <w:suppressLineNumbers w:val="0"/>
                    <w:bidi w:val="0"/>
                    <w:spacing w:before="0" w:beforeAutospacing="0" w:after="0" w:afterAutospacing="0"/>
                    <w:ind w:left="0" w:right="0"/>
                    <w:jc w:val="both"/>
                    <w:rPr>
                      <w:rFonts w:hint="eastAsia"/>
                      <w:szCs w:val="22"/>
                      <w:highlight w:val="none"/>
                      <w:lang w:val="en-US" w:eastAsia="zh-CN"/>
                    </w:rPr>
                  </w:pPr>
                  <w:r>
                    <w:rPr>
                      <w:rFonts w:hint="eastAsia"/>
                      <w:szCs w:val="22"/>
                      <w:highlight w:val="none"/>
                      <w:lang w:val="en-US" w:eastAsia="zh-CN"/>
                    </w:rPr>
                    <w:t>1、本项目不涉及有机涂层；</w:t>
                  </w:r>
                </w:p>
                <w:p w14:paraId="37915227">
                  <w:pPr>
                    <w:pStyle w:val="38"/>
                    <w:keepNext w:val="0"/>
                    <w:keepLines w:val="0"/>
                    <w:widowControl/>
                    <w:suppressLineNumbers w:val="0"/>
                    <w:bidi w:val="0"/>
                    <w:spacing w:before="0" w:beforeAutospacing="0" w:after="0" w:afterAutospacing="0"/>
                    <w:ind w:left="0" w:right="0"/>
                    <w:jc w:val="both"/>
                    <w:rPr>
                      <w:rFonts w:hint="eastAsia"/>
                      <w:szCs w:val="22"/>
                      <w:highlight w:val="none"/>
                      <w:lang w:val="en-US" w:eastAsia="zh-CN"/>
                    </w:rPr>
                  </w:pPr>
                  <w:r>
                    <w:rPr>
                      <w:rFonts w:hint="eastAsia"/>
                      <w:szCs w:val="22"/>
                      <w:highlight w:val="none"/>
                      <w:lang w:val="en-US" w:eastAsia="zh-CN"/>
                    </w:rPr>
                    <w:t>2、本项目不涉及熔炼、电镀工艺；</w:t>
                  </w:r>
                </w:p>
                <w:p w14:paraId="04044C4A">
                  <w:pPr>
                    <w:pStyle w:val="38"/>
                    <w:keepNext w:val="0"/>
                    <w:keepLines w:val="0"/>
                    <w:widowControl/>
                    <w:suppressLineNumbers w:val="0"/>
                    <w:bidi w:val="0"/>
                    <w:spacing w:before="0" w:beforeAutospacing="0" w:after="0" w:afterAutospacing="0"/>
                    <w:ind w:left="0" w:right="0"/>
                    <w:jc w:val="both"/>
                    <w:rPr>
                      <w:rFonts w:hint="eastAsia"/>
                      <w:szCs w:val="22"/>
                      <w:highlight w:val="none"/>
                      <w:lang w:val="en-US" w:eastAsia="zh-CN"/>
                    </w:rPr>
                  </w:pPr>
                  <w:r>
                    <w:rPr>
                      <w:rFonts w:hint="eastAsia"/>
                      <w:szCs w:val="22"/>
                      <w:highlight w:val="none"/>
                      <w:lang w:val="en-US" w:eastAsia="zh-CN"/>
                    </w:rPr>
                    <w:t>3、本项目不涉及钝化工艺的热镀锌；</w:t>
                  </w:r>
                </w:p>
                <w:p w14:paraId="7000C50E">
                  <w:pPr>
                    <w:pStyle w:val="38"/>
                    <w:keepNext w:val="0"/>
                    <w:keepLines w:val="0"/>
                    <w:widowControl/>
                    <w:suppressLineNumbers w:val="0"/>
                    <w:bidi w:val="0"/>
                    <w:spacing w:before="0" w:beforeAutospacing="0" w:after="0" w:afterAutospacing="0"/>
                    <w:ind w:left="0" w:right="0"/>
                    <w:jc w:val="both"/>
                    <w:rPr>
                      <w:rFonts w:hint="eastAsia"/>
                      <w:szCs w:val="22"/>
                      <w:highlight w:val="none"/>
                      <w:lang w:val="en-US" w:eastAsia="zh-CN"/>
                    </w:rPr>
                  </w:pPr>
                  <w:r>
                    <w:rPr>
                      <w:rFonts w:hint="eastAsia"/>
                      <w:szCs w:val="22"/>
                      <w:highlight w:val="none"/>
                      <w:lang w:val="en-US" w:eastAsia="zh-CN"/>
                    </w:rPr>
                    <w:t>4、本项目油性漆使用量为4t/a，不超过10t/a，符合要求；</w:t>
                  </w:r>
                </w:p>
                <w:p w14:paraId="1D9C0E47">
                  <w:pPr>
                    <w:pStyle w:val="38"/>
                    <w:keepNext w:val="0"/>
                    <w:keepLines w:val="0"/>
                    <w:widowControl/>
                    <w:suppressLineNumbers w:val="0"/>
                    <w:bidi w:val="0"/>
                    <w:spacing w:before="0" w:beforeAutospacing="0" w:after="0" w:afterAutospacing="0"/>
                    <w:ind w:left="0" w:right="0"/>
                    <w:jc w:val="both"/>
                    <w:rPr>
                      <w:rFonts w:hint="eastAsia"/>
                      <w:szCs w:val="22"/>
                      <w:highlight w:val="none"/>
                      <w:lang w:val="en-US" w:eastAsia="zh-CN"/>
                    </w:rPr>
                  </w:pPr>
                  <w:r>
                    <w:rPr>
                      <w:rFonts w:hint="eastAsia"/>
                      <w:szCs w:val="22"/>
                      <w:highlight w:val="none"/>
                      <w:lang w:val="en-US" w:eastAsia="zh-CN"/>
                    </w:rPr>
                    <w:t>5、本项目不涉及火焰法除旧漆，不使用干喷砂除锈；</w:t>
                  </w:r>
                </w:p>
                <w:p w14:paraId="11046865">
                  <w:pPr>
                    <w:pStyle w:val="38"/>
                    <w:keepNext w:val="0"/>
                    <w:keepLines w:val="0"/>
                    <w:widowControl/>
                    <w:suppressLineNumbers w:val="0"/>
                    <w:bidi w:val="0"/>
                    <w:spacing w:before="0" w:beforeAutospacing="0" w:after="0" w:afterAutospacing="0"/>
                    <w:ind w:left="0" w:right="0"/>
                    <w:jc w:val="both"/>
                    <w:rPr>
                      <w:rFonts w:hint="eastAsia"/>
                      <w:szCs w:val="22"/>
                      <w:highlight w:val="none"/>
                      <w:lang w:val="en-US" w:eastAsia="zh-CN"/>
                    </w:rPr>
                  </w:pPr>
                  <w:r>
                    <w:rPr>
                      <w:rFonts w:hint="eastAsia"/>
                      <w:szCs w:val="22"/>
                      <w:highlight w:val="none"/>
                      <w:lang w:val="en-US" w:eastAsia="zh-CN"/>
                    </w:rPr>
                    <w:t>6、本项目使用电能作为能源；</w:t>
                  </w:r>
                </w:p>
                <w:p w14:paraId="3053DBCC">
                  <w:pPr>
                    <w:pStyle w:val="38"/>
                    <w:keepNext w:val="0"/>
                    <w:keepLines w:val="0"/>
                    <w:widowControl/>
                    <w:suppressLineNumbers w:val="0"/>
                    <w:bidi w:val="0"/>
                    <w:spacing w:before="0" w:beforeAutospacing="0" w:after="0" w:afterAutospacing="0"/>
                    <w:ind w:left="0" w:right="0"/>
                    <w:jc w:val="both"/>
                    <w:rPr>
                      <w:rFonts w:hint="eastAsia"/>
                      <w:szCs w:val="22"/>
                      <w:highlight w:val="none"/>
                      <w:lang w:val="en-US" w:eastAsia="zh-CN"/>
                    </w:rPr>
                  </w:pPr>
                  <w:r>
                    <w:rPr>
                      <w:rFonts w:hint="eastAsia"/>
                      <w:szCs w:val="22"/>
                      <w:highlight w:val="none"/>
                      <w:lang w:val="en-US" w:eastAsia="zh-CN"/>
                    </w:rPr>
                    <w:t>7、本项目不涉及铅酸蓄电池制造；</w:t>
                  </w:r>
                </w:p>
                <w:p w14:paraId="0C22F447">
                  <w:pPr>
                    <w:pStyle w:val="38"/>
                    <w:keepNext w:val="0"/>
                    <w:keepLines w:val="0"/>
                    <w:widowControl/>
                    <w:suppressLineNumbers w:val="0"/>
                    <w:bidi w:val="0"/>
                    <w:spacing w:before="0" w:beforeAutospacing="0" w:after="0" w:afterAutospacing="0"/>
                    <w:ind w:left="0" w:right="0"/>
                    <w:jc w:val="both"/>
                    <w:rPr>
                      <w:rFonts w:hint="default"/>
                      <w:szCs w:val="22"/>
                      <w:highlight w:val="none"/>
                      <w:lang w:val="en-US" w:eastAsia="zh-CN"/>
                    </w:rPr>
                  </w:pPr>
                  <w:r>
                    <w:rPr>
                      <w:rFonts w:hint="eastAsia"/>
                      <w:szCs w:val="22"/>
                      <w:highlight w:val="none"/>
                      <w:lang w:val="en-US" w:eastAsia="zh-CN"/>
                    </w:rPr>
                    <w:t>8、本项目不涉及印刷电路板</w:t>
                  </w:r>
                </w:p>
              </w:tc>
              <w:tc>
                <w:tcPr>
                  <w:tcW w:w="492" w:type="pct"/>
                  <w:noWrap w:val="0"/>
                  <w:vAlign w:val="center"/>
                </w:tcPr>
                <w:p w14:paraId="722229B5">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符合</w:t>
                  </w:r>
                </w:p>
              </w:tc>
            </w:tr>
            <w:tr w14:paraId="315F09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pct"/>
                  <w:noWrap w:val="0"/>
                  <w:vAlign w:val="center"/>
                </w:tcPr>
                <w:p w14:paraId="1BB6E80D">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lang w:val="en-US" w:eastAsia="zh-CN"/>
                    </w:rPr>
                    <w:t>类别名称</w:t>
                  </w:r>
                </w:p>
              </w:tc>
              <w:tc>
                <w:tcPr>
                  <w:tcW w:w="2268" w:type="pct"/>
                  <w:noWrap w:val="0"/>
                  <w:vAlign w:val="center"/>
                </w:tcPr>
                <w:p w14:paraId="2567B196">
                  <w:pPr>
                    <w:pStyle w:val="38"/>
                    <w:keepNext w:val="0"/>
                    <w:keepLines w:val="0"/>
                    <w:widowControl/>
                    <w:suppressLineNumbers w:val="0"/>
                    <w:bidi w:val="0"/>
                    <w:spacing w:before="0" w:beforeAutospacing="0" w:after="0" w:afterAutospacing="0"/>
                    <w:ind w:left="0" w:right="0"/>
                    <w:jc w:val="center"/>
                    <w:rPr>
                      <w:rFonts w:hint="default"/>
                      <w:szCs w:val="22"/>
                      <w:highlight w:val="none"/>
                      <w:lang w:val="en-US" w:eastAsia="zh-CN"/>
                    </w:rPr>
                  </w:pPr>
                  <w:r>
                    <w:rPr>
                      <w:rFonts w:hint="default"/>
                      <w:szCs w:val="22"/>
                      <w:highlight w:val="none"/>
                    </w:rPr>
                    <w:t>环境风险</w:t>
                  </w:r>
                  <w:r>
                    <w:rPr>
                      <w:rFonts w:hint="default"/>
                      <w:szCs w:val="22"/>
                      <w:highlight w:val="none"/>
                      <w:lang w:val="en-US" w:eastAsia="zh-CN"/>
                    </w:rPr>
                    <w:t>防控</w:t>
                  </w:r>
                </w:p>
              </w:tc>
              <w:tc>
                <w:tcPr>
                  <w:tcW w:w="1693" w:type="pct"/>
                  <w:noWrap w:val="0"/>
                  <w:vAlign w:val="center"/>
                </w:tcPr>
                <w:p w14:paraId="78CF70AD">
                  <w:pPr>
                    <w:pStyle w:val="38"/>
                    <w:keepNext w:val="0"/>
                    <w:keepLines w:val="0"/>
                    <w:widowControl/>
                    <w:suppressLineNumbers w:val="0"/>
                    <w:bidi w:val="0"/>
                    <w:spacing w:before="0" w:beforeAutospacing="0" w:after="0" w:afterAutospacing="0"/>
                    <w:ind w:left="0" w:right="0"/>
                    <w:jc w:val="center"/>
                    <w:rPr>
                      <w:rFonts w:hint="default"/>
                      <w:szCs w:val="22"/>
                      <w:highlight w:val="none"/>
                    </w:rPr>
                  </w:pPr>
                  <w:r>
                    <w:rPr>
                      <w:rFonts w:hint="default"/>
                      <w:szCs w:val="22"/>
                      <w:highlight w:val="none"/>
                    </w:rPr>
                    <w:t>本项目</w:t>
                  </w:r>
                </w:p>
              </w:tc>
              <w:tc>
                <w:tcPr>
                  <w:tcW w:w="492" w:type="pct"/>
                  <w:noWrap w:val="0"/>
                  <w:vAlign w:val="center"/>
                </w:tcPr>
                <w:p w14:paraId="0E964265">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符合性</w:t>
                  </w:r>
                </w:p>
              </w:tc>
            </w:tr>
            <w:tr w14:paraId="3CE91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pct"/>
                  <w:noWrap w:val="0"/>
                  <w:vAlign w:val="center"/>
                </w:tcPr>
                <w:p w14:paraId="053D213C">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29橡胶和塑料制品业</w:t>
                  </w:r>
                </w:p>
              </w:tc>
              <w:tc>
                <w:tcPr>
                  <w:tcW w:w="2268" w:type="pct"/>
                  <w:vMerge w:val="restart"/>
                  <w:noWrap w:val="0"/>
                  <w:vAlign w:val="center"/>
                </w:tcPr>
                <w:p w14:paraId="3207C23E">
                  <w:pPr>
                    <w:pStyle w:val="38"/>
                    <w:keepNext w:val="0"/>
                    <w:keepLines w:val="0"/>
                    <w:widowControl/>
                    <w:suppressLineNumbers w:val="0"/>
                    <w:bidi w:val="0"/>
                    <w:spacing w:before="0" w:beforeAutospacing="0" w:after="0" w:afterAutospacing="0"/>
                    <w:ind w:left="0" w:right="0"/>
                    <w:jc w:val="both"/>
                    <w:rPr>
                      <w:rFonts w:hint="default"/>
                      <w:szCs w:val="22"/>
                      <w:highlight w:val="none"/>
                    </w:rPr>
                  </w:pPr>
                  <w:r>
                    <w:rPr>
                      <w:rFonts w:hint="default"/>
                      <w:szCs w:val="22"/>
                      <w:highlight w:val="none"/>
                    </w:rPr>
                    <w:t>1、必须规范配套应急池，建设企业、园区和周边水系三级环境风险防控工程，确保有效拦截、降污和倒流；受园区排污影响的周边水系应建设应急闸门，防止泄漏物和消防水等排入外环境。</w:t>
                  </w:r>
                </w:p>
                <w:p w14:paraId="5A1A76F2">
                  <w:pPr>
                    <w:pStyle w:val="38"/>
                    <w:keepNext w:val="0"/>
                    <w:keepLines w:val="0"/>
                    <w:widowControl/>
                    <w:suppressLineNumbers w:val="0"/>
                    <w:bidi w:val="0"/>
                    <w:spacing w:before="0" w:beforeAutospacing="0" w:after="0" w:afterAutospacing="0"/>
                    <w:ind w:left="0" w:right="0"/>
                    <w:jc w:val="both"/>
                    <w:rPr>
                      <w:rFonts w:hint="default"/>
                      <w:szCs w:val="22"/>
                      <w:highlight w:val="none"/>
                    </w:rPr>
                  </w:pPr>
                  <w:r>
                    <w:rPr>
                      <w:rFonts w:hint="default"/>
                      <w:szCs w:val="22"/>
                      <w:highlight w:val="none"/>
                    </w:rPr>
                    <w:t>2、开发区内污水处理设施应采取必要的防渗处理，不得污染地下水环境。</w:t>
                  </w:r>
                </w:p>
              </w:tc>
              <w:tc>
                <w:tcPr>
                  <w:tcW w:w="1693" w:type="pct"/>
                  <w:vMerge w:val="restart"/>
                  <w:noWrap w:val="0"/>
                  <w:vAlign w:val="center"/>
                </w:tcPr>
                <w:p w14:paraId="7570C55A">
                  <w:pPr>
                    <w:pStyle w:val="38"/>
                    <w:keepNext w:val="0"/>
                    <w:keepLines w:val="0"/>
                    <w:widowControl/>
                    <w:suppressLineNumbers w:val="0"/>
                    <w:bidi w:val="0"/>
                    <w:spacing w:before="0" w:beforeAutospacing="0" w:after="0" w:afterAutospacing="0"/>
                    <w:ind w:left="0" w:right="0"/>
                    <w:jc w:val="both"/>
                    <w:rPr>
                      <w:rFonts w:hint="default"/>
                      <w:szCs w:val="22"/>
                      <w:highlight w:val="none"/>
                      <w:lang w:val="en-US" w:eastAsia="zh-CN"/>
                    </w:rPr>
                  </w:pPr>
                  <w:r>
                    <w:rPr>
                      <w:rFonts w:hint="default"/>
                      <w:szCs w:val="22"/>
                      <w:highlight w:val="none"/>
                      <w:lang w:val="en-US" w:eastAsia="zh-CN"/>
                    </w:rPr>
                    <w:t>项目不涉及生产废水排放，生活污水依托厂区内现有的化粪池预处理后排入市政污水管网。</w:t>
                  </w:r>
                </w:p>
              </w:tc>
              <w:tc>
                <w:tcPr>
                  <w:tcW w:w="492" w:type="pct"/>
                  <w:vMerge w:val="restart"/>
                  <w:noWrap w:val="0"/>
                  <w:vAlign w:val="center"/>
                </w:tcPr>
                <w:p w14:paraId="0D461BB4">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符合</w:t>
                  </w:r>
                </w:p>
              </w:tc>
            </w:tr>
            <w:tr w14:paraId="12769C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pct"/>
                  <w:noWrap w:val="0"/>
                  <w:vAlign w:val="center"/>
                </w:tcPr>
                <w:p w14:paraId="70BC4947">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33金属制品业</w:t>
                  </w:r>
                </w:p>
              </w:tc>
              <w:tc>
                <w:tcPr>
                  <w:tcW w:w="2268" w:type="pct"/>
                  <w:vMerge w:val="continue"/>
                  <w:noWrap w:val="0"/>
                  <w:vAlign w:val="center"/>
                </w:tcPr>
                <w:p w14:paraId="7072C3FA">
                  <w:pPr>
                    <w:pStyle w:val="38"/>
                    <w:keepNext w:val="0"/>
                    <w:keepLines w:val="0"/>
                    <w:widowControl/>
                    <w:suppressLineNumbers w:val="0"/>
                    <w:bidi w:val="0"/>
                    <w:spacing w:before="0" w:beforeAutospacing="0" w:after="0" w:afterAutospacing="0"/>
                    <w:ind w:left="0" w:right="0"/>
                    <w:jc w:val="both"/>
                    <w:rPr>
                      <w:rFonts w:hint="default"/>
                      <w:szCs w:val="22"/>
                      <w:highlight w:val="none"/>
                    </w:rPr>
                  </w:pPr>
                </w:p>
              </w:tc>
              <w:tc>
                <w:tcPr>
                  <w:tcW w:w="1693" w:type="pct"/>
                  <w:vMerge w:val="continue"/>
                  <w:noWrap w:val="0"/>
                  <w:vAlign w:val="center"/>
                </w:tcPr>
                <w:p w14:paraId="443439EF">
                  <w:pPr>
                    <w:pStyle w:val="38"/>
                    <w:keepNext w:val="0"/>
                    <w:keepLines w:val="0"/>
                    <w:widowControl/>
                    <w:suppressLineNumbers w:val="0"/>
                    <w:bidi w:val="0"/>
                    <w:spacing w:before="0" w:beforeAutospacing="0" w:after="0" w:afterAutospacing="0"/>
                    <w:ind w:left="0" w:right="0"/>
                    <w:jc w:val="both"/>
                    <w:rPr>
                      <w:rFonts w:hint="default"/>
                      <w:szCs w:val="22"/>
                      <w:highlight w:val="none"/>
                      <w:lang w:val="en-US" w:eastAsia="zh-CN"/>
                    </w:rPr>
                  </w:pPr>
                </w:p>
              </w:tc>
              <w:tc>
                <w:tcPr>
                  <w:tcW w:w="492" w:type="pct"/>
                  <w:vMerge w:val="continue"/>
                  <w:noWrap w:val="0"/>
                  <w:vAlign w:val="center"/>
                </w:tcPr>
                <w:p w14:paraId="36A4E132">
                  <w:pPr>
                    <w:pStyle w:val="38"/>
                    <w:keepNext w:val="0"/>
                    <w:keepLines w:val="0"/>
                    <w:widowControl/>
                    <w:suppressLineNumbers w:val="0"/>
                    <w:bidi w:val="0"/>
                    <w:spacing w:before="0" w:beforeAutospacing="0" w:after="0" w:afterAutospacing="0"/>
                    <w:ind w:left="0" w:right="0"/>
                    <w:rPr>
                      <w:rFonts w:hint="default"/>
                      <w:szCs w:val="22"/>
                      <w:highlight w:val="none"/>
                    </w:rPr>
                  </w:pPr>
                </w:p>
              </w:tc>
            </w:tr>
            <w:tr w14:paraId="2ABC50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pct"/>
                  <w:noWrap w:val="0"/>
                  <w:vAlign w:val="center"/>
                </w:tcPr>
                <w:p w14:paraId="2A4C95F9">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lang w:val="en-US" w:eastAsia="zh-CN"/>
                    </w:rPr>
                    <w:t>类别名称</w:t>
                  </w:r>
                </w:p>
              </w:tc>
              <w:tc>
                <w:tcPr>
                  <w:tcW w:w="2268" w:type="pct"/>
                  <w:noWrap w:val="0"/>
                  <w:vAlign w:val="center"/>
                </w:tcPr>
                <w:p w14:paraId="43D4CB93">
                  <w:pPr>
                    <w:pStyle w:val="38"/>
                    <w:keepNext w:val="0"/>
                    <w:keepLines w:val="0"/>
                    <w:widowControl/>
                    <w:suppressLineNumbers w:val="0"/>
                    <w:bidi w:val="0"/>
                    <w:spacing w:before="0" w:beforeAutospacing="0" w:after="0" w:afterAutospacing="0"/>
                    <w:ind w:left="0" w:right="0"/>
                    <w:jc w:val="center"/>
                    <w:rPr>
                      <w:rFonts w:hint="default"/>
                      <w:szCs w:val="22"/>
                      <w:highlight w:val="none"/>
                      <w:lang w:val="en-US" w:eastAsia="zh-CN"/>
                    </w:rPr>
                  </w:pPr>
                  <w:r>
                    <w:rPr>
                      <w:rFonts w:hint="default"/>
                      <w:szCs w:val="22"/>
                      <w:highlight w:val="none"/>
                    </w:rPr>
                    <w:t>污染物排放管</w:t>
                  </w:r>
                  <w:r>
                    <w:rPr>
                      <w:rFonts w:hint="default"/>
                      <w:szCs w:val="22"/>
                      <w:highlight w:val="none"/>
                      <w:lang w:val="en-US" w:eastAsia="zh-CN"/>
                    </w:rPr>
                    <w:t>控</w:t>
                  </w:r>
                </w:p>
              </w:tc>
              <w:tc>
                <w:tcPr>
                  <w:tcW w:w="1693" w:type="pct"/>
                  <w:noWrap w:val="0"/>
                  <w:vAlign w:val="center"/>
                </w:tcPr>
                <w:p w14:paraId="3B944D7B">
                  <w:pPr>
                    <w:pStyle w:val="38"/>
                    <w:keepNext w:val="0"/>
                    <w:keepLines w:val="0"/>
                    <w:widowControl/>
                    <w:suppressLineNumbers w:val="0"/>
                    <w:bidi w:val="0"/>
                    <w:spacing w:before="0" w:beforeAutospacing="0" w:after="0" w:afterAutospacing="0"/>
                    <w:ind w:left="0" w:right="0"/>
                    <w:jc w:val="center"/>
                    <w:rPr>
                      <w:rFonts w:hint="default"/>
                      <w:szCs w:val="22"/>
                      <w:highlight w:val="none"/>
                    </w:rPr>
                  </w:pPr>
                  <w:r>
                    <w:rPr>
                      <w:rFonts w:hint="default"/>
                      <w:szCs w:val="22"/>
                      <w:highlight w:val="none"/>
                    </w:rPr>
                    <w:t>本项目</w:t>
                  </w:r>
                </w:p>
              </w:tc>
              <w:tc>
                <w:tcPr>
                  <w:tcW w:w="492" w:type="pct"/>
                  <w:noWrap w:val="0"/>
                  <w:vAlign w:val="center"/>
                </w:tcPr>
                <w:p w14:paraId="441A8781">
                  <w:pPr>
                    <w:pStyle w:val="38"/>
                    <w:keepNext w:val="0"/>
                    <w:keepLines w:val="0"/>
                    <w:widowControl/>
                    <w:suppressLineNumbers w:val="0"/>
                    <w:bidi w:val="0"/>
                    <w:spacing w:before="0" w:beforeAutospacing="0" w:after="0" w:afterAutospacing="0"/>
                    <w:ind w:left="0" w:right="0"/>
                    <w:rPr>
                      <w:rFonts w:hint="default"/>
                      <w:szCs w:val="22"/>
                      <w:highlight w:val="none"/>
                      <w:lang w:val="en-US" w:eastAsia="zh-CN"/>
                    </w:rPr>
                  </w:pPr>
                  <w:r>
                    <w:rPr>
                      <w:rFonts w:hint="default"/>
                      <w:szCs w:val="22"/>
                      <w:highlight w:val="none"/>
                    </w:rPr>
                    <w:t>符合性</w:t>
                  </w:r>
                </w:p>
              </w:tc>
            </w:tr>
            <w:tr w14:paraId="3E1733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pct"/>
                  <w:noWrap w:val="0"/>
                  <w:vAlign w:val="center"/>
                </w:tcPr>
                <w:p w14:paraId="7B62A967">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29橡胶和塑料制品业</w:t>
                  </w:r>
                </w:p>
              </w:tc>
              <w:tc>
                <w:tcPr>
                  <w:tcW w:w="2268" w:type="pct"/>
                  <w:vMerge w:val="restart"/>
                  <w:noWrap w:val="0"/>
                  <w:vAlign w:val="center"/>
                </w:tcPr>
                <w:p w14:paraId="3B9BC2C3">
                  <w:pPr>
                    <w:pStyle w:val="38"/>
                    <w:keepNext w:val="0"/>
                    <w:keepLines w:val="0"/>
                    <w:widowControl/>
                    <w:suppressLineNumbers w:val="0"/>
                    <w:bidi w:val="0"/>
                    <w:spacing w:before="0" w:beforeAutospacing="0" w:after="0" w:afterAutospacing="0"/>
                    <w:ind w:left="0" w:right="0"/>
                    <w:jc w:val="both"/>
                    <w:rPr>
                      <w:rFonts w:hint="default"/>
                      <w:szCs w:val="22"/>
                      <w:highlight w:val="none"/>
                    </w:rPr>
                  </w:pPr>
                  <w:r>
                    <w:rPr>
                      <w:rFonts w:hint="default"/>
                      <w:szCs w:val="22"/>
                      <w:highlight w:val="none"/>
                    </w:rPr>
                    <w:t>1、新、改、扩建项目新增大气污染物</w:t>
                  </w:r>
                  <w:r>
                    <w:rPr>
                      <w:rFonts w:hint="eastAsia"/>
                      <w:szCs w:val="22"/>
                      <w:highlight w:val="none"/>
                      <w:lang w:val="en-US" w:eastAsia="zh-CN"/>
                    </w:rPr>
                    <w:t>（</w:t>
                  </w:r>
                  <w:r>
                    <w:rPr>
                      <w:rFonts w:hint="default"/>
                      <w:szCs w:val="22"/>
                      <w:highlight w:val="none"/>
                    </w:rPr>
                    <w:t>现阶段指SO</w:t>
                  </w:r>
                  <w:r>
                    <w:rPr>
                      <w:rFonts w:hint="default"/>
                      <w:szCs w:val="22"/>
                      <w:highlight w:val="none"/>
                      <w:vertAlign w:val="subscript"/>
                    </w:rPr>
                    <w:t>2</w:t>
                  </w:r>
                  <w:r>
                    <w:rPr>
                      <w:rFonts w:hint="default"/>
                      <w:szCs w:val="22"/>
                      <w:highlight w:val="none"/>
                    </w:rPr>
                    <w:t>、NOx</w:t>
                  </w:r>
                  <w:r>
                    <w:rPr>
                      <w:rFonts w:hint="eastAsia"/>
                      <w:szCs w:val="22"/>
                      <w:highlight w:val="none"/>
                      <w:lang w:val="en-US" w:eastAsia="zh-CN"/>
                    </w:rPr>
                    <w:t>）</w:t>
                  </w:r>
                  <w:r>
                    <w:rPr>
                      <w:rFonts w:hint="default"/>
                      <w:szCs w:val="22"/>
                      <w:highlight w:val="none"/>
                    </w:rPr>
                    <w:t>排放量实行1.5 倍削减替代</w:t>
                  </w:r>
                  <w:r>
                    <w:rPr>
                      <w:rFonts w:hint="eastAsia"/>
                      <w:szCs w:val="22"/>
                      <w:highlight w:val="none"/>
                      <w:lang w:val="en-US" w:eastAsia="zh-CN"/>
                    </w:rPr>
                    <w:t>（</w:t>
                  </w:r>
                  <w:r>
                    <w:rPr>
                      <w:rFonts w:hint="default"/>
                      <w:szCs w:val="22"/>
                      <w:highlight w:val="none"/>
                    </w:rPr>
                    <w:t>不含使用天然气、液化石油气等作为燃料的非火电锅炉和</w:t>
                  </w:r>
                </w:p>
                <w:p w14:paraId="141818B8">
                  <w:pPr>
                    <w:pStyle w:val="38"/>
                    <w:keepNext w:val="0"/>
                    <w:keepLines w:val="0"/>
                    <w:widowControl/>
                    <w:suppressLineNumbers w:val="0"/>
                    <w:bidi w:val="0"/>
                    <w:spacing w:before="0" w:beforeAutospacing="0" w:after="0" w:afterAutospacing="0"/>
                    <w:ind w:left="0" w:right="0"/>
                    <w:jc w:val="both"/>
                    <w:rPr>
                      <w:rFonts w:hint="default"/>
                      <w:szCs w:val="22"/>
                      <w:highlight w:val="none"/>
                    </w:rPr>
                  </w:pPr>
                  <w:r>
                    <w:rPr>
                      <w:rFonts w:hint="default"/>
                      <w:szCs w:val="22"/>
                      <w:highlight w:val="none"/>
                    </w:rPr>
                    <w:t>工业炉窑</w:t>
                  </w:r>
                  <w:r>
                    <w:rPr>
                      <w:rFonts w:hint="eastAsia"/>
                      <w:szCs w:val="22"/>
                      <w:highlight w:val="none"/>
                      <w:lang w:val="en-US" w:eastAsia="zh-CN"/>
                    </w:rPr>
                    <w:t>）</w:t>
                  </w:r>
                  <w:r>
                    <w:rPr>
                      <w:rFonts w:hint="default"/>
                      <w:szCs w:val="22"/>
                      <w:highlight w:val="none"/>
                    </w:rPr>
                    <w:t>。</w:t>
                  </w:r>
                </w:p>
                <w:p w14:paraId="781E9812">
                  <w:pPr>
                    <w:pStyle w:val="38"/>
                    <w:keepNext w:val="0"/>
                    <w:keepLines w:val="0"/>
                    <w:widowControl/>
                    <w:suppressLineNumbers w:val="0"/>
                    <w:bidi w:val="0"/>
                    <w:spacing w:before="0" w:beforeAutospacing="0" w:after="0" w:afterAutospacing="0"/>
                    <w:ind w:left="0" w:right="0"/>
                    <w:jc w:val="both"/>
                    <w:rPr>
                      <w:rFonts w:hint="default"/>
                      <w:szCs w:val="22"/>
                      <w:highlight w:val="none"/>
                    </w:rPr>
                  </w:pPr>
                  <w:r>
                    <w:rPr>
                      <w:rFonts w:hint="default"/>
                      <w:szCs w:val="22"/>
                      <w:highlight w:val="none"/>
                    </w:rPr>
                    <w:t>2、新、改、扩建项目新增VOCs 排放量实行倍量削减替代。</w:t>
                  </w:r>
                </w:p>
                <w:p w14:paraId="76913C61">
                  <w:pPr>
                    <w:pStyle w:val="38"/>
                    <w:keepNext w:val="0"/>
                    <w:keepLines w:val="0"/>
                    <w:widowControl/>
                    <w:suppressLineNumbers w:val="0"/>
                    <w:bidi w:val="0"/>
                    <w:spacing w:before="0" w:beforeAutospacing="0" w:after="0" w:afterAutospacing="0"/>
                    <w:ind w:left="0" w:right="0"/>
                    <w:jc w:val="both"/>
                    <w:rPr>
                      <w:rFonts w:hint="default"/>
                      <w:szCs w:val="22"/>
                      <w:highlight w:val="none"/>
                    </w:rPr>
                  </w:pPr>
                  <w:r>
                    <w:rPr>
                      <w:rFonts w:hint="default"/>
                      <w:szCs w:val="22"/>
                      <w:highlight w:val="none"/>
                    </w:rPr>
                    <w:t>3、工业企业废水全部纳管进入</w:t>
                  </w:r>
                  <w:r>
                    <w:rPr>
                      <w:rFonts w:hint="eastAsia"/>
                      <w:szCs w:val="22"/>
                      <w:highlight w:val="none"/>
                      <w:lang w:eastAsia="zh-CN"/>
                    </w:rPr>
                    <w:t>污水处理厂</w:t>
                  </w:r>
                  <w:r>
                    <w:rPr>
                      <w:rFonts w:hint="default"/>
                      <w:szCs w:val="22"/>
                      <w:highlight w:val="none"/>
                    </w:rPr>
                    <w:t>集中处理后达标排放。</w:t>
                  </w:r>
                </w:p>
              </w:tc>
              <w:tc>
                <w:tcPr>
                  <w:tcW w:w="1693" w:type="pct"/>
                  <w:vMerge w:val="restart"/>
                  <w:noWrap w:val="0"/>
                  <w:vAlign w:val="center"/>
                </w:tcPr>
                <w:p w14:paraId="47CC4D31">
                  <w:pPr>
                    <w:pStyle w:val="38"/>
                    <w:keepNext w:val="0"/>
                    <w:keepLines w:val="0"/>
                    <w:widowControl/>
                    <w:suppressLineNumbers w:val="0"/>
                    <w:bidi w:val="0"/>
                    <w:spacing w:before="0" w:beforeAutospacing="0" w:after="0" w:afterAutospacing="0"/>
                    <w:ind w:left="0" w:right="0"/>
                    <w:jc w:val="both"/>
                    <w:rPr>
                      <w:rFonts w:hint="default"/>
                      <w:szCs w:val="22"/>
                      <w:highlight w:val="none"/>
                      <w:lang w:val="en-US" w:eastAsia="zh-CN"/>
                    </w:rPr>
                  </w:pPr>
                  <w:r>
                    <w:rPr>
                      <w:rFonts w:hint="default"/>
                      <w:szCs w:val="22"/>
                      <w:highlight w:val="none"/>
                      <w:lang w:val="en-US" w:eastAsia="zh-CN"/>
                    </w:rPr>
                    <w:t>1、项目不涉及</w:t>
                  </w:r>
                  <w:r>
                    <w:rPr>
                      <w:rFonts w:hint="default"/>
                      <w:szCs w:val="22"/>
                      <w:highlight w:val="none"/>
                    </w:rPr>
                    <w:t>SO</w:t>
                  </w:r>
                  <w:r>
                    <w:rPr>
                      <w:rFonts w:hint="default"/>
                      <w:szCs w:val="22"/>
                      <w:highlight w:val="none"/>
                      <w:vertAlign w:val="subscript"/>
                    </w:rPr>
                    <w:t>2</w:t>
                  </w:r>
                  <w:r>
                    <w:rPr>
                      <w:rFonts w:hint="default"/>
                      <w:szCs w:val="22"/>
                      <w:highlight w:val="none"/>
                    </w:rPr>
                    <w:t>、NOx</w:t>
                  </w:r>
                  <w:r>
                    <w:rPr>
                      <w:rFonts w:hint="default"/>
                      <w:szCs w:val="22"/>
                      <w:highlight w:val="none"/>
                      <w:lang w:val="en-US" w:eastAsia="zh-CN"/>
                    </w:rPr>
                    <w:t>等污染物排放。</w:t>
                  </w:r>
                </w:p>
                <w:p w14:paraId="699D583A">
                  <w:pPr>
                    <w:pStyle w:val="38"/>
                    <w:keepNext w:val="0"/>
                    <w:keepLines w:val="0"/>
                    <w:widowControl/>
                    <w:suppressLineNumbers w:val="0"/>
                    <w:bidi w:val="0"/>
                    <w:spacing w:before="0" w:beforeAutospacing="0" w:after="0" w:afterAutospacing="0"/>
                    <w:ind w:left="0" w:right="0"/>
                    <w:jc w:val="both"/>
                    <w:rPr>
                      <w:rFonts w:hint="default"/>
                      <w:szCs w:val="22"/>
                      <w:highlight w:val="none"/>
                      <w:lang w:eastAsia="zh-CN"/>
                    </w:rPr>
                  </w:pPr>
                  <w:r>
                    <w:rPr>
                      <w:rFonts w:hint="default"/>
                      <w:szCs w:val="22"/>
                      <w:highlight w:val="none"/>
                      <w:lang w:val="en-US" w:eastAsia="zh-CN"/>
                    </w:rPr>
                    <w:t>2、</w:t>
                  </w:r>
                  <w:r>
                    <w:rPr>
                      <w:rFonts w:hint="default"/>
                      <w:szCs w:val="22"/>
                      <w:highlight w:val="none"/>
                    </w:rPr>
                    <w:t>项目排放的VOCS拟实行区域内倍量替代</w:t>
                  </w:r>
                  <w:r>
                    <w:rPr>
                      <w:rFonts w:hint="default"/>
                      <w:szCs w:val="22"/>
                      <w:highlight w:val="none"/>
                      <w:lang w:eastAsia="zh-CN"/>
                    </w:rPr>
                    <w:t>。</w:t>
                  </w:r>
                </w:p>
                <w:p w14:paraId="2F6A8B0F">
                  <w:pPr>
                    <w:pStyle w:val="38"/>
                    <w:keepNext w:val="0"/>
                    <w:keepLines w:val="0"/>
                    <w:widowControl/>
                    <w:suppressLineNumbers w:val="0"/>
                    <w:bidi w:val="0"/>
                    <w:spacing w:before="0" w:beforeAutospacing="0" w:after="0" w:afterAutospacing="0"/>
                    <w:ind w:left="0" w:right="0"/>
                    <w:jc w:val="both"/>
                    <w:rPr>
                      <w:rFonts w:hint="default"/>
                      <w:szCs w:val="22"/>
                      <w:highlight w:val="none"/>
                      <w:lang w:val="en-US" w:eastAsia="zh-CN"/>
                    </w:rPr>
                  </w:pPr>
                  <w:r>
                    <w:rPr>
                      <w:rFonts w:hint="default"/>
                      <w:szCs w:val="22"/>
                      <w:highlight w:val="none"/>
                      <w:lang w:val="en-US" w:eastAsia="zh-CN"/>
                    </w:rPr>
                    <w:t>3、项目不涉及生产废水排放，生活污水依托厂区内现有的化粪池预处理后排入市政污水管网。</w:t>
                  </w:r>
                </w:p>
              </w:tc>
              <w:tc>
                <w:tcPr>
                  <w:tcW w:w="492" w:type="pct"/>
                  <w:vMerge w:val="restart"/>
                  <w:noWrap w:val="0"/>
                  <w:vAlign w:val="center"/>
                </w:tcPr>
                <w:p w14:paraId="78471FA1">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符合</w:t>
                  </w:r>
                </w:p>
              </w:tc>
            </w:tr>
            <w:tr w14:paraId="01E03D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pct"/>
                  <w:noWrap w:val="0"/>
                  <w:vAlign w:val="center"/>
                </w:tcPr>
                <w:p w14:paraId="57443B10">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33金属制品业</w:t>
                  </w:r>
                </w:p>
              </w:tc>
              <w:tc>
                <w:tcPr>
                  <w:tcW w:w="2268" w:type="pct"/>
                  <w:vMerge w:val="continue"/>
                  <w:noWrap w:val="0"/>
                  <w:vAlign w:val="center"/>
                </w:tcPr>
                <w:p w14:paraId="1C487823">
                  <w:pPr>
                    <w:pStyle w:val="38"/>
                    <w:keepNext w:val="0"/>
                    <w:keepLines w:val="0"/>
                    <w:widowControl/>
                    <w:suppressLineNumbers w:val="0"/>
                    <w:bidi w:val="0"/>
                    <w:spacing w:before="0" w:beforeAutospacing="0" w:after="0" w:afterAutospacing="0"/>
                    <w:ind w:left="0" w:right="0"/>
                    <w:jc w:val="both"/>
                    <w:rPr>
                      <w:rFonts w:hint="default"/>
                      <w:szCs w:val="22"/>
                      <w:highlight w:val="none"/>
                    </w:rPr>
                  </w:pPr>
                </w:p>
              </w:tc>
              <w:tc>
                <w:tcPr>
                  <w:tcW w:w="1693" w:type="pct"/>
                  <w:vMerge w:val="continue"/>
                  <w:noWrap w:val="0"/>
                  <w:vAlign w:val="center"/>
                </w:tcPr>
                <w:p w14:paraId="1F8D412F">
                  <w:pPr>
                    <w:pStyle w:val="38"/>
                    <w:keepNext w:val="0"/>
                    <w:keepLines w:val="0"/>
                    <w:widowControl/>
                    <w:suppressLineNumbers w:val="0"/>
                    <w:bidi w:val="0"/>
                    <w:spacing w:before="0" w:beforeAutospacing="0" w:after="0" w:afterAutospacing="0"/>
                    <w:ind w:left="0" w:right="0"/>
                    <w:rPr>
                      <w:rFonts w:hint="default"/>
                      <w:szCs w:val="22"/>
                      <w:highlight w:val="none"/>
                      <w:lang w:val="en-US" w:eastAsia="zh-CN"/>
                    </w:rPr>
                  </w:pPr>
                </w:p>
              </w:tc>
              <w:tc>
                <w:tcPr>
                  <w:tcW w:w="492" w:type="pct"/>
                  <w:vMerge w:val="continue"/>
                  <w:noWrap w:val="0"/>
                  <w:vAlign w:val="center"/>
                </w:tcPr>
                <w:p w14:paraId="1F6B5666">
                  <w:pPr>
                    <w:pStyle w:val="38"/>
                    <w:keepNext w:val="0"/>
                    <w:keepLines w:val="0"/>
                    <w:widowControl/>
                    <w:suppressLineNumbers w:val="0"/>
                    <w:bidi w:val="0"/>
                    <w:spacing w:before="0" w:beforeAutospacing="0" w:after="0" w:afterAutospacing="0"/>
                    <w:ind w:left="0" w:right="0"/>
                    <w:rPr>
                      <w:rFonts w:hint="default"/>
                      <w:szCs w:val="22"/>
                      <w:highlight w:val="none"/>
                    </w:rPr>
                  </w:pPr>
                </w:p>
              </w:tc>
            </w:tr>
            <w:tr w14:paraId="3F0E5A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pct"/>
                  <w:noWrap w:val="0"/>
                  <w:vAlign w:val="center"/>
                </w:tcPr>
                <w:p w14:paraId="002F4685">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lang w:val="en-US" w:eastAsia="zh-CN"/>
                    </w:rPr>
                    <w:t>类别名称</w:t>
                  </w:r>
                </w:p>
              </w:tc>
              <w:tc>
                <w:tcPr>
                  <w:tcW w:w="2268" w:type="pct"/>
                  <w:noWrap w:val="0"/>
                  <w:vAlign w:val="center"/>
                </w:tcPr>
                <w:p w14:paraId="62DC4A97">
                  <w:pPr>
                    <w:pStyle w:val="38"/>
                    <w:keepNext w:val="0"/>
                    <w:keepLines w:val="0"/>
                    <w:widowControl/>
                    <w:suppressLineNumbers w:val="0"/>
                    <w:bidi w:val="0"/>
                    <w:spacing w:before="0" w:beforeAutospacing="0" w:after="0" w:afterAutospacing="0"/>
                    <w:ind w:left="0" w:right="0"/>
                    <w:jc w:val="center"/>
                    <w:rPr>
                      <w:rFonts w:hint="default"/>
                      <w:szCs w:val="22"/>
                      <w:highlight w:val="none"/>
                    </w:rPr>
                  </w:pPr>
                  <w:r>
                    <w:rPr>
                      <w:rFonts w:hint="default"/>
                      <w:szCs w:val="22"/>
                      <w:highlight w:val="none"/>
                    </w:rPr>
                    <w:t>资源环境效率管控</w:t>
                  </w:r>
                </w:p>
              </w:tc>
              <w:tc>
                <w:tcPr>
                  <w:tcW w:w="1693" w:type="pct"/>
                  <w:noWrap w:val="0"/>
                  <w:vAlign w:val="center"/>
                </w:tcPr>
                <w:p w14:paraId="35987F82">
                  <w:pPr>
                    <w:pStyle w:val="38"/>
                    <w:keepNext w:val="0"/>
                    <w:keepLines w:val="0"/>
                    <w:widowControl/>
                    <w:suppressLineNumbers w:val="0"/>
                    <w:bidi w:val="0"/>
                    <w:spacing w:before="0" w:beforeAutospacing="0" w:after="0" w:afterAutospacing="0"/>
                    <w:ind w:left="0" w:right="0"/>
                    <w:jc w:val="center"/>
                    <w:rPr>
                      <w:rFonts w:hint="default"/>
                      <w:szCs w:val="22"/>
                      <w:highlight w:val="none"/>
                    </w:rPr>
                  </w:pPr>
                  <w:r>
                    <w:rPr>
                      <w:rFonts w:hint="default"/>
                      <w:szCs w:val="22"/>
                      <w:highlight w:val="none"/>
                    </w:rPr>
                    <w:t>本项目</w:t>
                  </w:r>
                </w:p>
              </w:tc>
              <w:tc>
                <w:tcPr>
                  <w:tcW w:w="492" w:type="pct"/>
                  <w:noWrap w:val="0"/>
                  <w:vAlign w:val="center"/>
                </w:tcPr>
                <w:p w14:paraId="12EC2C9E">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符合性</w:t>
                  </w:r>
                </w:p>
              </w:tc>
            </w:tr>
            <w:tr w14:paraId="1B674F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pct"/>
                  <w:noWrap w:val="0"/>
                  <w:vAlign w:val="center"/>
                </w:tcPr>
                <w:p w14:paraId="0142B8EF">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29橡胶和塑料制品业</w:t>
                  </w:r>
                </w:p>
              </w:tc>
              <w:tc>
                <w:tcPr>
                  <w:tcW w:w="2268" w:type="pct"/>
                  <w:noWrap w:val="0"/>
                  <w:vAlign w:val="center"/>
                </w:tcPr>
                <w:p w14:paraId="521FDCFA">
                  <w:pPr>
                    <w:pStyle w:val="38"/>
                    <w:keepNext w:val="0"/>
                    <w:keepLines w:val="0"/>
                    <w:widowControl/>
                    <w:suppressLineNumbers w:val="0"/>
                    <w:bidi w:val="0"/>
                    <w:spacing w:before="0" w:beforeAutospacing="0" w:after="0" w:afterAutospacing="0"/>
                    <w:ind w:left="0" w:right="0"/>
                    <w:jc w:val="both"/>
                    <w:rPr>
                      <w:rFonts w:hint="default"/>
                      <w:szCs w:val="22"/>
                      <w:highlight w:val="none"/>
                      <w:lang w:eastAsia="zh-CN"/>
                    </w:rPr>
                  </w:pPr>
                  <w:r>
                    <w:rPr>
                      <w:rFonts w:hint="default"/>
                      <w:szCs w:val="22"/>
                      <w:highlight w:val="none"/>
                    </w:rPr>
                    <w:t>1、能耗不超过0.23吨标煤/万元工业增加值</w:t>
                  </w:r>
                  <w:r>
                    <w:rPr>
                      <w:rFonts w:hint="default"/>
                      <w:szCs w:val="22"/>
                      <w:highlight w:val="none"/>
                      <w:lang w:eastAsia="zh-CN"/>
                    </w:rPr>
                    <w:t>；</w:t>
                  </w:r>
                </w:p>
                <w:p w14:paraId="24721180">
                  <w:pPr>
                    <w:pStyle w:val="38"/>
                    <w:keepNext w:val="0"/>
                    <w:keepLines w:val="0"/>
                    <w:widowControl/>
                    <w:suppressLineNumbers w:val="0"/>
                    <w:bidi w:val="0"/>
                    <w:spacing w:before="0" w:beforeAutospacing="0" w:after="0" w:afterAutospacing="0"/>
                    <w:ind w:left="0" w:right="0"/>
                    <w:jc w:val="both"/>
                    <w:rPr>
                      <w:rFonts w:hint="default"/>
                      <w:szCs w:val="22"/>
                      <w:highlight w:val="none"/>
                      <w:lang w:eastAsia="zh-CN"/>
                    </w:rPr>
                  </w:pPr>
                  <w:r>
                    <w:rPr>
                      <w:rFonts w:hint="default"/>
                      <w:szCs w:val="22"/>
                      <w:highlight w:val="none"/>
                    </w:rPr>
                    <w:t>2、水耗不超过1.19t/万元工业增加值</w:t>
                  </w:r>
                  <w:r>
                    <w:rPr>
                      <w:rFonts w:hint="default"/>
                      <w:szCs w:val="22"/>
                      <w:highlight w:val="none"/>
                      <w:lang w:eastAsia="zh-CN"/>
                    </w:rPr>
                    <w:t>；</w:t>
                  </w:r>
                </w:p>
                <w:p w14:paraId="78A891A7">
                  <w:pPr>
                    <w:pStyle w:val="38"/>
                    <w:keepNext w:val="0"/>
                    <w:keepLines w:val="0"/>
                    <w:widowControl/>
                    <w:suppressLineNumbers w:val="0"/>
                    <w:bidi w:val="0"/>
                    <w:spacing w:before="0" w:beforeAutospacing="0" w:after="0" w:afterAutospacing="0"/>
                    <w:ind w:left="0" w:right="0"/>
                    <w:jc w:val="both"/>
                    <w:rPr>
                      <w:rFonts w:hint="default"/>
                      <w:szCs w:val="22"/>
                      <w:highlight w:val="none"/>
                      <w:lang w:eastAsia="zh-CN"/>
                    </w:rPr>
                  </w:pPr>
                  <w:r>
                    <w:rPr>
                      <w:rFonts w:hint="default"/>
                      <w:szCs w:val="22"/>
                      <w:highlight w:val="none"/>
                    </w:rPr>
                    <w:t>3、污水排放量不超过</w:t>
                  </w:r>
                  <w:r>
                    <w:rPr>
                      <w:rFonts w:hint="default"/>
                      <w:szCs w:val="22"/>
                      <w:highlight w:val="none"/>
                      <w:lang w:val="en-US" w:eastAsia="zh-CN"/>
                    </w:rPr>
                    <w:t>0</w:t>
                  </w:r>
                  <w:r>
                    <w:rPr>
                      <w:rFonts w:hint="default"/>
                      <w:szCs w:val="22"/>
                      <w:highlight w:val="none"/>
                    </w:rPr>
                    <w:t>.46t/万元工业增加值</w:t>
                  </w:r>
                  <w:r>
                    <w:rPr>
                      <w:rFonts w:hint="default"/>
                      <w:szCs w:val="22"/>
                      <w:highlight w:val="none"/>
                      <w:lang w:eastAsia="zh-CN"/>
                    </w:rPr>
                    <w:t>；</w:t>
                  </w:r>
                </w:p>
                <w:p w14:paraId="02622877">
                  <w:pPr>
                    <w:pStyle w:val="38"/>
                    <w:keepNext w:val="0"/>
                    <w:keepLines w:val="0"/>
                    <w:widowControl/>
                    <w:suppressLineNumbers w:val="0"/>
                    <w:bidi w:val="0"/>
                    <w:spacing w:before="0" w:beforeAutospacing="0" w:after="0" w:afterAutospacing="0"/>
                    <w:ind w:left="0" w:right="0"/>
                    <w:jc w:val="both"/>
                    <w:rPr>
                      <w:rFonts w:hint="default"/>
                      <w:szCs w:val="22"/>
                      <w:highlight w:val="none"/>
                      <w:lang w:eastAsia="zh-CN"/>
                    </w:rPr>
                  </w:pPr>
                  <w:r>
                    <w:rPr>
                      <w:rFonts w:hint="default"/>
                      <w:szCs w:val="22"/>
                      <w:highlight w:val="none"/>
                    </w:rPr>
                    <w:t>4、VOCs排放量不超过0.46kg/万元工业增加值</w:t>
                  </w:r>
                  <w:r>
                    <w:rPr>
                      <w:rFonts w:hint="default"/>
                      <w:szCs w:val="22"/>
                      <w:highlight w:val="none"/>
                      <w:lang w:eastAsia="zh-CN"/>
                    </w:rPr>
                    <w:t>。</w:t>
                  </w:r>
                </w:p>
              </w:tc>
              <w:tc>
                <w:tcPr>
                  <w:tcW w:w="1693" w:type="pct"/>
                  <w:vMerge w:val="restart"/>
                  <w:noWrap w:val="0"/>
                  <w:vAlign w:val="center"/>
                </w:tcPr>
                <w:p w14:paraId="71097A77">
                  <w:pPr>
                    <w:pStyle w:val="38"/>
                    <w:keepNext w:val="0"/>
                    <w:keepLines w:val="0"/>
                    <w:widowControl/>
                    <w:suppressLineNumbers w:val="0"/>
                    <w:bidi w:val="0"/>
                    <w:spacing w:before="0" w:beforeAutospacing="0" w:after="0" w:afterAutospacing="0"/>
                    <w:ind w:left="0" w:right="0"/>
                    <w:rPr>
                      <w:rFonts w:hint="default"/>
                      <w:szCs w:val="22"/>
                      <w:highlight w:val="none"/>
                      <w:lang w:val="en-US" w:eastAsia="zh-CN"/>
                    </w:rPr>
                  </w:pPr>
                  <w:r>
                    <w:rPr>
                      <w:rFonts w:hint="eastAsia"/>
                      <w:szCs w:val="22"/>
                      <w:highlight w:val="none"/>
                      <w:lang w:val="en-US" w:eastAsia="zh-CN"/>
                    </w:rPr>
                    <w:t>本项目</w:t>
                  </w:r>
                  <w:r>
                    <w:rPr>
                      <w:rFonts w:hint="default"/>
                      <w:szCs w:val="22"/>
                      <w:highlight w:val="none"/>
                      <w:lang w:val="en-US" w:eastAsia="zh-CN"/>
                    </w:rPr>
                    <w:t>水耗为</w:t>
                  </w:r>
                  <w:r>
                    <w:rPr>
                      <w:rFonts w:hint="eastAsia"/>
                      <w:szCs w:val="22"/>
                      <w:highlight w:val="none"/>
                      <w:lang w:val="en-US" w:eastAsia="zh-CN"/>
                    </w:rPr>
                    <w:t>0.04</w:t>
                  </w:r>
                  <w:r>
                    <w:rPr>
                      <w:rFonts w:hint="default"/>
                      <w:szCs w:val="22"/>
                      <w:highlight w:val="none"/>
                      <w:lang w:val="en-US" w:eastAsia="zh-CN"/>
                    </w:rPr>
                    <w:t>t/万元工业增加值，</w:t>
                  </w:r>
                  <w:r>
                    <w:rPr>
                      <w:rFonts w:hint="eastAsia"/>
                      <w:szCs w:val="22"/>
                      <w:highlight w:val="none"/>
                      <w:lang w:val="en-US" w:eastAsia="zh-CN"/>
                    </w:rPr>
                    <w:t>无生产废水产生，生活污水依托厂区化粪池处理后接入市政污水管网，</w:t>
                  </w:r>
                  <w:r>
                    <w:rPr>
                      <w:rStyle w:val="46"/>
                      <w:rFonts w:hint="eastAsia"/>
                      <w:szCs w:val="22"/>
                      <w:highlight w:val="none"/>
                    </w:rPr>
                    <w:t>纳入</w:t>
                  </w:r>
                  <w:r>
                    <w:rPr>
                      <w:rStyle w:val="46"/>
                      <w:rFonts w:hint="eastAsia"/>
                      <w:szCs w:val="22"/>
                      <w:highlight w:val="none"/>
                      <w:lang w:eastAsia="zh-CN"/>
                    </w:rPr>
                    <w:t>福清市融元污水处理厂</w:t>
                  </w:r>
                  <w:r>
                    <w:rPr>
                      <w:rStyle w:val="46"/>
                      <w:rFonts w:hint="eastAsia"/>
                      <w:szCs w:val="22"/>
                      <w:highlight w:val="none"/>
                    </w:rPr>
                    <w:t>集中处理</w:t>
                  </w:r>
                </w:p>
              </w:tc>
              <w:tc>
                <w:tcPr>
                  <w:tcW w:w="492" w:type="pct"/>
                  <w:vMerge w:val="restart"/>
                  <w:noWrap w:val="0"/>
                  <w:vAlign w:val="center"/>
                </w:tcPr>
                <w:p w14:paraId="4AA68723">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符合</w:t>
                  </w:r>
                </w:p>
              </w:tc>
            </w:tr>
            <w:tr w14:paraId="179ADF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pct"/>
                  <w:noWrap w:val="0"/>
                  <w:vAlign w:val="center"/>
                </w:tcPr>
                <w:p w14:paraId="0C289112">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33金属制品业</w:t>
                  </w:r>
                </w:p>
              </w:tc>
              <w:tc>
                <w:tcPr>
                  <w:tcW w:w="2268" w:type="pct"/>
                  <w:noWrap w:val="0"/>
                  <w:vAlign w:val="center"/>
                </w:tcPr>
                <w:p w14:paraId="6D36D382">
                  <w:pPr>
                    <w:pStyle w:val="38"/>
                    <w:keepNext w:val="0"/>
                    <w:keepLines w:val="0"/>
                    <w:widowControl/>
                    <w:suppressLineNumbers w:val="0"/>
                    <w:bidi w:val="0"/>
                    <w:spacing w:before="0" w:beforeAutospacing="0" w:after="0" w:afterAutospacing="0"/>
                    <w:ind w:left="0" w:right="0"/>
                    <w:jc w:val="both"/>
                    <w:rPr>
                      <w:rFonts w:hint="default"/>
                      <w:szCs w:val="22"/>
                      <w:highlight w:val="none"/>
                    </w:rPr>
                  </w:pPr>
                  <w:r>
                    <w:rPr>
                      <w:rFonts w:hint="default"/>
                      <w:szCs w:val="22"/>
                      <w:highlight w:val="none"/>
                    </w:rPr>
                    <w:t>能耗不超过 0.04 吨标煤/万元工业增加值</w:t>
                  </w:r>
                </w:p>
                <w:p w14:paraId="31BA48F1">
                  <w:pPr>
                    <w:pStyle w:val="38"/>
                    <w:keepNext w:val="0"/>
                    <w:keepLines w:val="0"/>
                    <w:widowControl/>
                    <w:suppressLineNumbers w:val="0"/>
                    <w:bidi w:val="0"/>
                    <w:spacing w:before="0" w:beforeAutospacing="0" w:after="0" w:afterAutospacing="0"/>
                    <w:ind w:left="0" w:right="0"/>
                    <w:jc w:val="both"/>
                    <w:rPr>
                      <w:rFonts w:hint="default"/>
                      <w:szCs w:val="22"/>
                      <w:highlight w:val="none"/>
                    </w:rPr>
                  </w:pPr>
                  <w:r>
                    <w:rPr>
                      <w:rFonts w:hint="default"/>
                      <w:szCs w:val="22"/>
                      <w:highlight w:val="none"/>
                    </w:rPr>
                    <w:t>水耗不超过 1.19 t/万元工业增加值</w:t>
                  </w:r>
                </w:p>
                <w:p w14:paraId="59BB77FD">
                  <w:pPr>
                    <w:pStyle w:val="38"/>
                    <w:keepNext w:val="0"/>
                    <w:keepLines w:val="0"/>
                    <w:widowControl/>
                    <w:suppressLineNumbers w:val="0"/>
                    <w:bidi w:val="0"/>
                    <w:spacing w:before="0" w:beforeAutospacing="0" w:after="0" w:afterAutospacing="0"/>
                    <w:ind w:left="0" w:right="0"/>
                    <w:jc w:val="both"/>
                    <w:rPr>
                      <w:rFonts w:hint="default"/>
                      <w:szCs w:val="22"/>
                      <w:highlight w:val="none"/>
                    </w:rPr>
                  </w:pPr>
                  <w:r>
                    <w:rPr>
                      <w:rFonts w:hint="default"/>
                      <w:szCs w:val="22"/>
                      <w:highlight w:val="none"/>
                    </w:rPr>
                    <w:t>污水排放量不超过 0.70t/万元工业增加值</w:t>
                  </w:r>
                </w:p>
                <w:p w14:paraId="221219A6">
                  <w:pPr>
                    <w:pStyle w:val="38"/>
                    <w:keepNext w:val="0"/>
                    <w:keepLines w:val="0"/>
                    <w:widowControl/>
                    <w:suppressLineNumbers w:val="0"/>
                    <w:bidi w:val="0"/>
                    <w:spacing w:before="0" w:beforeAutospacing="0" w:after="0" w:afterAutospacing="0"/>
                    <w:ind w:left="0" w:right="0"/>
                    <w:jc w:val="both"/>
                    <w:rPr>
                      <w:rFonts w:hint="default"/>
                      <w:szCs w:val="22"/>
                      <w:highlight w:val="none"/>
                    </w:rPr>
                  </w:pPr>
                  <w:r>
                    <w:rPr>
                      <w:rFonts w:hint="default"/>
                      <w:szCs w:val="22"/>
                      <w:highlight w:val="none"/>
                    </w:rPr>
                    <w:t>4、VOCs 排放量不超过0.43kg/万元工业增加值</w:t>
                  </w:r>
                </w:p>
              </w:tc>
              <w:tc>
                <w:tcPr>
                  <w:tcW w:w="1693" w:type="pct"/>
                  <w:vMerge w:val="continue"/>
                  <w:noWrap w:val="0"/>
                  <w:vAlign w:val="center"/>
                </w:tcPr>
                <w:p w14:paraId="11C17B1F">
                  <w:pPr>
                    <w:pStyle w:val="38"/>
                    <w:keepNext w:val="0"/>
                    <w:keepLines w:val="0"/>
                    <w:widowControl/>
                    <w:suppressLineNumbers w:val="0"/>
                    <w:bidi w:val="0"/>
                    <w:spacing w:before="0" w:beforeAutospacing="0" w:after="0" w:afterAutospacing="0"/>
                    <w:ind w:left="0" w:right="0"/>
                    <w:rPr>
                      <w:rFonts w:hint="default"/>
                      <w:szCs w:val="22"/>
                      <w:highlight w:val="none"/>
                    </w:rPr>
                  </w:pPr>
                </w:p>
              </w:tc>
              <w:tc>
                <w:tcPr>
                  <w:tcW w:w="492" w:type="pct"/>
                  <w:vMerge w:val="continue"/>
                  <w:noWrap w:val="0"/>
                  <w:vAlign w:val="center"/>
                </w:tcPr>
                <w:p w14:paraId="2AE6E4BF">
                  <w:pPr>
                    <w:pStyle w:val="38"/>
                    <w:keepNext w:val="0"/>
                    <w:keepLines w:val="0"/>
                    <w:widowControl/>
                    <w:suppressLineNumbers w:val="0"/>
                    <w:bidi w:val="0"/>
                    <w:spacing w:before="0" w:beforeAutospacing="0" w:after="0" w:afterAutospacing="0"/>
                    <w:ind w:left="0" w:right="0"/>
                    <w:rPr>
                      <w:rFonts w:hint="default"/>
                      <w:szCs w:val="22"/>
                      <w:highlight w:val="none"/>
                    </w:rPr>
                  </w:pPr>
                </w:p>
              </w:tc>
            </w:tr>
          </w:tbl>
          <w:p w14:paraId="5971EDAB">
            <w:pPr>
              <w:pStyle w:val="39"/>
              <w:keepNext w:val="0"/>
              <w:keepLines w:val="0"/>
              <w:suppressLineNumbers w:val="0"/>
              <w:bidi w:val="0"/>
              <w:spacing w:before="0" w:beforeAutospacing="0" w:after="0" w:afterAutospacing="0"/>
              <w:ind w:left="0" w:right="0"/>
              <w:rPr>
                <w:rFonts w:hint="eastAsia" w:ascii="Times New Roman" w:hAnsi="Times New Roman" w:eastAsia="宋体" w:cs="Times New Roman"/>
                <w:b/>
                <w:bCs/>
                <w:color w:val="auto"/>
                <w:lang w:eastAsia="zh-CN"/>
              </w:rPr>
            </w:pPr>
            <w:r>
              <w:rPr>
                <w:rFonts w:hint="default"/>
              </w:rPr>
              <w:t>表</w:t>
            </w:r>
            <w:r>
              <w:rPr>
                <w:rFonts w:hint="eastAsia"/>
                <w:lang w:val="en-US" w:eastAsia="zh-CN"/>
              </w:rPr>
              <w:t xml:space="preserve">1-3 </w:t>
            </w:r>
            <w:r>
              <w:rPr>
                <w:rFonts w:hint="default"/>
                <w:lang w:val="en-GB"/>
              </w:rPr>
              <w:t>项目与规划环评审查意见的符合性分析</w:t>
            </w:r>
            <w:r>
              <w:rPr>
                <w:rFonts w:hint="eastAsia"/>
                <w:lang w:val="en-GB" w:eastAsia="zh-CN"/>
              </w:rPr>
              <w:t>（</w:t>
            </w:r>
            <w:r>
              <w:rPr>
                <w:rFonts w:hint="default"/>
                <w:lang w:val="en-GB"/>
              </w:rPr>
              <w:t>摘录</w:t>
            </w:r>
            <w:r>
              <w:rPr>
                <w:rFonts w:hint="eastAsia"/>
                <w:lang w:val="en-GB" w:eastAsia="zh-CN"/>
              </w:rPr>
              <w:t>）</w:t>
            </w:r>
          </w:p>
          <w:tbl>
            <w:tblPr>
              <w:tblStyle w:val="29"/>
              <w:tblW w:w="0" w:type="auto"/>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428"/>
              <w:gridCol w:w="3551"/>
              <w:gridCol w:w="2238"/>
              <w:gridCol w:w="906"/>
            </w:tblGrid>
            <w:tr w14:paraId="6A4CCEA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80" w:hRule="atLeast"/>
              </w:trPr>
              <w:tc>
                <w:tcPr>
                  <w:tcW w:w="3998" w:type="dxa"/>
                  <w:gridSpan w:val="2"/>
                  <w:tcBorders>
                    <w:top w:val="single" w:color="auto" w:sz="4" w:space="0"/>
                    <w:bottom w:val="single" w:color="auto" w:sz="4" w:space="0"/>
                  </w:tcBorders>
                  <w:noWrap w:val="0"/>
                  <w:vAlign w:val="center"/>
                </w:tcPr>
                <w:p w14:paraId="0A22F51C">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关于《福清融侨经济技术开发区总体规划（2018-2035 年）环境影响报告书》的审查意见</w:t>
                  </w:r>
                  <w:r>
                    <w:rPr>
                      <w:rFonts w:hint="eastAsia"/>
                      <w:szCs w:val="22"/>
                      <w:lang w:eastAsia="zh-CN"/>
                    </w:rPr>
                    <w:t>（</w:t>
                  </w:r>
                  <w:r>
                    <w:rPr>
                      <w:rFonts w:hint="default"/>
                      <w:szCs w:val="22"/>
                    </w:rPr>
                    <w:t>环审</w:t>
                  </w:r>
                  <w:r>
                    <w:rPr>
                      <w:rFonts w:hint="eastAsia"/>
                      <w:szCs w:val="22"/>
                      <w:lang w:eastAsia="zh-CN"/>
                    </w:rPr>
                    <w:t>〔2020〕80号）</w:t>
                  </w:r>
                  <w:r>
                    <w:rPr>
                      <w:rFonts w:hint="default"/>
                      <w:szCs w:val="22"/>
                    </w:rPr>
                    <w:t>摘录</w:t>
                  </w:r>
                </w:p>
              </w:tc>
              <w:tc>
                <w:tcPr>
                  <w:tcW w:w="2250" w:type="dxa"/>
                  <w:tcBorders>
                    <w:top w:val="single" w:color="auto" w:sz="4" w:space="0"/>
                    <w:bottom w:val="single" w:color="auto" w:sz="4" w:space="0"/>
                  </w:tcBorders>
                  <w:noWrap w:val="0"/>
                  <w:vAlign w:val="center"/>
                </w:tcPr>
                <w:p w14:paraId="47564755">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本项目情况</w:t>
                  </w:r>
                </w:p>
              </w:tc>
              <w:tc>
                <w:tcPr>
                  <w:tcW w:w="909" w:type="dxa"/>
                  <w:tcBorders>
                    <w:top w:val="single" w:color="auto" w:sz="4" w:space="0"/>
                    <w:bottom w:val="single" w:color="auto" w:sz="4" w:space="0"/>
                  </w:tcBorders>
                  <w:noWrap w:val="0"/>
                  <w:vAlign w:val="center"/>
                </w:tcPr>
                <w:p w14:paraId="6A769631">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符合性</w:t>
                  </w:r>
                </w:p>
              </w:tc>
            </w:tr>
            <w:tr w14:paraId="4C4668B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10" w:hRule="atLeast"/>
              </w:trPr>
              <w:tc>
                <w:tcPr>
                  <w:tcW w:w="428" w:type="dxa"/>
                  <w:tcBorders>
                    <w:top w:val="single" w:color="auto" w:sz="4" w:space="0"/>
                  </w:tcBorders>
                  <w:noWrap w:val="0"/>
                  <w:vAlign w:val="center"/>
                </w:tcPr>
                <w:p w14:paraId="481C6C2F">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审查意见</w:t>
                  </w:r>
                </w:p>
              </w:tc>
              <w:tc>
                <w:tcPr>
                  <w:tcW w:w="3570" w:type="dxa"/>
                  <w:tcBorders>
                    <w:top w:val="single" w:color="auto" w:sz="4" w:space="0"/>
                  </w:tcBorders>
                  <w:noWrap w:val="0"/>
                  <w:vAlign w:val="center"/>
                </w:tcPr>
                <w:p w14:paraId="00C71B59">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严格入区项目生态环境准入……强化现有及入区企业挥发性有机物排放控制，禁止新增排放涉重金属污染物项目入区，禁止与主导行业不相关且污染物排放量大的项目入区。……</w:t>
                  </w:r>
                </w:p>
              </w:tc>
              <w:tc>
                <w:tcPr>
                  <w:tcW w:w="2250" w:type="dxa"/>
                  <w:tcBorders>
                    <w:top w:val="single" w:color="auto" w:sz="4" w:space="0"/>
                  </w:tcBorders>
                  <w:noWrap w:val="0"/>
                  <w:vAlign w:val="center"/>
                </w:tcPr>
                <w:p w14:paraId="7FB41FDA">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default"/>
                      <w:szCs w:val="22"/>
                    </w:rPr>
                    <w:t>本项目挥发性有机物排放量较小，对外环境影响较小</w:t>
                  </w:r>
                  <w:r>
                    <w:rPr>
                      <w:rFonts w:hint="eastAsia"/>
                      <w:szCs w:val="22"/>
                      <w:lang w:eastAsia="zh-CN"/>
                    </w:rPr>
                    <w:t>且</w:t>
                  </w:r>
                  <w:r>
                    <w:rPr>
                      <w:rFonts w:hint="default"/>
                      <w:szCs w:val="22"/>
                    </w:rPr>
                    <w:t>本项目不涉及重金属污染物的排放</w:t>
                  </w:r>
                  <w:r>
                    <w:rPr>
                      <w:rFonts w:hint="eastAsia"/>
                      <w:szCs w:val="22"/>
                      <w:lang w:eastAsia="zh-CN"/>
                    </w:rPr>
                    <w:t>。</w:t>
                  </w:r>
                </w:p>
              </w:tc>
              <w:tc>
                <w:tcPr>
                  <w:tcW w:w="909" w:type="dxa"/>
                  <w:tcBorders>
                    <w:top w:val="single" w:color="auto" w:sz="4" w:space="0"/>
                  </w:tcBorders>
                  <w:noWrap w:val="0"/>
                  <w:vAlign w:val="center"/>
                </w:tcPr>
                <w:p w14:paraId="2D1037FE">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符合</w:t>
                  </w:r>
                </w:p>
              </w:tc>
            </w:tr>
          </w:tbl>
          <w:p w14:paraId="76A57D30">
            <w:pPr>
              <w:keepNext w:val="0"/>
              <w:keepLines w:val="0"/>
              <w:suppressLineNumbers w:val="0"/>
              <w:bidi w:val="0"/>
              <w:spacing w:before="0" w:beforeAutospacing="0" w:after="0" w:afterAutospacing="0"/>
              <w:ind w:left="0" w:right="0"/>
              <w:rPr>
                <w:rFonts w:hint="eastAsia"/>
                <w:color w:val="auto"/>
              </w:rPr>
            </w:pPr>
            <w:r>
              <w:rPr>
                <w:rFonts w:hint="eastAsia"/>
              </w:rPr>
              <w:t>综上，项目符合《</w:t>
            </w:r>
            <w:r>
              <w:rPr>
                <w:rFonts w:hint="eastAsia"/>
                <w:lang w:val="en-GB"/>
              </w:rPr>
              <w:t>福清融侨经济技术开发区总体规划环境影响报告书</w:t>
            </w:r>
            <w:r>
              <w:rPr>
                <w:rFonts w:hint="eastAsia"/>
                <w:lang w:eastAsia="zh-CN"/>
              </w:rPr>
              <w:t>（</w:t>
            </w:r>
            <w:r>
              <w:rPr>
                <w:rFonts w:hint="eastAsia"/>
                <w:lang w:val="en-GB"/>
              </w:rPr>
              <w:t>2018</w:t>
            </w:r>
            <w:r>
              <w:rPr>
                <w:rFonts w:hint="eastAsia"/>
              </w:rPr>
              <w:t>-</w:t>
            </w:r>
            <w:r>
              <w:rPr>
                <w:rFonts w:hint="eastAsia"/>
                <w:lang w:val="en-GB"/>
              </w:rPr>
              <w:t>2035年</w:t>
            </w:r>
            <w:r>
              <w:rPr>
                <w:rFonts w:hint="eastAsia"/>
                <w:lang w:eastAsia="zh-CN"/>
              </w:rPr>
              <w:t>）</w:t>
            </w:r>
            <w:r>
              <w:rPr>
                <w:rFonts w:hint="eastAsia"/>
              </w:rPr>
              <w:t>》及其审查小组意见中的相关要求。</w:t>
            </w:r>
          </w:p>
        </w:tc>
      </w:tr>
      <w:tr w14:paraId="6F35E6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531" w:type="dxa"/>
            <w:noWrap w:val="0"/>
            <w:vAlign w:val="center"/>
          </w:tcPr>
          <w:p w14:paraId="1FDB43EE">
            <w:pPr>
              <w:pStyle w:val="40"/>
              <w:keepNext w:val="0"/>
              <w:keepLines w:val="0"/>
              <w:suppressLineNumbers w:val="0"/>
              <w:bidi w:val="0"/>
              <w:spacing w:before="0" w:beforeAutospacing="0" w:after="0" w:afterAutospacing="0"/>
              <w:ind w:left="0" w:right="0"/>
              <w:rPr>
                <w:rFonts w:hint="eastAsia"/>
              </w:rPr>
            </w:pPr>
            <w:r>
              <w:rPr>
                <w:rFonts w:hint="eastAsia"/>
              </w:rPr>
              <w:t>其他符合性分析</w:t>
            </w:r>
          </w:p>
        </w:tc>
        <w:tc>
          <w:tcPr>
            <w:tcW w:w="7339" w:type="dxa"/>
            <w:gridSpan w:val="3"/>
            <w:noWrap w:val="0"/>
            <w:vAlign w:val="center"/>
          </w:tcPr>
          <w:p w14:paraId="1EA59AEE">
            <w:pPr>
              <w:pStyle w:val="3"/>
              <w:keepNext w:val="0"/>
              <w:keepLines w:val="0"/>
              <w:suppressLineNumbers w:val="0"/>
              <w:bidi w:val="0"/>
              <w:spacing w:before="0" w:beforeAutospacing="0" w:after="0" w:afterAutospacing="0"/>
              <w:ind w:left="0" w:right="0"/>
              <w:rPr>
                <w:rFonts w:hint="default"/>
              </w:rPr>
            </w:pPr>
            <w:r>
              <w:rPr>
                <w:rStyle w:val="41"/>
                <w:rFonts w:hint="default"/>
                <w:b/>
                <w:bCs/>
              </w:rPr>
              <w:t>产业政策符合性分析</w:t>
            </w:r>
          </w:p>
          <w:p w14:paraId="3511B631">
            <w:pPr>
              <w:keepNext w:val="0"/>
              <w:keepLines w:val="0"/>
              <w:suppressLineNumbers w:val="0"/>
              <w:bidi w:val="0"/>
              <w:spacing w:before="0" w:beforeAutospacing="0" w:after="0" w:afterAutospacing="0"/>
              <w:ind w:left="0" w:right="0"/>
              <w:rPr>
                <w:rFonts w:hint="default"/>
              </w:rPr>
            </w:pPr>
            <w:r>
              <w:rPr>
                <w:rFonts w:hint="default"/>
              </w:rPr>
              <w:t>本项目主要从事</w:t>
            </w:r>
            <w:r>
              <w:rPr>
                <w:rFonts w:hint="eastAsia"/>
                <w:lang w:val="en-US" w:eastAsia="zh-CN"/>
              </w:rPr>
              <w:t>铝合金、塑胶件及钣金件加工生产</w:t>
            </w:r>
            <w:r>
              <w:rPr>
                <w:rFonts w:hint="default"/>
              </w:rPr>
              <w:t>，</w:t>
            </w:r>
            <w:r>
              <w:rPr>
                <w:rFonts w:hint="default"/>
                <w:color w:val="000000"/>
                <w:lang w:val="en-US" w:eastAsia="zh-CN"/>
              </w:rPr>
              <w:t>根据《产业结构调整指导目录（20</w:t>
            </w:r>
            <w:r>
              <w:rPr>
                <w:rFonts w:hint="eastAsia"/>
                <w:color w:val="000000"/>
                <w:lang w:val="en-US" w:eastAsia="zh-CN"/>
              </w:rPr>
              <w:t>24</w:t>
            </w:r>
            <w:r>
              <w:rPr>
                <w:rFonts w:hint="default"/>
                <w:color w:val="000000"/>
                <w:lang w:val="en-US" w:eastAsia="zh-CN"/>
              </w:rPr>
              <w:t>年本）》，本项目产品、生产工艺及设备均不属于产业政策中的限制和</w:t>
            </w:r>
            <w:r>
              <w:rPr>
                <w:rFonts w:hint="default"/>
                <w:color w:val="000000"/>
                <w:highlight w:val="none"/>
                <w:lang w:val="en-US" w:eastAsia="zh-CN"/>
              </w:rPr>
              <w:t>禁止类，符合国家产业政策</w:t>
            </w:r>
            <w:r>
              <w:rPr>
                <w:rFonts w:hint="eastAsia"/>
                <w:color w:val="000000"/>
                <w:highlight w:val="none"/>
                <w:lang w:val="en-US" w:eastAsia="zh-CN"/>
              </w:rPr>
              <w:t>。</w:t>
            </w:r>
            <w:r>
              <w:rPr>
                <w:rFonts w:hint="eastAsia"/>
                <w:highlight w:val="none"/>
                <w:lang w:val="en-US" w:eastAsia="zh-CN"/>
              </w:rPr>
              <w:t>该项目于2026年01月04日取得了福清市工业和信息化局的备案（闽工信备〔2026〕A060001号，详见</w:t>
            </w:r>
            <w:r>
              <w:rPr>
                <w:rFonts w:hint="eastAsia"/>
                <w:highlight w:val="none"/>
                <w:lang w:val="en-US" w:eastAsia="zh-CN"/>
              </w:rPr>
              <w:fldChar w:fldCharType="begin"/>
            </w:r>
            <w:r>
              <w:rPr>
                <w:rFonts w:hint="eastAsia"/>
                <w:highlight w:val="none"/>
                <w:lang w:val="en-US" w:eastAsia="zh-CN"/>
              </w:rPr>
              <w:instrText xml:space="preserve"> REF _Ref22029 \h </w:instrText>
            </w:r>
            <w:r>
              <w:rPr>
                <w:rFonts w:hint="eastAsia"/>
                <w:highlight w:val="none"/>
                <w:lang w:val="en-US" w:eastAsia="zh-CN"/>
              </w:rPr>
              <w:fldChar w:fldCharType="separate"/>
            </w:r>
            <w:r>
              <w:rPr>
                <w:rFonts w:hint="eastAsia"/>
              </w:rPr>
              <w:t>附件 4</w:t>
            </w:r>
            <w:r>
              <w:rPr>
                <w:rFonts w:hint="eastAsia"/>
                <w:highlight w:val="none"/>
                <w:lang w:val="en-US" w:eastAsia="zh-CN"/>
              </w:rPr>
              <w:fldChar w:fldCharType="end"/>
            </w:r>
            <w:r>
              <w:rPr>
                <w:rFonts w:hint="eastAsia"/>
                <w:highlight w:val="none"/>
                <w:lang w:val="en-US" w:eastAsia="zh-CN"/>
              </w:rPr>
              <w:t>），</w:t>
            </w:r>
            <w:r>
              <w:rPr>
                <w:rFonts w:hint="default"/>
                <w:highlight w:val="none"/>
              </w:rPr>
              <w:t>该项目的建设符合国家当前的产业政策要求。</w:t>
            </w:r>
          </w:p>
          <w:p w14:paraId="6D272AA0">
            <w:pPr>
              <w:pStyle w:val="3"/>
              <w:keepNext w:val="0"/>
              <w:keepLines w:val="0"/>
              <w:suppressLineNumbers w:val="0"/>
              <w:bidi w:val="0"/>
              <w:spacing w:before="0" w:beforeAutospacing="0" w:after="0" w:afterAutospacing="0"/>
              <w:ind w:left="0" w:right="0"/>
              <w:rPr>
                <w:rFonts w:hint="default"/>
              </w:rPr>
            </w:pPr>
            <w:r>
              <w:rPr>
                <w:rFonts w:hint="eastAsia"/>
                <w:color w:val="000000"/>
                <w:lang w:val="en-US" w:eastAsia="zh-CN"/>
              </w:rPr>
              <w:t>项目土地利用规划合理性</w:t>
            </w:r>
            <w:r>
              <w:rPr>
                <w:rFonts w:hint="default"/>
              </w:rPr>
              <w:t>分析</w:t>
            </w:r>
          </w:p>
          <w:p w14:paraId="29F2B348">
            <w:pPr>
              <w:keepNext w:val="0"/>
              <w:keepLines w:val="0"/>
              <w:suppressLineNumbers w:val="0"/>
              <w:bidi w:val="0"/>
              <w:spacing w:before="0" w:beforeAutospacing="0" w:after="0" w:afterAutospacing="0"/>
              <w:ind w:left="0" w:right="0"/>
              <w:rPr>
                <w:rFonts w:hint="default"/>
              </w:rPr>
            </w:pPr>
            <w:r>
              <w:rPr>
                <w:rFonts w:hint="eastAsia"/>
                <w:lang w:val="en-US" w:eastAsia="zh-CN"/>
              </w:rPr>
              <w:t>根据建设单位提供的租赁合同（见</w:t>
            </w:r>
            <w:r>
              <w:rPr>
                <w:rFonts w:hint="eastAsia"/>
                <w:lang w:val="en-US" w:eastAsia="zh-CN"/>
              </w:rPr>
              <w:fldChar w:fldCharType="begin"/>
            </w:r>
            <w:r>
              <w:rPr>
                <w:rFonts w:hint="eastAsia"/>
                <w:lang w:val="en-US" w:eastAsia="zh-CN"/>
              </w:rPr>
              <w:instrText xml:space="preserve"> REF _Ref4970 \h </w:instrText>
            </w:r>
            <w:r>
              <w:rPr>
                <w:rFonts w:hint="eastAsia"/>
                <w:lang w:val="en-US" w:eastAsia="zh-CN"/>
              </w:rPr>
              <w:fldChar w:fldCharType="separate"/>
            </w:r>
            <w:r>
              <w:rPr>
                <w:rFonts w:hint="eastAsia"/>
              </w:rPr>
              <w:t>附件 7</w:t>
            </w:r>
            <w:r>
              <w:rPr>
                <w:rFonts w:hint="eastAsia"/>
                <w:lang w:val="en-US" w:eastAsia="zh-CN"/>
              </w:rPr>
              <w:fldChar w:fldCharType="end"/>
            </w:r>
            <w:r>
              <w:rPr>
                <w:rFonts w:hint="eastAsia"/>
                <w:lang w:val="en-US" w:eastAsia="zh-CN"/>
              </w:rPr>
              <w:t>），福清市三合电子科技有限公司</w:t>
            </w:r>
            <w:r>
              <w:rPr>
                <w:rFonts w:hint="default"/>
              </w:rPr>
              <w:t>租赁</w:t>
            </w:r>
            <w:r>
              <w:rPr>
                <w:rFonts w:hint="eastAsia"/>
                <w:lang w:val="en-US" w:eastAsia="zh-CN"/>
              </w:rPr>
              <w:t>福清洪添科技有限公司</w:t>
            </w:r>
            <w:r>
              <w:rPr>
                <w:rFonts w:hint="default"/>
              </w:rPr>
              <w:t>厂房作为生产用地。根据</w:t>
            </w:r>
            <w:r>
              <w:rPr>
                <w:rFonts w:hint="eastAsia"/>
                <w:lang w:eastAsia="zh-CN"/>
              </w:rPr>
              <w:t>福清洪添科技有限公司</w:t>
            </w:r>
            <w:r>
              <w:rPr>
                <w:rFonts w:hint="eastAsia"/>
                <w:lang w:val="en-US" w:eastAsia="zh-CN"/>
              </w:rPr>
              <w:t>产权</w:t>
            </w:r>
            <w:r>
              <w:rPr>
                <w:rFonts w:hint="default"/>
              </w:rPr>
              <w:t>证（见</w:t>
            </w:r>
            <w:r>
              <w:rPr>
                <w:rFonts w:hint="default"/>
                <w:lang w:val="en-US"/>
              </w:rPr>
              <w:fldChar w:fldCharType="begin"/>
            </w:r>
            <w:r>
              <w:rPr>
                <w:rFonts w:hint="default"/>
                <w:lang w:val="en-US"/>
              </w:rPr>
              <w:instrText xml:space="preserve"> REF _Ref5002 \h </w:instrText>
            </w:r>
            <w:r>
              <w:rPr>
                <w:rFonts w:hint="default"/>
                <w:lang w:val="en-US"/>
              </w:rPr>
              <w:fldChar w:fldCharType="separate"/>
            </w:r>
            <w:r>
              <w:rPr>
                <w:rFonts w:hint="eastAsia"/>
              </w:rPr>
              <w:t>附件 6</w:t>
            </w:r>
            <w:r>
              <w:rPr>
                <w:rFonts w:hint="default"/>
                <w:lang w:val="en-US"/>
              </w:rPr>
              <w:fldChar w:fldCharType="end"/>
            </w:r>
            <w:r>
              <w:rPr>
                <w:rFonts w:hint="default"/>
              </w:rPr>
              <w:t>）可知，</w:t>
            </w:r>
            <w:r>
              <w:rPr>
                <w:rFonts w:hint="eastAsia"/>
              </w:rPr>
              <w:t>土地用途为厂房，本项目主要</w:t>
            </w:r>
            <w:r>
              <w:rPr>
                <w:rFonts w:hint="eastAsia"/>
                <w:lang w:eastAsia="zh-CN"/>
              </w:rPr>
              <w:t>从事</w:t>
            </w:r>
            <w:r>
              <w:rPr>
                <w:rFonts w:hint="eastAsia"/>
                <w:lang w:val="en-US" w:eastAsia="zh-CN"/>
              </w:rPr>
              <w:t>铝合金、塑胶件及钣金件加工生产</w:t>
            </w:r>
            <w:r>
              <w:rPr>
                <w:rFonts w:hint="eastAsia"/>
              </w:rPr>
              <w:t>，属于工业企业，因此，项目选址符合《福清融侨经济技术开发区总体规划（2018-2035年）》要求，故项目选址合理。</w:t>
            </w:r>
          </w:p>
          <w:p w14:paraId="1DFD0F3E">
            <w:pPr>
              <w:pStyle w:val="3"/>
              <w:keepNext w:val="0"/>
              <w:keepLines w:val="0"/>
              <w:suppressLineNumbers w:val="0"/>
              <w:bidi w:val="0"/>
              <w:spacing w:before="0" w:beforeAutospacing="0" w:after="0" w:afterAutospacing="0"/>
              <w:ind w:left="0" w:right="0"/>
              <w:rPr>
                <w:rFonts w:hint="default"/>
              </w:rPr>
            </w:pPr>
            <w:r>
              <w:rPr>
                <w:rFonts w:hint="default"/>
              </w:rPr>
              <w:t>环境功能区划符合性分析</w:t>
            </w:r>
          </w:p>
          <w:p w14:paraId="6548C0DB">
            <w:pPr>
              <w:keepNext w:val="0"/>
              <w:keepLines w:val="0"/>
              <w:suppressLineNumbers w:val="0"/>
              <w:bidi w:val="0"/>
              <w:spacing w:before="0" w:beforeAutospacing="0" w:after="0" w:afterAutospacing="0"/>
              <w:ind w:left="0" w:right="0"/>
              <w:rPr>
                <w:rFonts w:hint="eastAsia"/>
                <w:b w:val="0"/>
                <w:bCs w:val="0"/>
                <w:iCs w:val="0"/>
              </w:rPr>
            </w:pPr>
            <w:r>
              <w:rPr>
                <w:rFonts w:hint="eastAsia"/>
                <w:b w:val="0"/>
                <w:bCs w:val="0"/>
                <w:iCs w:val="0"/>
              </w:rPr>
              <w:t>（1）废气</w:t>
            </w:r>
          </w:p>
          <w:p w14:paraId="6800BEB0">
            <w:pPr>
              <w:keepNext w:val="0"/>
              <w:keepLines w:val="0"/>
              <w:suppressLineNumbers w:val="0"/>
              <w:bidi w:val="0"/>
              <w:spacing w:before="0" w:beforeAutospacing="0" w:after="0" w:afterAutospacing="0"/>
              <w:ind w:left="0" w:right="0"/>
              <w:rPr>
                <w:rFonts w:hint="eastAsia"/>
                <w:b w:val="0"/>
                <w:bCs w:val="0"/>
                <w:iCs w:val="0"/>
              </w:rPr>
            </w:pPr>
            <w:r>
              <w:rPr>
                <w:rFonts w:hint="eastAsia"/>
                <w:b w:val="0"/>
                <w:bCs w:val="0"/>
                <w:iCs w:val="0"/>
              </w:rPr>
              <w:t>项目运营期环境空气污染排放源强很低，对周围环境空气不会产生显著影响，符合《环境空气质量标准》（GB3095-2012）及其修改单中二级标准的要求。</w:t>
            </w:r>
          </w:p>
          <w:p w14:paraId="06051AEF">
            <w:pPr>
              <w:keepNext w:val="0"/>
              <w:keepLines w:val="0"/>
              <w:suppressLineNumbers w:val="0"/>
              <w:bidi w:val="0"/>
              <w:spacing w:before="0" w:beforeAutospacing="0" w:after="0" w:afterAutospacing="0"/>
              <w:ind w:left="0" w:right="0"/>
              <w:rPr>
                <w:rFonts w:hint="eastAsia"/>
                <w:b w:val="0"/>
                <w:bCs w:val="0"/>
                <w:iCs w:val="0"/>
              </w:rPr>
            </w:pPr>
            <w:r>
              <w:rPr>
                <w:rFonts w:hint="eastAsia"/>
                <w:b w:val="0"/>
                <w:bCs w:val="0"/>
                <w:iCs w:val="0"/>
              </w:rPr>
              <w:t>（2）废水</w:t>
            </w:r>
          </w:p>
          <w:p w14:paraId="4D6E32A5">
            <w:pPr>
              <w:keepNext w:val="0"/>
              <w:keepLines w:val="0"/>
              <w:suppressLineNumbers w:val="0"/>
              <w:bidi w:val="0"/>
              <w:spacing w:before="0" w:beforeAutospacing="0" w:after="0" w:afterAutospacing="0"/>
              <w:ind w:left="0" w:right="0"/>
              <w:rPr>
                <w:rFonts w:hint="eastAsia"/>
              </w:rPr>
            </w:pPr>
            <w:r>
              <w:rPr>
                <w:rFonts w:hint="eastAsia"/>
              </w:rPr>
              <w:t>项目职工生活污水经化粪池预处理达标后接入市政污水管网，由</w:t>
            </w:r>
            <w:r>
              <w:rPr>
                <w:rFonts w:hint="eastAsia"/>
                <w:lang w:eastAsia="zh-CN"/>
              </w:rPr>
              <w:t>福清市融元污水处理厂</w:t>
            </w:r>
            <w:r>
              <w:rPr>
                <w:rFonts w:hint="eastAsia"/>
              </w:rPr>
              <w:t>集中处理。因此，项目污水对周边水体环境造成影响较小。</w:t>
            </w:r>
          </w:p>
          <w:p w14:paraId="722B5F24">
            <w:pPr>
              <w:keepNext w:val="0"/>
              <w:keepLines w:val="0"/>
              <w:suppressLineNumbers w:val="0"/>
              <w:bidi w:val="0"/>
              <w:spacing w:before="0" w:beforeAutospacing="0" w:after="0" w:afterAutospacing="0"/>
              <w:ind w:left="0" w:right="0"/>
              <w:rPr>
                <w:rFonts w:hint="eastAsia"/>
                <w:b w:val="0"/>
                <w:bCs w:val="0"/>
                <w:iCs w:val="0"/>
              </w:rPr>
            </w:pPr>
            <w:r>
              <w:rPr>
                <w:rFonts w:hint="eastAsia"/>
                <w:b w:val="0"/>
                <w:bCs w:val="0"/>
                <w:iCs w:val="0"/>
              </w:rPr>
              <w:t>（3）噪声</w:t>
            </w:r>
          </w:p>
          <w:p w14:paraId="4F1C67EA">
            <w:pPr>
              <w:keepNext w:val="0"/>
              <w:keepLines w:val="0"/>
              <w:suppressLineNumbers w:val="0"/>
              <w:bidi w:val="0"/>
              <w:spacing w:before="0" w:beforeAutospacing="0" w:after="0" w:afterAutospacing="0"/>
              <w:ind w:left="0" w:right="0"/>
              <w:rPr>
                <w:rFonts w:hint="eastAsia"/>
              </w:rPr>
            </w:pPr>
            <w:r>
              <w:rPr>
                <w:rFonts w:hint="eastAsia"/>
                <w:b w:val="0"/>
                <w:bCs w:val="0"/>
                <w:iCs w:val="0"/>
              </w:rPr>
              <w:t>项目在采取一定的噪声污染防治措施后，项目产生的噪声不会对周围环境产生显著影响，项目所在区域的环境可满足《声环境质量标准》（GB3096-2008）的</w:t>
            </w:r>
            <w:r>
              <w:rPr>
                <w:rFonts w:hint="eastAsia"/>
                <w:b w:val="0"/>
                <w:bCs w:val="0"/>
                <w:iCs w:val="0"/>
                <w:lang w:val="en-US" w:eastAsia="zh-CN"/>
              </w:rPr>
              <w:t>3</w:t>
            </w:r>
            <w:r>
              <w:rPr>
                <w:rFonts w:hint="eastAsia"/>
                <w:b w:val="0"/>
                <w:bCs w:val="0"/>
                <w:iCs w:val="0"/>
              </w:rPr>
              <w:t>类标准。因此，项目建设符合环境功能规划</w:t>
            </w:r>
            <w:r>
              <w:rPr>
                <w:rFonts w:hint="eastAsia"/>
              </w:rPr>
              <w:t>。</w:t>
            </w:r>
          </w:p>
          <w:p w14:paraId="526DB445">
            <w:pPr>
              <w:pStyle w:val="3"/>
              <w:keepNext w:val="0"/>
              <w:keepLines w:val="0"/>
              <w:suppressLineNumbers w:val="0"/>
              <w:bidi w:val="0"/>
              <w:spacing w:before="0" w:beforeAutospacing="0" w:after="0" w:afterAutospacing="0"/>
              <w:ind w:left="0" w:right="0"/>
              <w:rPr>
                <w:rFonts w:hint="eastAsia"/>
              </w:rPr>
            </w:pPr>
            <w:bookmarkStart w:id="8" w:name="_Toc2764"/>
            <w:bookmarkStart w:id="9" w:name="_Toc27236"/>
            <w:bookmarkStart w:id="10" w:name="_Toc16029"/>
            <w:bookmarkStart w:id="11" w:name="_Toc7228"/>
            <w:bookmarkStart w:id="12" w:name="_Toc3067"/>
            <w:bookmarkStart w:id="13" w:name="_Toc3746"/>
            <w:r>
              <w:rPr>
                <w:rFonts w:hint="eastAsia"/>
              </w:rPr>
              <w:t>与福州市生态环境分区管控的要求符合性分析</w:t>
            </w:r>
            <w:bookmarkEnd w:id="8"/>
          </w:p>
          <w:p w14:paraId="46466856">
            <w:pPr>
              <w:keepNext w:val="0"/>
              <w:keepLines w:val="0"/>
              <w:suppressLineNumbers w:val="0"/>
              <w:bidi w:val="0"/>
              <w:spacing w:before="0" w:beforeAutospacing="0" w:after="0" w:afterAutospacing="0"/>
              <w:ind w:left="0" w:right="0"/>
              <w:rPr>
                <w:rFonts w:hint="default"/>
              </w:rPr>
            </w:pPr>
            <w:r>
              <w:rPr>
                <w:rFonts w:hint="default"/>
              </w:rPr>
              <w:t>根据《关于以改善环境质量为核心加强环境影响评价管理的通知》</w:t>
            </w:r>
            <w:r>
              <w:rPr>
                <w:rFonts w:hint="eastAsia"/>
                <w:lang w:eastAsia="zh-CN"/>
              </w:rPr>
              <w:t>（</w:t>
            </w:r>
            <w:r>
              <w:rPr>
                <w:rFonts w:hint="default"/>
              </w:rPr>
              <w:t>环评〔2016〕150号</w:t>
            </w:r>
            <w:r>
              <w:rPr>
                <w:rFonts w:hint="eastAsia"/>
                <w:lang w:eastAsia="zh-CN"/>
              </w:rPr>
              <w:t>）</w:t>
            </w:r>
            <w:r>
              <w:rPr>
                <w:rFonts w:hint="default"/>
              </w:rPr>
              <w:t>，</w:t>
            </w:r>
            <w:r>
              <w:rPr>
                <w:rFonts w:hint="eastAsia"/>
                <w:lang w:eastAsia="zh-CN"/>
              </w:rPr>
              <w:t>“</w:t>
            </w:r>
            <w:r>
              <w:rPr>
                <w:rFonts w:hint="default"/>
              </w:rPr>
              <w:t>三线一单</w:t>
            </w:r>
            <w:r>
              <w:rPr>
                <w:rFonts w:hint="eastAsia"/>
                <w:lang w:eastAsia="zh-CN"/>
              </w:rPr>
              <w:t>”</w:t>
            </w:r>
            <w:r>
              <w:rPr>
                <w:rFonts w:hint="default"/>
              </w:rPr>
              <w:t>即：</w:t>
            </w:r>
            <w:r>
              <w:rPr>
                <w:rFonts w:hint="eastAsia"/>
                <w:lang w:eastAsia="zh-CN"/>
              </w:rPr>
              <w:t>“</w:t>
            </w:r>
            <w:r>
              <w:rPr>
                <w:rFonts w:hint="default"/>
              </w:rPr>
              <w:t>生态保护红线、环境质量底线、资源利用上线和生态环境准入清单</w:t>
            </w:r>
            <w:r>
              <w:rPr>
                <w:rFonts w:hint="eastAsia"/>
                <w:lang w:eastAsia="zh-CN"/>
              </w:rPr>
              <w:t>”</w:t>
            </w:r>
            <w:r>
              <w:rPr>
                <w:rFonts w:hint="default"/>
              </w:rPr>
              <w:t>，项目建设应强化</w:t>
            </w:r>
            <w:r>
              <w:rPr>
                <w:rFonts w:hint="eastAsia"/>
                <w:lang w:eastAsia="zh-CN"/>
              </w:rPr>
              <w:t>“</w:t>
            </w:r>
            <w:r>
              <w:rPr>
                <w:rFonts w:hint="default"/>
              </w:rPr>
              <w:t>三线一单</w:t>
            </w:r>
            <w:r>
              <w:rPr>
                <w:rFonts w:hint="eastAsia"/>
                <w:lang w:eastAsia="zh-CN"/>
              </w:rPr>
              <w:t>”</w:t>
            </w:r>
            <w:r>
              <w:rPr>
                <w:rFonts w:hint="default"/>
              </w:rPr>
              <w:t>约束作用。</w:t>
            </w:r>
          </w:p>
          <w:p w14:paraId="33F2D65E">
            <w:pPr>
              <w:keepNext w:val="0"/>
              <w:keepLines w:val="0"/>
              <w:suppressLineNumbers w:val="0"/>
              <w:bidi w:val="0"/>
              <w:spacing w:before="0" w:beforeAutospacing="0" w:after="0" w:afterAutospacing="0"/>
              <w:ind w:left="0" w:right="0"/>
              <w:rPr>
                <w:rFonts w:hint="default"/>
              </w:rPr>
            </w:pPr>
            <w:r>
              <w:rPr>
                <w:rFonts w:hint="eastAsia"/>
                <w:lang w:eastAsia="zh-CN"/>
              </w:rPr>
              <w:t>（</w:t>
            </w:r>
            <w:r>
              <w:rPr>
                <w:rFonts w:hint="eastAsia"/>
                <w:lang w:val="en-US" w:eastAsia="zh-CN"/>
              </w:rPr>
              <w:t>1</w:t>
            </w:r>
            <w:r>
              <w:rPr>
                <w:rFonts w:hint="eastAsia"/>
                <w:lang w:eastAsia="zh-CN"/>
              </w:rPr>
              <w:t>）</w:t>
            </w:r>
            <w:r>
              <w:rPr>
                <w:rFonts w:hint="default"/>
              </w:rPr>
              <w:t>生态保护红线</w:t>
            </w:r>
          </w:p>
          <w:p w14:paraId="6E62CDB0">
            <w:pPr>
              <w:keepNext w:val="0"/>
              <w:keepLines w:val="0"/>
              <w:suppressLineNumbers w:val="0"/>
              <w:bidi w:val="0"/>
              <w:spacing w:before="0" w:beforeAutospacing="0" w:after="0" w:afterAutospacing="0"/>
              <w:ind w:left="0" w:right="0"/>
              <w:rPr>
                <w:rFonts w:hint="default"/>
              </w:rPr>
            </w:pPr>
            <w:r>
              <w:rPr>
                <w:rFonts w:hint="default"/>
              </w:rPr>
              <w:t>对照《福建省生态保护红线划定方案》及其调整方案</w:t>
            </w:r>
            <w:r>
              <w:rPr>
                <w:rFonts w:hint="default"/>
                <w:lang w:eastAsia="zh-CN"/>
              </w:rPr>
              <w:t>、</w:t>
            </w:r>
            <w:r>
              <w:rPr>
                <w:rFonts w:hint="default"/>
                <w:lang w:val="en-GB"/>
              </w:rPr>
              <w:t>《福清市生态功能区划》</w:t>
            </w:r>
            <w:r>
              <w:rPr>
                <w:rFonts w:hint="eastAsia"/>
                <w:lang w:eastAsia="zh-CN"/>
              </w:rPr>
              <w:t>（</w:t>
            </w:r>
            <w:r>
              <w:rPr>
                <w:rFonts w:hint="default"/>
                <w:lang w:val="en-GB"/>
              </w:rPr>
              <w:t>2003年</w:t>
            </w:r>
            <w:r>
              <w:rPr>
                <w:rFonts w:hint="eastAsia"/>
                <w:lang w:eastAsia="zh-CN"/>
              </w:rPr>
              <w:t>）</w:t>
            </w:r>
            <w:r>
              <w:rPr>
                <w:rFonts w:hint="default"/>
              </w:rPr>
              <w:t>，本项目位于福建省福州市福清融侨经济技术开发区内（</w:t>
            </w:r>
            <w:r>
              <w:rPr>
                <w:rFonts w:hint="eastAsia"/>
                <w:lang w:eastAsia="zh-CN"/>
              </w:rPr>
              <w:t>福建省福州市福清市阳下街道玉岭村147号车间2三楼</w:t>
            </w:r>
            <w:r>
              <w:rPr>
                <w:rFonts w:hint="default"/>
              </w:rPr>
              <w:t>）。项目周边无国家公园、自然保护区、森林公园的生态保育区和核心景观区、风景名胜区的核心景区、地质公园的地质遗迹保护区、世界自然遗产的核心区和缓冲区、湿地公园的湿地保育区和恢复重建区、饮用水水源的一级保护区、水产种质资源保护区的核心区和其他需要特别保护或法律法规禁止开发建设的区域。因此，项目建设符合生态红线控制的要求。</w:t>
            </w:r>
          </w:p>
          <w:p w14:paraId="4C109043">
            <w:pPr>
              <w:keepNext w:val="0"/>
              <w:keepLines w:val="0"/>
              <w:suppressLineNumbers w:val="0"/>
              <w:bidi w:val="0"/>
              <w:spacing w:before="0" w:beforeAutospacing="0" w:after="0" w:afterAutospacing="0"/>
              <w:ind w:left="0" w:right="0"/>
              <w:rPr>
                <w:rFonts w:hint="default"/>
              </w:rPr>
            </w:pPr>
            <w:r>
              <w:rPr>
                <w:rFonts w:hint="eastAsia"/>
                <w:lang w:eastAsia="zh-CN"/>
              </w:rPr>
              <w:t>（</w:t>
            </w:r>
            <w:r>
              <w:rPr>
                <w:rFonts w:hint="eastAsia"/>
                <w:lang w:val="en-US" w:eastAsia="zh-CN"/>
              </w:rPr>
              <w:t>2</w:t>
            </w:r>
            <w:r>
              <w:rPr>
                <w:rFonts w:hint="eastAsia"/>
                <w:lang w:eastAsia="zh-CN"/>
              </w:rPr>
              <w:t>）</w:t>
            </w:r>
            <w:r>
              <w:rPr>
                <w:rFonts w:hint="default"/>
              </w:rPr>
              <w:t>环境质量底线</w:t>
            </w:r>
          </w:p>
          <w:p w14:paraId="340F55D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spacing w:val="0"/>
                <w:sz w:val="24"/>
                <w:szCs w:val="24"/>
                <w:highlight w:val="none"/>
                <w:u w:val="none"/>
                <w:lang w:eastAsia="zh-CN"/>
              </w:rPr>
            </w:pPr>
            <w:r>
              <w:rPr>
                <w:rFonts w:hint="default" w:ascii="Times New Roman" w:hAnsi="Times New Roman" w:eastAsia="宋体" w:cs="Times New Roman"/>
                <w:color w:val="auto"/>
                <w:spacing w:val="0"/>
                <w:sz w:val="24"/>
                <w:szCs w:val="24"/>
                <w:highlight w:val="none"/>
                <w:u w:val="none"/>
                <w:lang w:eastAsia="zh-CN"/>
              </w:rPr>
              <w:t>项目所在区域环境质量底线：环境空气质量目标为《环境空气质量标准》（GB3095-2012）及修改单中的二级</w:t>
            </w:r>
            <w:r>
              <w:rPr>
                <w:rFonts w:hint="eastAsia" w:ascii="Times New Roman" w:hAnsi="Times New Roman" w:eastAsia="宋体" w:cs="Times New Roman"/>
                <w:color w:val="auto"/>
                <w:spacing w:val="0"/>
                <w:sz w:val="24"/>
                <w:szCs w:val="24"/>
                <w:highlight w:val="none"/>
                <w:u w:val="none"/>
                <w:lang w:eastAsia="zh-CN"/>
              </w:rPr>
              <w:t>标准</w:t>
            </w:r>
            <w:r>
              <w:rPr>
                <w:rFonts w:hint="default" w:ascii="Times New Roman" w:hAnsi="Times New Roman" w:eastAsia="宋体" w:cs="Times New Roman"/>
                <w:color w:val="auto"/>
                <w:spacing w:val="0"/>
                <w:sz w:val="24"/>
                <w:szCs w:val="24"/>
                <w:highlight w:val="none"/>
                <w:u w:val="none"/>
                <w:lang w:eastAsia="zh-CN"/>
              </w:rPr>
              <w:t>；</w:t>
            </w:r>
            <w:r>
              <w:rPr>
                <w:rFonts w:hint="eastAsia" w:ascii="Times New Roman" w:hAnsi="Times New Roman" w:eastAsia="宋体" w:cs="Times New Roman"/>
                <w:color w:val="auto"/>
                <w:spacing w:val="0"/>
                <w:sz w:val="24"/>
                <w:szCs w:val="24"/>
                <w:highlight w:val="none"/>
                <w:u w:val="none"/>
                <w:lang w:eastAsia="zh-CN"/>
              </w:rPr>
              <w:t>周边罗汉溪地表水环境质量目标为《地表水环境质量标准》（</w:t>
            </w:r>
            <w:r>
              <w:rPr>
                <w:rFonts w:hint="default" w:ascii="Times New Roman" w:hAnsi="Times New Roman" w:eastAsia="宋体" w:cs="Times New Roman"/>
                <w:color w:val="auto"/>
                <w:spacing w:val="0"/>
                <w:sz w:val="24"/>
                <w:szCs w:val="24"/>
                <w:highlight w:val="none"/>
                <w:u w:val="none"/>
                <w:lang w:eastAsia="zh-CN"/>
              </w:rPr>
              <w:t>GB3838-2002</w:t>
            </w:r>
            <w:r>
              <w:rPr>
                <w:rFonts w:hint="eastAsia" w:ascii="Times New Roman" w:hAnsi="Times New Roman" w:eastAsia="宋体" w:cs="Times New Roman"/>
                <w:color w:val="auto"/>
                <w:spacing w:val="0"/>
                <w:sz w:val="24"/>
                <w:szCs w:val="24"/>
                <w:highlight w:val="none"/>
                <w:u w:val="none"/>
                <w:lang w:eastAsia="zh-CN"/>
              </w:rPr>
              <w:t>）中Ⅳ类水质标准</w:t>
            </w:r>
            <w:r>
              <w:rPr>
                <w:rFonts w:hint="default" w:ascii="Times New Roman" w:hAnsi="Times New Roman" w:eastAsia="宋体" w:cs="Times New Roman"/>
                <w:color w:val="auto"/>
                <w:spacing w:val="0"/>
                <w:sz w:val="24"/>
                <w:szCs w:val="24"/>
                <w:highlight w:val="none"/>
                <w:u w:val="none"/>
                <w:lang w:eastAsia="zh-CN"/>
              </w:rPr>
              <w:t>；声环境质量目标为《声环境质量标准》（GB3096-2008）</w:t>
            </w:r>
            <w:r>
              <w:rPr>
                <w:rFonts w:hint="eastAsia" w:ascii="Times New Roman" w:hAnsi="Times New Roman" w:eastAsia="宋体" w:cs="Times New Roman"/>
                <w:color w:val="auto"/>
                <w:spacing w:val="0"/>
                <w:sz w:val="24"/>
                <w:szCs w:val="24"/>
                <w:highlight w:val="none"/>
                <w:u w:val="none"/>
                <w:lang w:eastAsia="zh-CN"/>
              </w:rPr>
              <w:t>3</w:t>
            </w:r>
            <w:r>
              <w:rPr>
                <w:rFonts w:hint="default" w:ascii="Times New Roman" w:hAnsi="Times New Roman" w:eastAsia="宋体" w:cs="Times New Roman"/>
                <w:color w:val="auto"/>
                <w:spacing w:val="0"/>
                <w:sz w:val="24"/>
                <w:szCs w:val="24"/>
                <w:highlight w:val="none"/>
                <w:u w:val="none"/>
                <w:lang w:eastAsia="zh-CN"/>
              </w:rPr>
              <w:t>类</w:t>
            </w:r>
            <w:r>
              <w:rPr>
                <w:rFonts w:hint="eastAsia" w:ascii="Times New Roman" w:hAnsi="Times New Roman" w:eastAsia="宋体" w:cs="Times New Roman"/>
                <w:color w:val="auto"/>
                <w:spacing w:val="0"/>
                <w:sz w:val="24"/>
                <w:szCs w:val="24"/>
                <w:highlight w:val="none"/>
                <w:u w:val="none"/>
                <w:lang w:eastAsia="zh-CN"/>
              </w:rPr>
              <w:t>。</w:t>
            </w:r>
          </w:p>
          <w:p w14:paraId="3010BDB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pacing w:val="0"/>
                <w:sz w:val="24"/>
                <w:szCs w:val="24"/>
                <w:highlight w:val="none"/>
                <w:u w:val="none"/>
                <w:lang w:eastAsia="zh-CN"/>
              </w:rPr>
            </w:pPr>
            <w:r>
              <w:rPr>
                <w:rFonts w:hint="eastAsia" w:cs="Times New Roman"/>
                <w:color w:val="auto"/>
                <w:spacing w:val="0"/>
                <w:sz w:val="24"/>
                <w:szCs w:val="24"/>
                <w:highlight w:val="none"/>
                <w:u w:val="none"/>
                <w:lang w:val="en-US" w:eastAsia="zh-CN"/>
              </w:rPr>
              <w:t>本项目运营期生活污水经化粪池预处理后，排入市政污水管网纳入福清市融元污水处理厂</w:t>
            </w:r>
            <w:r>
              <w:rPr>
                <w:rFonts w:hint="eastAsia" w:ascii="Times New Roman" w:hAnsi="Times New Roman" w:eastAsia="宋体" w:cs="Times New Roman"/>
                <w:color w:val="auto"/>
                <w:spacing w:val="0"/>
                <w:sz w:val="24"/>
                <w:szCs w:val="24"/>
                <w:highlight w:val="none"/>
                <w:u w:val="none"/>
                <w:lang w:eastAsia="zh-CN"/>
              </w:rPr>
              <w:t>进行集中</w:t>
            </w:r>
            <w:r>
              <w:rPr>
                <w:rFonts w:hint="default" w:ascii="Times New Roman" w:hAnsi="Times New Roman" w:eastAsia="宋体" w:cs="Times New Roman"/>
                <w:color w:val="auto"/>
                <w:spacing w:val="0"/>
                <w:sz w:val="24"/>
                <w:szCs w:val="24"/>
                <w:highlight w:val="none"/>
                <w:u w:val="none"/>
                <w:lang w:eastAsia="zh-CN"/>
              </w:rPr>
              <w:t>处理</w:t>
            </w:r>
            <w:r>
              <w:rPr>
                <w:rFonts w:hint="eastAsia" w:ascii="Times New Roman" w:hAnsi="Times New Roman" w:eastAsia="宋体" w:cs="Times New Roman"/>
                <w:color w:val="auto"/>
                <w:spacing w:val="0"/>
                <w:sz w:val="24"/>
                <w:szCs w:val="24"/>
                <w:highlight w:val="none"/>
                <w:u w:val="none"/>
                <w:lang w:eastAsia="zh-CN"/>
              </w:rPr>
              <w:t>。产生的废水均不直接进入水体，</w:t>
            </w:r>
            <w:r>
              <w:rPr>
                <w:rFonts w:hint="default" w:ascii="Times New Roman" w:hAnsi="Times New Roman" w:eastAsia="宋体" w:cs="Times New Roman"/>
                <w:color w:val="auto"/>
                <w:spacing w:val="0"/>
                <w:sz w:val="24"/>
                <w:szCs w:val="24"/>
                <w:highlight w:val="none"/>
                <w:u w:val="none"/>
                <w:lang w:eastAsia="zh-CN"/>
              </w:rPr>
              <w:t>对区域水环境影响不大</w:t>
            </w:r>
            <w:r>
              <w:rPr>
                <w:rFonts w:hint="eastAsia" w:ascii="Times New Roman" w:hAnsi="Times New Roman" w:eastAsia="宋体" w:cs="Times New Roman"/>
                <w:color w:val="auto"/>
                <w:spacing w:val="0"/>
                <w:sz w:val="24"/>
                <w:szCs w:val="24"/>
                <w:highlight w:val="none"/>
                <w:u w:val="none"/>
                <w:lang w:eastAsia="zh-CN"/>
              </w:rPr>
              <w:t>。产生的废气采取相应的废气治理措施处理后达标排放，对周边环境的影响可接受。在采取隔声、降噪、减振以及合理布局等相应的噪声治理措施后</w:t>
            </w:r>
            <w:r>
              <w:rPr>
                <w:rFonts w:hint="default" w:ascii="Times New Roman" w:hAnsi="Times New Roman" w:eastAsia="宋体" w:cs="Times New Roman"/>
                <w:color w:val="auto"/>
                <w:spacing w:val="0"/>
                <w:sz w:val="24"/>
                <w:szCs w:val="24"/>
                <w:highlight w:val="none"/>
                <w:u w:val="none"/>
                <w:lang w:eastAsia="zh-CN"/>
              </w:rPr>
              <w:t>，</w:t>
            </w:r>
            <w:r>
              <w:rPr>
                <w:rFonts w:hint="eastAsia" w:ascii="Times New Roman" w:hAnsi="Times New Roman" w:eastAsia="宋体" w:cs="Times New Roman"/>
                <w:color w:val="auto"/>
                <w:spacing w:val="0"/>
                <w:sz w:val="24"/>
                <w:szCs w:val="24"/>
                <w:highlight w:val="none"/>
                <w:u w:val="none"/>
                <w:lang w:eastAsia="zh-CN"/>
              </w:rPr>
              <w:t>噪声源对</w:t>
            </w:r>
            <w:r>
              <w:rPr>
                <w:rFonts w:hint="default" w:ascii="Times New Roman" w:hAnsi="Times New Roman" w:eastAsia="宋体" w:cs="Times New Roman"/>
                <w:color w:val="auto"/>
                <w:spacing w:val="0"/>
                <w:sz w:val="24"/>
                <w:szCs w:val="24"/>
                <w:highlight w:val="none"/>
                <w:u w:val="none"/>
                <w:lang w:eastAsia="zh-CN"/>
              </w:rPr>
              <w:t>厂界的贡献值</w:t>
            </w:r>
            <w:r>
              <w:rPr>
                <w:rFonts w:hint="eastAsia" w:ascii="Times New Roman" w:hAnsi="Times New Roman" w:eastAsia="宋体" w:cs="Times New Roman"/>
                <w:color w:val="auto"/>
                <w:spacing w:val="0"/>
                <w:sz w:val="24"/>
                <w:szCs w:val="24"/>
                <w:highlight w:val="none"/>
                <w:u w:val="none"/>
                <w:lang w:eastAsia="zh-CN"/>
              </w:rPr>
              <w:t>可以满足噪声排放标准限值要求</w:t>
            </w:r>
            <w:r>
              <w:rPr>
                <w:rFonts w:hint="default" w:ascii="Times New Roman" w:hAnsi="Times New Roman" w:eastAsia="宋体" w:cs="Times New Roman"/>
                <w:color w:val="auto"/>
                <w:spacing w:val="0"/>
                <w:sz w:val="24"/>
                <w:szCs w:val="24"/>
                <w:highlight w:val="none"/>
                <w:u w:val="none"/>
                <w:lang w:eastAsia="zh-CN"/>
              </w:rPr>
              <w:t>。</w:t>
            </w:r>
            <w:r>
              <w:rPr>
                <w:rFonts w:hint="eastAsia" w:ascii="Times New Roman" w:hAnsi="Times New Roman" w:eastAsia="宋体" w:cs="Times New Roman"/>
                <w:color w:val="auto"/>
                <w:spacing w:val="0"/>
                <w:sz w:val="24"/>
                <w:szCs w:val="24"/>
                <w:highlight w:val="none"/>
                <w:u w:val="none"/>
                <w:lang w:eastAsia="zh-CN"/>
              </w:rPr>
              <w:t>全厂</w:t>
            </w:r>
            <w:r>
              <w:rPr>
                <w:rFonts w:hint="default" w:ascii="Times New Roman" w:hAnsi="Times New Roman" w:eastAsia="宋体" w:cs="Times New Roman"/>
                <w:color w:val="auto"/>
                <w:spacing w:val="0"/>
                <w:sz w:val="24"/>
                <w:szCs w:val="24"/>
                <w:highlight w:val="none"/>
                <w:u w:val="none"/>
                <w:lang w:eastAsia="zh-CN"/>
              </w:rPr>
              <w:t>各类固废均得到合理处置</w:t>
            </w:r>
            <w:r>
              <w:rPr>
                <w:rFonts w:hint="eastAsia" w:ascii="Times New Roman" w:hAnsi="Times New Roman" w:eastAsia="宋体" w:cs="Times New Roman"/>
                <w:color w:val="auto"/>
                <w:spacing w:val="0"/>
                <w:sz w:val="24"/>
                <w:szCs w:val="24"/>
                <w:highlight w:val="none"/>
                <w:u w:val="none"/>
                <w:lang w:eastAsia="zh-CN"/>
              </w:rPr>
              <w:t>，</w:t>
            </w:r>
            <w:r>
              <w:rPr>
                <w:rFonts w:hint="default" w:ascii="Times New Roman" w:hAnsi="Times New Roman" w:eastAsia="宋体" w:cs="Times New Roman"/>
                <w:color w:val="auto"/>
                <w:spacing w:val="0"/>
                <w:sz w:val="24"/>
                <w:szCs w:val="24"/>
                <w:highlight w:val="none"/>
                <w:u w:val="none"/>
                <w:lang w:eastAsia="zh-CN"/>
              </w:rPr>
              <w:t>不会对周边环境产生影响。</w:t>
            </w:r>
            <w:r>
              <w:rPr>
                <w:rFonts w:hint="eastAsia" w:ascii="Times New Roman" w:hAnsi="Times New Roman" w:eastAsia="宋体" w:cs="Times New Roman"/>
                <w:color w:val="auto"/>
                <w:spacing w:val="0"/>
                <w:sz w:val="24"/>
                <w:szCs w:val="24"/>
                <w:highlight w:val="none"/>
                <w:u w:val="none"/>
                <w:lang w:eastAsia="zh-CN"/>
              </w:rPr>
              <w:t>因此，在</w:t>
            </w:r>
            <w:r>
              <w:rPr>
                <w:rFonts w:hint="default" w:ascii="Times New Roman" w:hAnsi="Times New Roman" w:eastAsia="宋体" w:cs="Times New Roman"/>
                <w:color w:val="auto"/>
                <w:spacing w:val="0"/>
                <w:sz w:val="24"/>
                <w:szCs w:val="24"/>
                <w:highlight w:val="none"/>
                <w:u w:val="none"/>
                <w:lang w:eastAsia="zh-CN"/>
              </w:rPr>
              <w:t>采取相关</w:t>
            </w:r>
            <w:r>
              <w:rPr>
                <w:rFonts w:hint="eastAsia" w:ascii="Times New Roman" w:hAnsi="Times New Roman" w:eastAsia="宋体" w:cs="Times New Roman"/>
                <w:color w:val="auto"/>
                <w:spacing w:val="0"/>
                <w:sz w:val="24"/>
                <w:szCs w:val="24"/>
                <w:highlight w:val="none"/>
                <w:u w:val="none"/>
                <w:lang w:eastAsia="zh-CN"/>
              </w:rPr>
              <w:t>污染</w:t>
            </w:r>
            <w:r>
              <w:rPr>
                <w:rFonts w:hint="default" w:ascii="Times New Roman" w:hAnsi="Times New Roman" w:eastAsia="宋体" w:cs="Times New Roman"/>
                <w:color w:val="auto"/>
                <w:spacing w:val="0"/>
                <w:sz w:val="24"/>
                <w:szCs w:val="24"/>
                <w:highlight w:val="none"/>
                <w:u w:val="none"/>
                <w:lang w:eastAsia="zh-CN"/>
              </w:rPr>
              <w:t>防治</w:t>
            </w:r>
            <w:r>
              <w:rPr>
                <w:rFonts w:hint="eastAsia" w:ascii="Times New Roman" w:hAnsi="Times New Roman" w:eastAsia="宋体" w:cs="Times New Roman"/>
                <w:color w:val="auto"/>
                <w:spacing w:val="0"/>
                <w:sz w:val="24"/>
                <w:szCs w:val="24"/>
                <w:highlight w:val="none"/>
                <w:u w:val="none"/>
                <w:lang w:eastAsia="zh-CN"/>
              </w:rPr>
              <w:t>治理</w:t>
            </w:r>
            <w:r>
              <w:rPr>
                <w:rFonts w:hint="default" w:ascii="Times New Roman" w:hAnsi="Times New Roman" w:eastAsia="宋体" w:cs="Times New Roman"/>
                <w:color w:val="auto"/>
                <w:spacing w:val="0"/>
                <w:sz w:val="24"/>
                <w:szCs w:val="24"/>
                <w:highlight w:val="none"/>
                <w:u w:val="none"/>
                <w:lang w:eastAsia="zh-CN"/>
              </w:rPr>
              <w:t>措施后，项目排放的污染物不会突破区域的环境质量底线。因此，项目建设符合环境功能规划。</w:t>
            </w:r>
          </w:p>
          <w:p w14:paraId="6711E3D9">
            <w:pPr>
              <w:keepNext w:val="0"/>
              <w:keepLines w:val="0"/>
              <w:suppressLineNumbers w:val="0"/>
              <w:bidi w:val="0"/>
              <w:spacing w:before="0" w:beforeAutospacing="0" w:after="0" w:afterAutospacing="0"/>
              <w:ind w:left="0" w:right="0"/>
              <w:rPr>
                <w:rFonts w:hint="default"/>
              </w:rPr>
            </w:pPr>
            <w:r>
              <w:rPr>
                <w:rFonts w:hint="eastAsia"/>
                <w:lang w:eastAsia="zh-CN"/>
              </w:rPr>
              <w:t>（</w:t>
            </w:r>
            <w:r>
              <w:rPr>
                <w:rFonts w:hint="eastAsia"/>
                <w:lang w:val="en-US" w:eastAsia="zh-CN"/>
              </w:rPr>
              <w:t>3</w:t>
            </w:r>
            <w:r>
              <w:rPr>
                <w:rFonts w:hint="eastAsia"/>
                <w:lang w:eastAsia="zh-CN"/>
              </w:rPr>
              <w:t>）</w:t>
            </w:r>
            <w:r>
              <w:rPr>
                <w:rFonts w:hint="default"/>
              </w:rPr>
              <w:t>资源利用上线：项目用电为区域集中供应，项目的水、气等资源利用不会突破区域的资源利用上线。本项目使用电能作为主要消耗能源，电能属于清洁能源。</w:t>
            </w:r>
            <w:r>
              <w:rPr>
                <w:rFonts w:hint="eastAsia"/>
              </w:rPr>
              <w:t>项目资源的消耗量不大，不属于高耗能资源消耗型企业。项目建成运行后通过内部管理、设备选择、原辅材料的选用和管理、污染治理等多方面采取合理、可行、有效的防治措施，以</w:t>
            </w:r>
            <w:r>
              <w:rPr>
                <w:rFonts w:hint="eastAsia"/>
                <w:lang w:eastAsia="zh-CN"/>
              </w:rPr>
              <w:t>“</w:t>
            </w:r>
            <w:r>
              <w:rPr>
                <w:rFonts w:hint="eastAsia"/>
              </w:rPr>
              <w:t>节能、降耗、减污</w:t>
            </w:r>
            <w:r>
              <w:rPr>
                <w:rFonts w:hint="eastAsia"/>
                <w:lang w:eastAsia="zh-CN"/>
              </w:rPr>
              <w:t>”</w:t>
            </w:r>
            <w:r>
              <w:rPr>
                <w:rFonts w:hint="eastAsia"/>
              </w:rPr>
              <w:t>为目标，可有效控制污染及资源利用水平。项目不会突破区域资源利用</w:t>
            </w:r>
            <w:r>
              <w:rPr>
                <w:rFonts w:hint="eastAsia"/>
                <w:lang w:eastAsia="zh-CN"/>
              </w:rPr>
              <w:t>上限</w:t>
            </w:r>
          </w:p>
          <w:p w14:paraId="0BC2C29F">
            <w:pPr>
              <w:keepNext w:val="0"/>
              <w:keepLines w:val="0"/>
              <w:suppressLineNumbers w:val="0"/>
              <w:bidi w:val="0"/>
              <w:spacing w:before="0" w:beforeAutospacing="0" w:after="0" w:afterAutospacing="0"/>
              <w:ind w:left="0" w:right="0"/>
              <w:rPr>
                <w:rFonts w:hint="default"/>
              </w:rPr>
            </w:pPr>
            <w:r>
              <w:rPr>
                <w:rFonts w:hint="eastAsia"/>
                <w:lang w:eastAsia="zh-CN"/>
              </w:rPr>
              <w:t>（</w:t>
            </w:r>
            <w:r>
              <w:rPr>
                <w:rFonts w:hint="eastAsia"/>
                <w:lang w:val="en-US" w:eastAsia="zh-CN"/>
              </w:rPr>
              <w:t>4</w:t>
            </w:r>
            <w:r>
              <w:rPr>
                <w:rFonts w:hint="eastAsia"/>
                <w:lang w:eastAsia="zh-CN"/>
              </w:rPr>
              <w:t>）</w:t>
            </w:r>
            <w:r>
              <w:rPr>
                <w:rFonts w:hint="default"/>
              </w:rPr>
              <w:t>环境准入负面清单</w:t>
            </w:r>
          </w:p>
          <w:p w14:paraId="446B924E">
            <w:pPr>
              <w:keepNext w:val="0"/>
              <w:keepLines w:val="0"/>
              <w:suppressLineNumbers w:val="0"/>
              <w:bidi w:val="0"/>
              <w:spacing w:before="0" w:beforeAutospacing="0" w:after="0" w:afterAutospacing="0"/>
              <w:ind w:left="0" w:right="0"/>
              <w:rPr>
                <w:rFonts w:hint="default"/>
                <w:lang w:eastAsia="zh-CN"/>
              </w:rPr>
            </w:pPr>
            <w:r>
              <w:rPr>
                <w:rFonts w:hint="default"/>
              </w:rPr>
              <w:t>本项目不属于《</w:t>
            </w:r>
            <w:r>
              <w:rPr>
                <w:rFonts w:hint="default"/>
                <w:lang w:eastAsia="zh-CN"/>
              </w:rPr>
              <w:t>产业结构调整指导目录</w:t>
            </w:r>
            <w:r>
              <w:rPr>
                <w:rFonts w:hint="eastAsia"/>
                <w:lang w:eastAsia="zh-CN"/>
              </w:rPr>
              <w:t>（</w:t>
            </w:r>
            <w:r>
              <w:rPr>
                <w:rFonts w:hint="default"/>
                <w:lang w:val="en-US" w:eastAsia="zh-CN"/>
              </w:rPr>
              <w:t>2024</w:t>
            </w:r>
            <w:r>
              <w:rPr>
                <w:rFonts w:hint="eastAsia"/>
                <w:lang w:val="en-US" w:eastAsia="zh-CN"/>
              </w:rPr>
              <w:t>）</w:t>
            </w:r>
            <w:r>
              <w:rPr>
                <w:rFonts w:hint="default"/>
              </w:rPr>
              <w:t>》中限制或淘汰类；满足《市场准入负面清单草案</w:t>
            </w:r>
            <w:r>
              <w:rPr>
                <w:rFonts w:hint="eastAsia"/>
                <w:lang w:eastAsia="zh-CN"/>
              </w:rPr>
              <w:t>（</w:t>
            </w:r>
            <w:r>
              <w:rPr>
                <w:rFonts w:hint="default"/>
              </w:rPr>
              <w:t>试点版</w:t>
            </w:r>
            <w:r>
              <w:rPr>
                <w:rFonts w:hint="eastAsia"/>
                <w:lang w:eastAsia="zh-CN"/>
              </w:rPr>
              <w:t>）</w:t>
            </w:r>
            <w:r>
              <w:rPr>
                <w:rFonts w:hint="default"/>
              </w:rPr>
              <w:t>》</w:t>
            </w:r>
            <w:r>
              <w:rPr>
                <w:rFonts w:hint="eastAsia"/>
                <w:lang w:eastAsia="zh-CN"/>
              </w:rPr>
              <w:t>（</w:t>
            </w:r>
            <w:r>
              <w:rPr>
                <w:rFonts w:hint="default"/>
              </w:rPr>
              <w:t>发改经体〔2016〕442号</w:t>
            </w:r>
            <w:r>
              <w:rPr>
                <w:rFonts w:hint="eastAsia"/>
                <w:lang w:eastAsia="zh-CN"/>
              </w:rPr>
              <w:t>）</w:t>
            </w:r>
            <w:r>
              <w:rPr>
                <w:rFonts w:hint="default"/>
              </w:rPr>
              <w:t>；项目无行业准入条件；不属于《福建省人民政府关于加强重点流域水环境</w:t>
            </w:r>
            <w:r>
              <w:rPr>
                <w:rFonts w:hint="default"/>
                <w:lang w:eastAsia="zh-CN"/>
              </w:rPr>
              <w:t>综合</w:t>
            </w:r>
            <w:r>
              <w:rPr>
                <w:rFonts w:hint="default"/>
              </w:rPr>
              <w:t>整治的意见》中禁止的产业；满足《福建省工业建设项目投资强度控制指标》相关要求；</w:t>
            </w:r>
            <w:r>
              <w:rPr>
                <w:rFonts w:hint="default"/>
                <w:lang w:eastAsia="zh-CN"/>
              </w:rPr>
              <w:t>项目符合国家产业政策，符合《福建省人民政府关于实施</w:t>
            </w:r>
            <w:r>
              <w:rPr>
                <w:rFonts w:hint="eastAsia"/>
                <w:lang w:eastAsia="zh-CN"/>
              </w:rPr>
              <w:t>“</w:t>
            </w:r>
            <w:r>
              <w:rPr>
                <w:rFonts w:hint="default"/>
                <w:lang w:eastAsia="zh-CN"/>
              </w:rPr>
              <w:t>三线一单</w:t>
            </w:r>
            <w:r>
              <w:rPr>
                <w:rFonts w:hint="eastAsia"/>
                <w:lang w:eastAsia="zh-CN"/>
              </w:rPr>
              <w:t>”</w:t>
            </w:r>
            <w:r>
              <w:rPr>
                <w:rFonts w:hint="default"/>
                <w:lang w:eastAsia="zh-CN"/>
              </w:rPr>
              <w:t>生态环境分区管控的通知</w:t>
            </w:r>
            <w:r>
              <w:rPr>
                <w:rFonts w:hint="eastAsia"/>
                <w:lang w:eastAsia="zh-CN"/>
              </w:rPr>
              <w:t>（</w:t>
            </w:r>
            <w:r>
              <w:rPr>
                <w:rFonts w:hint="default"/>
                <w:lang w:eastAsia="zh-CN"/>
              </w:rPr>
              <w:t>闽政〔2020〕12号</w:t>
            </w:r>
            <w:r>
              <w:rPr>
                <w:rFonts w:hint="eastAsia"/>
                <w:lang w:eastAsia="zh-CN"/>
              </w:rPr>
              <w:t>）</w:t>
            </w:r>
            <w:r>
              <w:rPr>
                <w:rFonts w:hint="default"/>
                <w:lang w:eastAsia="zh-CN"/>
              </w:rPr>
              <w:t>》全省生态环境总体准入要求及</w:t>
            </w:r>
            <w:r>
              <w:rPr>
                <w:rFonts w:hint="default"/>
              </w:rPr>
              <w:t>《</w:t>
            </w:r>
            <w:r>
              <w:rPr>
                <w:rFonts w:hint="default"/>
                <w:lang w:val="en-GB" w:eastAsia="zh-CN"/>
              </w:rPr>
              <w:t>福州市人民政府关于实施</w:t>
            </w:r>
            <w:r>
              <w:rPr>
                <w:rFonts w:hint="eastAsia"/>
                <w:lang w:val="en-GB" w:eastAsia="zh-CN"/>
              </w:rPr>
              <w:t>“</w:t>
            </w:r>
            <w:r>
              <w:rPr>
                <w:rFonts w:hint="default"/>
                <w:lang w:val="en-GB" w:eastAsia="zh-CN"/>
              </w:rPr>
              <w:t>三线一单</w:t>
            </w:r>
            <w:r>
              <w:rPr>
                <w:rFonts w:hint="eastAsia"/>
                <w:lang w:val="en-GB" w:eastAsia="zh-CN"/>
              </w:rPr>
              <w:t>”</w:t>
            </w:r>
            <w:r>
              <w:rPr>
                <w:rFonts w:hint="default"/>
                <w:lang w:val="en-GB" w:eastAsia="zh-CN"/>
              </w:rPr>
              <w:t>生态分区管控的通知</w:t>
            </w:r>
            <w:r>
              <w:rPr>
                <w:rFonts w:hint="default"/>
              </w:rPr>
              <w:t>》</w:t>
            </w:r>
            <w:r>
              <w:rPr>
                <w:rFonts w:hint="eastAsia"/>
                <w:lang w:eastAsia="zh-CN"/>
              </w:rPr>
              <w:t>（</w:t>
            </w:r>
            <w:r>
              <w:rPr>
                <w:rFonts w:hint="default"/>
              </w:rPr>
              <w:t>榕政综〔2021〕178号</w:t>
            </w:r>
            <w:r>
              <w:rPr>
                <w:rFonts w:hint="eastAsia"/>
                <w:lang w:eastAsia="zh-CN"/>
              </w:rPr>
              <w:t>）</w:t>
            </w:r>
            <w:r>
              <w:rPr>
                <w:rFonts w:hint="default"/>
                <w:lang w:eastAsia="zh-CN"/>
              </w:rPr>
              <w:t>、</w:t>
            </w:r>
            <w:r>
              <w:rPr>
                <w:rFonts w:hint="default"/>
                <w:lang w:val="en-US" w:eastAsia="zh-CN"/>
              </w:rPr>
              <w:t>《</w:t>
            </w:r>
            <w:r>
              <w:rPr>
                <w:rFonts w:hint="eastAsia"/>
                <w:lang w:val="en-US" w:eastAsia="zh-CN"/>
              </w:rPr>
              <w:t>福州市生态环境局关于发布福州市2024年生产环境分区管控动态更新成果的通知</w:t>
            </w:r>
            <w:r>
              <w:rPr>
                <w:rFonts w:hint="default"/>
                <w:lang w:val="en-US" w:eastAsia="zh-CN"/>
              </w:rPr>
              <w:t>》</w:t>
            </w:r>
            <w:r>
              <w:rPr>
                <w:rFonts w:hint="eastAsia"/>
                <w:lang w:val="en-US" w:eastAsia="zh-CN"/>
              </w:rPr>
              <w:t>（榕环保综</w:t>
            </w:r>
            <w:r>
              <w:rPr>
                <w:rFonts w:hint="default"/>
              </w:rPr>
              <w:t>〔202</w:t>
            </w:r>
            <w:r>
              <w:rPr>
                <w:rFonts w:hint="eastAsia"/>
                <w:lang w:val="en-US" w:eastAsia="zh-CN"/>
              </w:rPr>
              <w:t>5</w:t>
            </w:r>
            <w:r>
              <w:rPr>
                <w:rFonts w:hint="default"/>
              </w:rPr>
              <w:t>〕</w:t>
            </w:r>
            <w:r>
              <w:rPr>
                <w:rFonts w:hint="eastAsia"/>
                <w:lang w:val="en-US" w:eastAsia="zh-CN"/>
              </w:rPr>
              <w:t>1号）</w:t>
            </w:r>
            <w:r>
              <w:rPr>
                <w:rFonts w:hint="default"/>
                <w:lang w:eastAsia="zh-CN"/>
              </w:rPr>
              <w:t>的要求；不属于《市场准入负面清单》</w:t>
            </w:r>
            <w:r>
              <w:rPr>
                <w:rFonts w:hint="eastAsia"/>
                <w:lang w:eastAsia="zh-CN"/>
              </w:rPr>
              <w:t>（</w:t>
            </w:r>
            <w:r>
              <w:rPr>
                <w:rFonts w:hint="default"/>
                <w:lang w:eastAsia="zh-CN"/>
              </w:rPr>
              <w:t>2020年版</w:t>
            </w:r>
            <w:r>
              <w:rPr>
                <w:rFonts w:hint="eastAsia"/>
                <w:lang w:eastAsia="zh-CN"/>
              </w:rPr>
              <w:t>）</w:t>
            </w:r>
            <w:r>
              <w:rPr>
                <w:rFonts w:hint="default"/>
                <w:lang w:eastAsia="zh-CN"/>
              </w:rPr>
              <w:t>中禁止准入类的项目。</w:t>
            </w:r>
          </w:p>
          <w:p w14:paraId="1298638B">
            <w:pPr>
              <w:pStyle w:val="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与省、市生态环境分区管控的要求的符合性分析</w:t>
            </w:r>
          </w:p>
          <w:p w14:paraId="452D4389">
            <w:pPr>
              <w:keepNext w:val="0"/>
              <w:keepLines w:val="0"/>
              <w:suppressLineNumbers w:val="0"/>
              <w:bidi w:val="0"/>
              <w:spacing w:before="0" w:beforeAutospacing="0" w:after="0" w:afterAutospacing="0"/>
              <w:ind w:left="0" w:right="0"/>
              <w:rPr>
                <w:rFonts w:hint="eastAsia"/>
                <w:b w:val="0"/>
                <w:bCs w:val="0"/>
                <w:iCs w:val="0"/>
              </w:rPr>
            </w:pPr>
            <w:r>
              <w:rPr>
                <w:rFonts w:hint="eastAsia" w:ascii="Times New Roman" w:hAnsi="Times New Roman"/>
                <w:sz w:val="24"/>
                <w:szCs w:val="24"/>
                <w:lang w:val="en-US" w:eastAsia="zh-CN"/>
              </w:rPr>
              <w:t>根据《福建省人民政府关于实施</w:t>
            </w:r>
            <w:r>
              <w:rPr>
                <w:rFonts w:hint="eastAsia"/>
                <w:sz w:val="24"/>
                <w:szCs w:val="24"/>
                <w:lang w:val="en-US" w:eastAsia="zh-CN"/>
              </w:rPr>
              <w:t>“</w:t>
            </w:r>
            <w:r>
              <w:rPr>
                <w:rFonts w:hint="eastAsia" w:ascii="Times New Roman" w:hAnsi="Times New Roman"/>
                <w:sz w:val="24"/>
                <w:szCs w:val="24"/>
                <w:lang w:val="en-US" w:eastAsia="zh-CN"/>
              </w:rPr>
              <w:t>三线一单</w:t>
            </w:r>
            <w:r>
              <w:rPr>
                <w:rFonts w:hint="eastAsia"/>
                <w:sz w:val="24"/>
                <w:szCs w:val="24"/>
                <w:lang w:val="en-US" w:eastAsia="zh-CN"/>
              </w:rPr>
              <w:t>”</w:t>
            </w:r>
            <w:r>
              <w:rPr>
                <w:rFonts w:hint="eastAsia" w:ascii="Times New Roman" w:hAnsi="Times New Roman"/>
                <w:sz w:val="24"/>
                <w:szCs w:val="24"/>
                <w:lang w:val="en-US" w:eastAsia="zh-CN"/>
              </w:rPr>
              <w:t>生态环境分区管控的通知》（闽政〔2020〕12号）《中共福建省委办公厅 福建省人民政府办公厅关于加强生态环境分区管控的实施意见》（2024年11月10日）和《福州市生态环境局关于发布福州市</w:t>
            </w:r>
            <w:r>
              <w:rPr>
                <w:rFonts w:hint="eastAsia" w:ascii="Times New Roman" w:hAnsi="Times New Roman"/>
                <w:sz w:val="24"/>
                <w:szCs w:val="24"/>
                <w:highlight w:val="none"/>
                <w:lang w:val="en-US" w:eastAsia="zh-CN"/>
              </w:rPr>
              <w:t>2024年生态环境分区管控动态更新成果的通知》（榕环保综〔2025〕1号）以及</w:t>
            </w:r>
            <w:r>
              <w:rPr>
                <w:rFonts w:hint="default" w:ascii="Times New Roman" w:hAnsi="Times New Roman" w:eastAsia="宋体" w:cs="Times New Roman"/>
                <w:color w:val="auto"/>
                <w:sz w:val="24"/>
                <w:szCs w:val="24"/>
                <w:highlight w:val="none"/>
                <w:shd w:val="clear" w:color="auto" w:fill="auto"/>
                <w:lang w:val="en-US" w:eastAsia="zh-CN"/>
              </w:rPr>
              <w:t>《福建省生态环境分区管控综合查询报告》报告编</w:t>
            </w:r>
            <w:r>
              <w:rPr>
                <w:rFonts w:hint="default" w:ascii="Times New Roman" w:hAnsi="Times New Roman"/>
                <w:sz w:val="24"/>
                <w:szCs w:val="24"/>
                <w:highlight w:val="none"/>
                <w:lang w:val="en-US" w:eastAsia="zh-CN"/>
              </w:rPr>
              <w:t>号：FQGK1767581769633。</w:t>
            </w:r>
            <w:r>
              <w:rPr>
                <w:rFonts w:hint="default" w:ascii="Times New Roman" w:hAnsi="Times New Roman" w:eastAsia="宋体" w:cs="Times New Roman"/>
                <w:color w:val="auto"/>
                <w:sz w:val="24"/>
                <w:szCs w:val="24"/>
                <w:highlight w:val="none"/>
                <w:lang w:val="en-US" w:eastAsia="zh-CN"/>
              </w:rPr>
              <w:t>本项目</w:t>
            </w:r>
            <w:r>
              <w:rPr>
                <w:rFonts w:hint="eastAsia" w:ascii="Times New Roman" w:hAnsi="Times New Roman" w:eastAsia="宋体" w:cs="Times New Roman"/>
                <w:b w:val="0"/>
                <w:bCs w:val="0"/>
                <w:color w:val="auto"/>
                <w:kern w:val="2"/>
                <w:sz w:val="24"/>
                <w:szCs w:val="24"/>
                <w:highlight w:val="none"/>
                <w:lang w:val="en-US" w:eastAsia="zh-CN" w:bidi="ar-SA"/>
              </w:rPr>
              <w:t>位于</w:t>
            </w:r>
            <w:r>
              <w:rPr>
                <w:rFonts w:hint="eastAsia"/>
                <w:highlight w:val="none"/>
                <w:lang w:val="en-GB" w:eastAsia="zh-CN"/>
              </w:rPr>
              <w:t>福建省福州市福清融侨经济技术开发区内（福建省福州市福清市阳下街道玉岭村147号车间2三楼）</w:t>
            </w:r>
            <w:r>
              <w:rPr>
                <w:rFonts w:hint="default" w:ascii="Times New Roman" w:hAnsi="Times New Roman" w:eastAsia="宋体" w:cs="Times New Roman"/>
                <w:color w:val="auto"/>
                <w:sz w:val="24"/>
                <w:szCs w:val="24"/>
                <w:highlight w:val="none"/>
                <w:lang w:val="en-US" w:eastAsia="zh-CN"/>
              </w:rPr>
              <w:t>，在</w:t>
            </w:r>
            <w:r>
              <w:rPr>
                <w:rFonts w:hint="eastAsia" w:cs="Times New Roman"/>
                <w:color w:val="auto"/>
                <w:sz w:val="24"/>
                <w:szCs w:val="24"/>
                <w:highlight w:val="none"/>
                <w:lang w:val="en-US" w:eastAsia="zh-CN"/>
              </w:rPr>
              <w:t>洪宽工业区</w:t>
            </w:r>
            <w:r>
              <w:rPr>
                <w:rFonts w:hint="eastAsia" w:ascii="Times New Roman" w:hAnsi="Times New Roman" w:cs="Times New Roman"/>
                <w:color w:val="auto"/>
                <w:sz w:val="24"/>
                <w:szCs w:val="24"/>
                <w:highlight w:val="none"/>
                <w:lang w:val="en-US" w:eastAsia="zh-CN"/>
              </w:rPr>
              <w:t>（工业园区）内</w:t>
            </w:r>
            <w:r>
              <w:rPr>
                <w:rFonts w:hint="eastAsia" w:cs="Times New Roman"/>
                <w:color w:val="auto"/>
                <w:sz w:val="24"/>
                <w:szCs w:val="24"/>
                <w:highlight w:val="none"/>
                <w:lang w:val="en-US" w:eastAsia="zh-CN"/>
              </w:rPr>
              <w:t>且</w:t>
            </w:r>
            <w:r>
              <w:rPr>
                <w:rFonts w:hint="default" w:ascii="Times New Roman" w:hAnsi="Times New Roman" w:eastAsia="宋体" w:cs="Times New Roman"/>
                <w:color w:val="auto"/>
                <w:sz w:val="24"/>
                <w:szCs w:val="24"/>
                <w:highlight w:val="none"/>
                <w:lang w:val="en-US" w:eastAsia="zh-CN"/>
              </w:rPr>
              <w:t>项目属于塑料零件及其他塑料制品制造</w:t>
            </w:r>
            <w:r>
              <w:rPr>
                <w:rFonts w:hint="eastAsia"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金属表面处理及热处理加工，不属于</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福州市生态环境总体准入要求</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中</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空间</w:t>
            </w:r>
            <w:r>
              <w:rPr>
                <w:rFonts w:hint="default" w:ascii="Times New Roman" w:hAnsi="Times New Roman" w:eastAsia="宋体" w:cs="Times New Roman"/>
                <w:color w:val="auto"/>
                <w:sz w:val="24"/>
                <w:szCs w:val="24"/>
                <w:highlight w:val="none"/>
                <w:lang w:val="en-US" w:eastAsia="zh-CN"/>
              </w:rPr>
              <w:t>布局约束</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的工业区及特别规定的行业。</w:t>
            </w:r>
            <w:r>
              <w:rPr>
                <w:rFonts w:hint="default" w:ascii="Times New Roman" w:hAnsi="Times New Roman" w:eastAsia="宋体" w:cs="Times New Roman"/>
                <w:color w:val="auto"/>
                <w:sz w:val="24"/>
                <w:szCs w:val="24"/>
                <w:highlight w:val="none"/>
                <w:shd w:val="clear" w:color="auto" w:fill="auto"/>
                <w:lang w:val="en-US" w:eastAsia="zh-CN"/>
              </w:rPr>
              <w:t>全省生态环境总体准入要求符合性分析如下。</w:t>
            </w:r>
            <w:r>
              <w:rPr>
                <w:rFonts w:hint="default" w:ascii="Times New Roman" w:hAnsi="Times New Roman" w:eastAsia="宋体" w:cs="Times New Roman"/>
                <w:color w:val="auto"/>
                <w:sz w:val="24"/>
                <w:szCs w:val="24"/>
                <w:highlight w:val="none"/>
              </w:rPr>
              <w:t>相关要求分析见表1.1-</w:t>
            </w:r>
            <w:r>
              <w:rPr>
                <w:rFonts w:hint="eastAsia" w:ascii="Times New Roman" w:hAnsi="Times New Roman"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与福州市生态环境总体准入要求进行对照分析，</w:t>
            </w:r>
            <w:r>
              <w:rPr>
                <w:rFonts w:hint="default" w:ascii="Times New Roman" w:hAnsi="Times New Roman" w:eastAsia="宋体" w:cs="Times New Roman"/>
                <w:color w:val="auto"/>
                <w:sz w:val="24"/>
                <w:szCs w:val="24"/>
                <w:highlight w:val="none"/>
              </w:rPr>
              <w:t>具体见表1</w:t>
            </w:r>
            <w:r>
              <w:rPr>
                <w:rFonts w:hint="default" w:ascii="Times New Roman" w:hAnsi="Times New Roman" w:eastAsia="宋体" w:cs="Times New Roman"/>
                <w:color w:val="auto"/>
                <w:sz w:val="24"/>
                <w:szCs w:val="24"/>
                <w:highlight w:val="none"/>
                <w:lang w:val="en-US" w:eastAsia="zh-CN"/>
              </w:rPr>
              <w:t>.1-</w:t>
            </w:r>
            <w:r>
              <w:rPr>
                <w:rFonts w:hint="eastAsia" w:ascii="Times New Roman" w:hAnsi="Times New Roman"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sz w:val="24"/>
                <w:szCs w:val="24"/>
              </w:rPr>
              <w:t>与重点管控单元（环境管控单元编码</w:t>
            </w:r>
            <w:r>
              <w:rPr>
                <w:rFonts w:hint="eastAsia" w:ascii="Times New Roman" w:hAnsi="Times New Roman"/>
                <w:sz w:val="24"/>
                <w:szCs w:val="24"/>
                <w:lang w:val="en-US" w:eastAsia="zh-CN"/>
              </w:rPr>
              <w:t>：ZH35018120008</w:t>
            </w:r>
            <w:r>
              <w:rPr>
                <w:rFonts w:hint="default" w:ascii="Times New Roman" w:hAnsi="Times New Roman"/>
                <w:sz w:val="24"/>
                <w:szCs w:val="24"/>
                <w:lang w:val="en-US" w:eastAsia="zh-CN"/>
              </w:rPr>
              <w:t>）</w:t>
            </w:r>
            <w:r>
              <w:rPr>
                <w:rFonts w:hint="default" w:ascii="Times New Roman" w:hAnsi="Times New Roman" w:eastAsia="宋体" w:cs="Times New Roman"/>
                <w:sz w:val="24"/>
                <w:szCs w:val="24"/>
                <w:highlight w:val="none"/>
              </w:rPr>
              <w:t>准入要求符合性分析见表1</w:t>
            </w:r>
            <w:r>
              <w:rPr>
                <w:rFonts w:hint="default" w:ascii="Times New Roman" w:hAnsi="Times New Roman" w:eastAsia="宋体" w:cs="Times New Roman"/>
                <w:sz w:val="24"/>
                <w:szCs w:val="24"/>
                <w:highlight w:val="none"/>
                <w:lang w:val="en-US" w:eastAsia="zh-CN"/>
              </w:rPr>
              <w:t>.1-</w:t>
            </w:r>
            <w:r>
              <w:rPr>
                <w:rFonts w:hint="eastAsia" w:ascii="Times New Roman" w:hAnsi="Times New Roman" w:cs="Times New Roman"/>
                <w:sz w:val="24"/>
                <w:szCs w:val="24"/>
                <w:highlight w:val="none"/>
                <w:lang w:val="en-US" w:eastAsia="zh-CN"/>
              </w:rPr>
              <w:t>5</w:t>
            </w:r>
            <w:r>
              <w:rPr>
                <w:rFonts w:hint="default" w:ascii="Times New Roman" w:hAnsi="Times New Roman" w:eastAsia="宋体" w:cs="Times New Roman"/>
                <w:sz w:val="24"/>
                <w:szCs w:val="24"/>
                <w:highlight w:val="none"/>
              </w:rPr>
              <w:t>。福建省生态环境分区管控数据应用平台查询结果截图</w:t>
            </w:r>
            <w:r>
              <w:rPr>
                <w:rFonts w:hint="eastAsia" w:ascii="Times New Roman" w:hAnsi="Times New Roman" w:cs="Times New Roman"/>
                <w:sz w:val="24"/>
                <w:szCs w:val="24"/>
                <w:highlight w:val="none"/>
                <w:lang w:eastAsia="zh-CN"/>
              </w:rPr>
              <w:t>、</w:t>
            </w:r>
            <w:r>
              <w:rPr>
                <w:rFonts w:hint="default" w:ascii="Times New Roman" w:hAnsi="Times New Roman" w:eastAsia="宋体" w:cs="Times New Roman"/>
                <w:sz w:val="24"/>
                <w:szCs w:val="24"/>
                <w:highlight w:val="none"/>
              </w:rPr>
              <w:t>福建省生态环境分区管控综</w:t>
            </w:r>
            <w:r>
              <w:rPr>
                <w:rFonts w:hint="default" w:ascii="Times New Roman" w:hAnsi="Times New Roman" w:eastAsia="宋体" w:cs="Times New Roman"/>
                <w:b w:val="0"/>
                <w:bCs w:val="0"/>
                <w:sz w:val="24"/>
                <w:szCs w:val="24"/>
                <w:highlight w:val="none"/>
              </w:rPr>
              <w:t>合查询报告详见</w:t>
            </w:r>
            <w:r>
              <w:rPr>
                <w:rFonts w:hint="default" w:ascii="Times New Roman" w:hAnsi="Times New Roman" w:eastAsia="宋体" w:cs="Times New Roman"/>
                <w:b w:val="0"/>
                <w:bCs w:val="0"/>
                <w:sz w:val="24"/>
                <w:szCs w:val="24"/>
                <w:highlight w:val="none"/>
                <w:lang w:val="en-US"/>
              </w:rPr>
              <w:fldChar w:fldCharType="begin"/>
            </w:r>
            <w:r>
              <w:rPr>
                <w:rFonts w:hint="default" w:ascii="Times New Roman" w:hAnsi="Times New Roman" w:eastAsia="宋体" w:cs="Times New Roman"/>
                <w:b w:val="0"/>
                <w:bCs w:val="0"/>
                <w:sz w:val="24"/>
                <w:szCs w:val="24"/>
                <w:highlight w:val="none"/>
                <w:lang w:val="en-US"/>
              </w:rPr>
              <w:instrText xml:space="preserve"> REF _Ref5378 \h </w:instrText>
            </w:r>
            <w:r>
              <w:rPr>
                <w:rFonts w:hint="default" w:ascii="Times New Roman" w:hAnsi="Times New Roman" w:eastAsia="宋体" w:cs="Times New Roman"/>
                <w:b w:val="0"/>
                <w:bCs w:val="0"/>
                <w:sz w:val="24"/>
                <w:szCs w:val="24"/>
                <w:highlight w:val="none"/>
                <w:lang w:val="en-US"/>
              </w:rPr>
              <w:fldChar w:fldCharType="separate"/>
            </w:r>
            <w:r>
              <w:rPr>
                <w:rFonts w:hint="eastAsia"/>
              </w:rPr>
              <w:t>附件 5</w:t>
            </w:r>
            <w:r>
              <w:rPr>
                <w:rFonts w:hint="default" w:ascii="Times New Roman" w:hAnsi="Times New Roman" w:eastAsia="宋体" w:cs="Times New Roman"/>
                <w:b w:val="0"/>
                <w:bCs w:val="0"/>
                <w:sz w:val="24"/>
                <w:szCs w:val="24"/>
                <w:highlight w:val="none"/>
                <w:lang w:val="en-US"/>
              </w:rPr>
              <w:fldChar w:fldCharType="end"/>
            </w:r>
            <w:r>
              <w:rPr>
                <w:rFonts w:hint="default" w:ascii="Times New Roman" w:hAnsi="Times New Roman" w:eastAsia="宋体" w:cs="Times New Roman"/>
                <w:color w:val="auto"/>
                <w:spacing w:val="0"/>
                <w:w w:val="100"/>
                <w:position w:val="0"/>
                <w:sz w:val="24"/>
                <w:szCs w:val="24"/>
                <w:u w:val="none"/>
              </w:rPr>
              <w:t>。</w:t>
            </w:r>
          </w:p>
          <w:p w14:paraId="5BE61B48">
            <w:pPr>
              <w:pStyle w:val="39"/>
              <w:keepNext w:val="0"/>
              <w:keepLines w:val="0"/>
              <w:suppressLineNumbers w:val="0"/>
              <w:bidi w:val="0"/>
              <w:spacing w:before="0" w:beforeAutospacing="0" w:after="0" w:afterAutospacing="0"/>
              <w:ind w:left="0" w:right="0"/>
              <w:rPr>
                <w:rFonts w:hint="default"/>
              </w:rPr>
            </w:pPr>
            <w:r>
              <w:rPr>
                <w:rFonts w:hint="default"/>
              </w:rPr>
              <w:t>表1.1-</w:t>
            </w:r>
            <w:r>
              <w:rPr>
                <w:rFonts w:hint="default"/>
                <w:lang w:val="en-US" w:eastAsia="zh-CN"/>
              </w:rPr>
              <w:t>3</w:t>
            </w:r>
            <w:r>
              <w:rPr>
                <w:rFonts w:hint="default"/>
              </w:rPr>
              <w:t xml:space="preserve"> 与全省生态环境总体准入要求的符合性分析</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7" w:type="dxa"/>
                <w:bottom w:w="0" w:type="dxa"/>
                <w:right w:w="57" w:type="dxa"/>
              </w:tblCellMar>
            </w:tblPr>
            <w:tblGrid>
              <w:gridCol w:w="551"/>
              <w:gridCol w:w="469"/>
              <w:gridCol w:w="3519"/>
              <w:gridCol w:w="1838"/>
              <w:gridCol w:w="746"/>
            </w:tblGrid>
            <w:tr w14:paraId="6D581F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jc w:val="center"/>
              </w:trPr>
              <w:tc>
                <w:tcPr>
                  <w:tcW w:w="553" w:type="dxa"/>
                  <w:noWrap w:val="0"/>
                  <w:vAlign w:val="center"/>
                </w:tcPr>
                <w:p w14:paraId="4DBCC44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适用范围</w:t>
                  </w:r>
                </w:p>
              </w:tc>
              <w:tc>
                <w:tcPr>
                  <w:tcW w:w="4011" w:type="dxa"/>
                  <w:gridSpan w:val="2"/>
                  <w:noWrap w:val="0"/>
                  <w:vAlign w:val="center"/>
                </w:tcPr>
                <w:p w14:paraId="275ED34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准入要求</w:t>
                  </w:r>
                </w:p>
              </w:tc>
              <w:tc>
                <w:tcPr>
                  <w:tcW w:w="1847" w:type="dxa"/>
                  <w:noWrap w:val="0"/>
                  <w:vAlign w:val="center"/>
                </w:tcPr>
                <w:p w14:paraId="4DC0112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本项目情况</w:t>
                  </w:r>
                </w:p>
              </w:tc>
              <w:tc>
                <w:tcPr>
                  <w:tcW w:w="749" w:type="dxa"/>
                  <w:noWrap w:val="0"/>
                  <w:vAlign w:val="center"/>
                </w:tcPr>
                <w:p w14:paraId="3860DF9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符合性</w:t>
                  </w:r>
                </w:p>
              </w:tc>
            </w:tr>
            <w:tr w14:paraId="361E00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jc w:val="center"/>
              </w:trPr>
              <w:tc>
                <w:tcPr>
                  <w:tcW w:w="553" w:type="dxa"/>
                  <w:vMerge w:val="restart"/>
                  <w:noWrap w:val="0"/>
                  <w:vAlign w:val="center"/>
                </w:tcPr>
                <w:p w14:paraId="4D50045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全省陆域</w:t>
                  </w:r>
                </w:p>
              </w:tc>
              <w:tc>
                <w:tcPr>
                  <w:tcW w:w="470" w:type="dxa"/>
                  <w:noWrap w:val="0"/>
                  <w:vAlign w:val="center"/>
                </w:tcPr>
                <w:p w14:paraId="57C0DDA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空间布局约束</w:t>
                  </w:r>
                </w:p>
              </w:tc>
              <w:tc>
                <w:tcPr>
                  <w:tcW w:w="3541" w:type="dxa"/>
                  <w:noWrap w:val="0"/>
                  <w:vAlign w:val="center"/>
                </w:tcPr>
                <w:p w14:paraId="274664D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1、石化、汽车、船舶、冶金、水泥、制浆造纸、印染等重点产业，要符合全省规划布局要求。</w:t>
                  </w:r>
                </w:p>
                <w:p w14:paraId="7DCA485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2、严控钢铁、水泥、平板玻璃等产能过剩行业新增产能，新增产能应实施产能等量或减量置换。</w:t>
                  </w:r>
                </w:p>
                <w:p w14:paraId="0301904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3、除列入国家规划的大型煤电和符合相关要求的等容量替代项目，以及以供热为主的热电联产项目外，原则上不再建设新的煤电项目。</w:t>
                  </w:r>
                </w:p>
                <w:p w14:paraId="009EC50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4、氟化工产业应集中布局在《关于促进我省氟化工产业绿色高效发展的若干意见》中确定的园区，在上述园区之外不再新建氟化工项目，园区之外现有氟化工项目不再扩大规模。</w:t>
                  </w:r>
                </w:p>
                <w:p w14:paraId="154E54E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5、禁止在水环境质量不能稳定达标的区域内，建设新增相应不达标污染物指标排放量的工业项目。</w:t>
                  </w:r>
                </w:p>
              </w:tc>
              <w:tc>
                <w:tcPr>
                  <w:tcW w:w="1847" w:type="dxa"/>
                  <w:noWrap w:val="0"/>
                  <w:vAlign w:val="center"/>
                </w:tcPr>
                <w:p w14:paraId="11FFFE2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本项目主要从事铝合金、塑胶件及钣金件加工生产，项目所在区域水环境质量能稳定达标，项目建设与空间布局约束要求不相冲突</w:t>
                  </w:r>
                </w:p>
              </w:tc>
              <w:tc>
                <w:tcPr>
                  <w:tcW w:w="749" w:type="dxa"/>
                  <w:noWrap w:val="0"/>
                  <w:vAlign w:val="center"/>
                </w:tcPr>
                <w:p w14:paraId="2917E2C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符合</w:t>
                  </w:r>
                </w:p>
              </w:tc>
            </w:tr>
            <w:tr w14:paraId="186A16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90" w:hRule="atLeast"/>
                <w:jc w:val="center"/>
              </w:trPr>
              <w:tc>
                <w:tcPr>
                  <w:tcW w:w="553" w:type="dxa"/>
                  <w:vMerge w:val="continue"/>
                  <w:noWrap w:val="0"/>
                  <w:vAlign w:val="center"/>
                </w:tcPr>
                <w:p w14:paraId="301A22BE">
                  <w:pPr>
                    <w:pStyle w:val="38"/>
                    <w:keepNext w:val="0"/>
                    <w:keepLines w:val="0"/>
                    <w:widowControl/>
                    <w:suppressLineNumbers w:val="0"/>
                    <w:bidi w:val="0"/>
                    <w:spacing w:before="0" w:beforeAutospacing="0" w:after="0" w:afterAutospacing="0"/>
                    <w:ind w:left="0" w:right="0"/>
                    <w:rPr>
                      <w:rFonts w:hint="eastAsia"/>
                      <w:szCs w:val="22"/>
                    </w:rPr>
                  </w:pPr>
                </w:p>
              </w:tc>
              <w:tc>
                <w:tcPr>
                  <w:tcW w:w="470" w:type="dxa"/>
                  <w:noWrap w:val="0"/>
                  <w:vAlign w:val="center"/>
                </w:tcPr>
                <w:p w14:paraId="5DAB552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污染物排放管控</w:t>
                  </w:r>
                </w:p>
              </w:tc>
              <w:tc>
                <w:tcPr>
                  <w:tcW w:w="3541" w:type="dxa"/>
                  <w:noWrap w:val="0"/>
                  <w:vAlign w:val="center"/>
                </w:tcPr>
                <w:p w14:paraId="1221D19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建设项目新增的主要污染物排放量应按要求实行等量或倍量替代。涉及总磷排放的建设项目应按照要求实行总磷排放量倍量或等量削减替代。涉及重金属重点行业建设项目新增的重点重金属污染物应按要求实行</w:t>
                  </w:r>
                  <w:r>
                    <w:rPr>
                      <w:rFonts w:hint="eastAsia"/>
                      <w:szCs w:val="22"/>
                      <w:lang w:eastAsia="zh-CN"/>
                    </w:rPr>
                    <w:t>“</w:t>
                  </w:r>
                  <w:r>
                    <w:rPr>
                      <w:rFonts w:hint="eastAsia"/>
                      <w:szCs w:val="22"/>
                    </w:rPr>
                    <w:t>减量置换</w:t>
                  </w:r>
                  <w:r>
                    <w:rPr>
                      <w:rFonts w:hint="eastAsia"/>
                      <w:szCs w:val="22"/>
                      <w:lang w:eastAsia="zh-CN"/>
                    </w:rPr>
                    <w:t>”</w:t>
                  </w:r>
                  <w:r>
                    <w:rPr>
                      <w:rFonts w:hint="eastAsia"/>
                      <w:szCs w:val="22"/>
                    </w:rPr>
                    <w:t>或等量替换。涉新增VOCS排放项目，VOCS排放实行区域内等量替代。福州、厦门、漳州、泉州、莆田、宁德等6个重点控制区可实施倍量替代。</w:t>
                  </w:r>
                </w:p>
                <w:p w14:paraId="48498B3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2、新建水泥、有色金属项目应执行大气污染物特别排放限值，钢铁项目应执行超低排放指标要求，火电项目应达到超低排放限值。</w:t>
                  </w:r>
                </w:p>
                <w:p w14:paraId="2C366C9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3、尾水排入近岸海域汇水区域、</w:t>
                  </w:r>
                  <w:r>
                    <w:rPr>
                      <w:rFonts w:hint="eastAsia"/>
                      <w:szCs w:val="22"/>
                      <w:lang w:eastAsia="zh-CN"/>
                    </w:rPr>
                    <w:t>“</w:t>
                  </w:r>
                  <w:r>
                    <w:rPr>
                      <w:rFonts w:hint="eastAsia"/>
                      <w:szCs w:val="22"/>
                    </w:rPr>
                    <w:t>六江两溪</w:t>
                  </w:r>
                  <w:r>
                    <w:rPr>
                      <w:rFonts w:hint="eastAsia"/>
                      <w:szCs w:val="22"/>
                      <w:lang w:eastAsia="zh-CN"/>
                    </w:rPr>
                    <w:t>”</w:t>
                  </w:r>
                  <w:r>
                    <w:rPr>
                      <w:rFonts w:hint="eastAsia"/>
                      <w:szCs w:val="22"/>
                    </w:rPr>
                    <w:t>流域以及湖泊、水库等封闭、半封闭水域的城镇污水处理设施执行不低于一级 A 排放标准。</w:t>
                  </w:r>
                </w:p>
              </w:tc>
              <w:tc>
                <w:tcPr>
                  <w:tcW w:w="1847" w:type="dxa"/>
                  <w:noWrap w:val="0"/>
                  <w:vAlign w:val="center"/>
                </w:tcPr>
                <w:p w14:paraId="0C98D7B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1、项目位于</w:t>
                  </w:r>
                  <w:r>
                    <w:rPr>
                      <w:rFonts w:hint="eastAsia"/>
                      <w:szCs w:val="22"/>
                      <w:lang w:eastAsia="zh-CN"/>
                    </w:rPr>
                    <w:t>福建省福州市福清融侨经济技术开发区内</w:t>
                  </w:r>
                  <w:r>
                    <w:rPr>
                      <w:rFonts w:hint="eastAsia"/>
                      <w:szCs w:val="22"/>
                    </w:rPr>
                    <w:t>，属于其规定的污染物管控区域。项目涉及VOCS排放，需实施倍量替代。</w:t>
                  </w:r>
                </w:p>
                <w:p w14:paraId="3354B46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2、项目主要从事铝合金、塑胶件及钣金件加工生产，不属于水泥、有色金属、钢铁、火电项目。</w:t>
                  </w:r>
                </w:p>
                <w:p w14:paraId="2360AAB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3、项目无生产废水产生；生活污水经化粪池预处理后，排入市政污水管网，尾水排放达一级A排放标准</w:t>
                  </w:r>
                </w:p>
              </w:tc>
              <w:tc>
                <w:tcPr>
                  <w:tcW w:w="749" w:type="dxa"/>
                  <w:noWrap w:val="0"/>
                  <w:vAlign w:val="center"/>
                </w:tcPr>
                <w:p w14:paraId="57D22CF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符合</w:t>
                  </w:r>
                </w:p>
              </w:tc>
            </w:tr>
          </w:tbl>
          <w:p w14:paraId="1C914BCE">
            <w:pPr>
              <w:keepNext w:val="0"/>
              <w:keepLines w:val="0"/>
              <w:suppressLineNumbers w:val="0"/>
              <w:bidi w:val="0"/>
              <w:spacing w:before="0" w:beforeAutospacing="0" w:after="0" w:afterAutospacing="0"/>
              <w:ind w:left="0" w:right="0"/>
              <w:rPr>
                <w:rFonts w:hint="eastAsia"/>
              </w:rPr>
            </w:pPr>
            <w:r>
              <w:rPr>
                <w:rFonts w:hint="eastAsia"/>
                <w:lang w:eastAsia="zh-CN"/>
              </w:rPr>
              <w:t>（</w:t>
            </w:r>
            <w:r>
              <w:rPr>
                <w:rFonts w:hint="eastAsia"/>
              </w:rPr>
              <w:t>2</w:t>
            </w:r>
            <w:r>
              <w:rPr>
                <w:rFonts w:hint="eastAsia"/>
                <w:lang w:eastAsia="zh-CN"/>
              </w:rPr>
              <w:t>）</w:t>
            </w:r>
            <w:r>
              <w:rPr>
                <w:rFonts w:hint="eastAsia"/>
              </w:rPr>
              <w:t>与</w:t>
            </w:r>
            <w:r>
              <w:rPr>
                <w:rFonts w:hint="eastAsia"/>
                <w:lang w:val="en-GB"/>
              </w:rPr>
              <w:t>《福州市人民政府关于实施</w:t>
            </w:r>
            <w:r>
              <w:rPr>
                <w:rFonts w:hint="eastAsia"/>
                <w:lang w:val="en-GB" w:eastAsia="zh-CN"/>
              </w:rPr>
              <w:t>“</w:t>
            </w:r>
            <w:r>
              <w:rPr>
                <w:rFonts w:hint="eastAsia"/>
                <w:lang w:val="en-GB"/>
              </w:rPr>
              <w:t>三线一单</w:t>
            </w:r>
            <w:r>
              <w:rPr>
                <w:rFonts w:hint="eastAsia"/>
                <w:lang w:val="en-GB" w:eastAsia="zh-CN"/>
              </w:rPr>
              <w:t>”</w:t>
            </w:r>
            <w:r>
              <w:rPr>
                <w:rFonts w:hint="eastAsia"/>
                <w:lang w:val="en-GB"/>
              </w:rPr>
              <w:t>生态分区管控的通知》</w:t>
            </w:r>
            <w:r>
              <w:rPr>
                <w:rFonts w:hint="eastAsia"/>
              </w:rPr>
              <w:t>符合性分析</w:t>
            </w:r>
          </w:p>
          <w:p w14:paraId="4F3EE656">
            <w:pPr>
              <w:keepNext w:val="0"/>
              <w:keepLines w:val="0"/>
              <w:suppressLineNumbers w:val="0"/>
              <w:bidi w:val="0"/>
              <w:spacing w:before="0" w:beforeAutospacing="0" w:after="0" w:afterAutospacing="0"/>
              <w:ind w:left="0" w:right="0"/>
              <w:rPr>
                <w:rFonts w:hint="eastAsia"/>
              </w:rPr>
            </w:pPr>
            <w:r>
              <w:rPr>
                <w:rFonts w:hint="eastAsia"/>
              </w:rPr>
              <w:t>根据《</w:t>
            </w:r>
            <w:r>
              <w:rPr>
                <w:rFonts w:hint="eastAsia"/>
                <w:lang w:val="en-GB"/>
              </w:rPr>
              <w:t>福州市人民政府关于实施</w:t>
            </w:r>
            <w:r>
              <w:rPr>
                <w:rFonts w:hint="eastAsia"/>
                <w:lang w:val="en-GB" w:eastAsia="zh-CN"/>
              </w:rPr>
              <w:t>“</w:t>
            </w:r>
            <w:r>
              <w:rPr>
                <w:rFonts w:hint="eastAsia"/>
                <w:lang w:val="en-GB"/>
              </w:rPr>
              <w:t>三线一单</w:t>
            </w:r>
            <w:r>
              <w:rPr>
                <w:rFonts w:hint="eastAsia"/>
                <w:lang w:val="en-GB" w:eastAsia="zh-CN"/>
              </w:rPr>
              <w:t>”</w:t>
            </w:r>
            <w:r>
              <w:rPr>
                <w:rFonts w:hint="eastAsia"/>
                <w:lang w:val="en-GB"/>
              </w:rPr>
              <w:t>生态分区管控的通知</w:t>
            </w:r>
            <w:r>
              <w:rPr>
                <w:rFonts w:hint="eastAsia"/>
              </w:rPr>
              <w:t>》</w:t>
            </w:r>
            <w:r>
              <w:rPr>
                <w:rFonts w:hint="eastAsia"/>
                <w:lang w:eastAsia="zh-CN"/>
              </w:rPr>
              <w:t>（</w:t>
            </w:r>
            <w:r>
              <w:rPr>
                <w:rFonts w:hint="eastAsia"/>
              </w:rPr>
              <w:t>榕政综〔2021〕178号</w:t>
            </w:r>
            <w:r>
              <w:rPr>
                <w:rFonts w:hint="eastAsia"/>
                <w:lang w:eastAsia="zh-CN"/>
              </w:rPr>
              <w:t>）</w:t>
            </w:r>
            <w:r>
              <w:rPr>
                <w:rFonts w:hint="eastAsia"/>
              </w:rPr>
              <w:t>相关要求分析，项目所在环境管控单元为福州市陆域环境管控单元—福清市生态环境准入清单—福清融侨经济技术开发区，属于重点管控单元。具体分析见表1.1-</w:t>
            </w:r>
            <w:r>
              <w:rPr>
                <w:rFonts w:hint="eastAsia"/>
                <w:lang w:val="en-US" w:eastAsia="zh-CN"/>
              </w:rPr>
              <w:t>4、1.1-5</w:t>
            </w:r>
            <w:r>
              <w:rPr>
                <w:rFonts w:hint="eastAsia"/>
              </w:rPr>
              <w:t>。</w:t>
            </w:r>
          </w:p>
          <w:p w14:paraId="4ACF3B13">
            <w:pPr>
              <w:pStyle w:val="39"/>
              <w:keepNext w:val="0"/>
              <w:keepLines w:val="0"/>
              <w:suppressLineNumbers w:val="0"/>
              <w:bidi w:val="0"/>
              <w:spacing w:before="0" w:beforeAutospacing="0" w:after="0" w:afterAutospacing="0"/>
              <w:ind w:left="0" w:right="0"/>
              <w:rPr>
                <w:rFonts w:hint="eastAsia"/>
              </w:rPr>
            </w:pPr>
            <w:r>
              <w:rPr>
                <w:rFonts w:hint="eastAsia"/>
              </w:rPr>
              <w:t>表</w:t>
            </w:r>
            <w:r>
              <w:rPr>
                <w:rFonts w:hint="eastAsia"/>
                <w:lang w:val="en-US" w:eastAsia="zh-CN"/>
              </w:rPr>
              <w:t>1.1-4</w:t>
            </w:r>
            <w:r>
              <w:rPr>
                <w:rFonts w:hint="eastAsia"/>
              </w:rPr>
              <w:t xml:space="preserve"> 与福州市生态环境总体准入要求的符合性分析</w:t>
            </w:r>
          </w:p>
          <w:tbl>
            <w:tblPr>
              <w:tblStyle w:val="29"/>
              <w:tblW w:w="688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0"/>
              <w:gridCol w:w="495"/>
              <w:gridCol w:w="2500"/>
              <w:gridCol w:w="3345"/>
            </w:tblGrid>
            <w:tr w14:paraId="0007C6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0" w:type="dxa"/>
                  <w:tcBorders>
                    <w:tl2br w:val="nil"/>
                    <w:tr2bl w:val="nil"/>
                  </w:tcBorders>
                  <w:vAlign w:val="center"/>
                </w:tcPr>
                <w:p w14:paraId="6AEA4C7C">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适用范围</w:t>
                  </w:r>
                </w:p>
              </w:tc>
              <w:tc>
                <w:tcPr>
                  <w:tcW w:w="495" w:type="dxa"/>
                  <w:tcBorders>
                    <w:tl2br w:val="nil"/>
                    <w:tr2bl w:val="nil"/>
                  </w:tcBorders>
                  <w:vAlign w:val="center"/>
                </w:tcPr>
                <w:p w14:paraId="25790012">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类别</w:t>
                  </w:r>
                </w:p>
              </w:tc>
              <w:tc>
                <w:tcPr>
                  <w:tcW w:w="2500" w:type="dxa"/>
                  <w:tcBorders>
                    <w:tl2br w:val="nil"/>
                    <w:tr2bl w:val="nil"/>
                  </w:tcBorders>
                  <w:vAlign w:val="center"/>
                </w:tcPr>
                <w:p w14:paraId="1ADF647B">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准入要求</w:t>
                  </w:r>
                </w:p>
              </w:tc>
              <w:tc>
                <w:tcPr>
                  <w:tcW w:w="3345" w:type="dxa"/>
                  <w:tcBorders>
                    <w:tl2br w:val="nil"/>
                    <w:tr2bl w:val="nil"/>
                  </w:tcBorders>
                  <w:vAlign w:val="center"/>
                </w:tcPr>
                <w:p w14:paraId="3B685CBA">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符合性分析</w:t>
                  </w:r>
                </w:p>
              </w:tc>
            </w:tr>
            <w:tr w14:paraId="5E1ED8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90" w:hRule="atLeast"/>
                <w:jc w:val="center"/>
              </w:trPr>
              <w:tc>
                <w:tcPr>
                  <w:tcW w:w="540" w:type="dxa"/>
                  <w:vMerge w:val="restart"/>
                  <w:tcBorders>
                    <w:tl2br w:val="nil"/>
                    <w:tr2bl w:val="nil"/>
                  </w:tcBorders>
                  <w:vAlign w:val="center"/>
                </w:tcPr>
                <w:p w14:paraId="75818CC5">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福州市陆域</w:t>
                  </w:r>
                </w:p>
              </w:tc>
              <w:tc>
                <w:tcPr>
                  <w:tcW w:w="495" w:type="dxa"/>
                  <w:tcBorders>
                    <w:tl2br w:val="nil"/>
                    <w:tr2bl w:val="nil"/>
                  </w:tcBorders>
                  <w:vAlign w:val="center"/>
                </w:tcPr>
                <w:p w14:paraId="2E00A387">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空间布局约束</w:t>
                  </w:r>
                </w:p>
              </w:tc>
              <w:tc>
                <w:tcPr>
                  <w:tcW w:w="2500" w:type="dxa"/>
                  <w:tcBorders>
                    <w:tl2br w:val="nil"/>
                    <w:tr2bl w:val="nil"/>
                  </w:tcBorders>
                  <w:vAlign w:val="center"/>
                </w:tcPr>
                <w:p w14:paraId="1B2FC892">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一、优先保护单元中的生态保护红线</w:t>
                  </w:r>
                </w:p>
                <w:p w14:paraId="69E2332B">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1.根据《关于在国土空间规划中统筹划定落实三条控制线的指导意见》《自然资源部生态环境部国家林业和草原局关于加强生态保护红线管理的通知（试行）》，加强生态保护红线管理，严守自然生态安全边界。生态保护红线内，自然保护地核心保护区原则上禁止人为活动，其它区域禁止开发性、生产性建设活动，在符合法律法规的前提下，仅允许以下对生态功能不造成破坏的有限人为活动。生态保护红线内自然保护区、风景名胜区、饮用水水源保护区等区域，依照法律法规执行。</w:t>
                  </w:r>
                </w:p>
                <w:p w14:paraId="6A9F77DA">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（1）管护巡护、保护执法、科学研究、调查监测、测绘导航、防灾减灾救灾、军事国防、疫情防控等活动及相关的必要设施修筑。</w:t>
                  </w:r>
                </w:p>
                <w:p w14:paraId="3D98DCA6">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2）原住居民和其他合法权益主体，允许在不扩大现有建设用地、用海用岛、耕地、水产养殖规模和放牧强度（符合草畜平衡管理规定）的前提下，开展种植、放牧、捕捞、养殖（不包括投礁型海洋牧场、围海养殖）等活动，修筑生产生活设施。</w:t>
                  </w:r>
                </w:p>
                <w:p w14:paraId="76FFA382">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（3）经依法批准的考古调查发掘、古生物化石调查发掘、标本采集和文物保护活动。</w:t>
                  </w:r>
                </w:p>
                <w:p w14:paraId="42FE31D4">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（4）按规定对人工商品林进行抚育采伐，或以提升森林质量、优化栖息地、建设生物防火隔离带等为目的的树种更新，依法开展的竹林采伐经营。</w:t>
                  </w:r>
                </w:p>
                <w:p w14:paraId="266739B5">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（5）不破坏生态功能的适度参观旅游、科普宣教及符合相关规划的配套性服务设施和相关的必要公共设施建设及维护。</w:t>
                  </w:r>
                </w:p>
                <w:p w14:paraId="24E064DF">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（6）必须且无法避让、符合县级以上国土空间规划的线性基础设施、通讯和防洪、供水设施建设和船舶航行、航道疏浚清淤等活动；已有的合法水利、交通运输等设施运行维护改造。</w:t>
                  </w:r>
                </w:p>
                <w:p w14:paraId="1D23E00A">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7）地质调查与矿产资源勘查开采。包括：基础地质调查和战略性矿产资源远景调查等公益性工作；铀矿勘查开采活动，可办理矿业权登记；已依法设立的油气探矿权继续勘查活动，可办理探矿权延续、变更（不含扩大勘查区块范围）、保留、注销，当发现可供开采油气资源并探明储量时，可将开采拟占用的地表或海域范围依照国家相关规定调出生态保护红线；已依法设立的油气采矿权不扩大用地用海范围，继续开采，可办理采矿权延续、变更（不含扩大矿区范围）、注销；已依法设立的矿泉水和地热采矿权，在不超出已经核定的生产规模、不新增生产设施的前提下继续开采，可办理采矿权延续、变更（不含扩大矿区范围）、注销；已依法设立和新立铬、铜、镍、锂、钴、锆、钾盐、（中）重稀土矿等战略性矿产探矿权开展勘查活动，可办理探矿权登记，因国家战略需要开展开采活动的，可办理采矿权登记。上述勘查开采活动，应落实减缓生态环境影响措施，严格执行绿色勘查、开采及矿山环境生态修复相关要求。</w:t>
                  </w:r>
                </w:p>
                <w:p w14:paraId="42F66D90">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（8）依据县级以上国土空间规划和生态保护修复专项规划开展的生态修复。</w:t>
                  </w:r>
                </w:p>
                <w:p w14:paraId="3CE8CB89">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（9）法律法规规定允许的其他人为活动。</w:t>
                  </w:r>
                </w:p>
                <w:p w14:paraId="11A0A27F">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2.依据《福建省自然资源厅福建省生态环境厅福建省林业局关于进一步加强生态保护红线监管的通知（试行）》（闽自然资发〔2023〕56号），允许占用生态保护红线的重大项目范围：</w:t>
                  </w:r>
                </w:p>
                <w:p w14:paraId="4008F689">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（1）党中央、国务院发布文件或批准规划中明确具体名称的项目和国务院批准的项目。</w:t>
                  </w:r>
                </w:p>
                <w:p w14:paraId="56F4830A">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（2）中央军委及其有关部门批准的军事国防项目。</w:t>
                  </w:r>
                </w:p>
                <w:p w14:paraId="2E116A11">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（3）国家级规划（指国务院及其有关部门正式颁布）明确的交通、水利项目。</w:t>
                  </w:r>
                </w:p>
                <w:p w14:paraId="20C8631E">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（4）国家级规划明确的电网项目，国家级规划明确的且符合国家产业政策的能源矿产勘查开采、油气管线、水电、核电项目。</w:t>
                  </w:r>
                </w:p>
                <w:p w14:paraId="7FB908E1">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（5）为贯彻落实党中央、国务院重大决策部署</w:t>
                  </w:r>
                  <w:r>
                    <w:rPr>
                      <w:rFonts w:hint="eastAsia"/>
                      <w:b w:val="0"/>
                      <w:bCs w:val="0"/>
                      <w:szCs w:val="22"/>
                      <w:lang w:eastAsia="zh-CN"/>
                    </w:rPr>
                    <w:t>，由</w:t>
                  </w:r>
                  <w:r>
                    <w:rPr>
                      <w:rFonts w:hint="eastAsia"/>
                      <w:b w:val="0"/>
                      <w:bCs w:val="0"/>
                      <w:szCs w:val="22"/>
                    </w:rPr>
                    <w:t>国务院投资主管部门或国务院投资主管部门会同有关部门确认的交通、能源、水利等基础设施项目。</w:t>
                  </w:r>
                </w:p>
                <w:p w14:paraId="0BD8A661">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（6）按照国家重大项目用地保障工作机制要求，国家发展</w:t>
                  </w:r>
                  <w:r>
                    <w:rPr>
                      <w:rFonts w:hint="eastAsia"/>
                      <w:b w:val="0"/>
                      <w:bCs w:val="0"/>
                      <w:szCs w:val="22"/>
                      <w:lang w:eastAsia="zh-CN"/>
                    </w:rPr>
                    <w:t>和改革委员会</w:t>
                  </w:r>
                  <w:r>
                    <w:rPr>
                      <w:rFonts w:hint="eastAsia"/>
                      <w:b w:val="0"/>
                      <w:bCs w:val="0"/>
                      <w:szCs w:val="22"/>
                    </w:rPr>
                    <w:t>同有关部门确认的需中央加大建设用地保障力度，确实难以避让的国家重大项目。</w:t>
                  </w:r>
                </w:p>
                <w:p w14:paraId="5AEC625F">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二、优先保护单元中的一般生态空间</w:t>
                  </w:r>
                </w:p>
                <w:p w14:paraId="304D19BF">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1.一般生态空间以保护和修复生态环境、提供生态产品和服务为首要任务，因地制宜地发展不影响主体功能定位的适宜产业。</w:t>
                  </w:r>
                </w:p>
                <w:p w14:paraId="693C2A7B">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2.一般生态空间内未纳入生态保护红线的饮用水水源保护区等各类法定保护地，其管控要求依照相关法律法规执行。</w:t>
                  </w:r>
                </w:p>
                <w:p w14:paraId="42D1FD29">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3.一般生态空间内现有合法的水泥厂、矿山开发等生产性设施及生活垃圾处置等民生工程予以保留，应按照法律法规要求落实污染防治和生态保护措施，避免对生态功能造成破坏。</w:t>
                  </w:r>
                </w:p>
                <w:p w14:paraId="3EC9CC8E">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三、其它要求</w:t>
                  </w:r>
                </w:p>
                <w:p w14:paraId="1009E273">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1.福州市石化中上游项目重点在福州江阴港城经济区、可门港经济区化工新材料产业园布局。</w:t>
                  </w:r>
                </w:p>
                <w:p w14:paraId="522CEDCC">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2.禁止在闽江马尾罗星塔以上流域范围新、扩建制革项目，严控新（扩）建植物制浆、印染、合成革及人造革、电镀项目。</w:t>
                  </w:r>
                </w:p>
                <w:p w14:paraId="16D19AE6">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3.禁止在通风廊道和主导风向的上风向布局大气重污染企业，推进建成区大气重污染企业搬迁或升级改造、环境风险企业搬迁或关闭退出。</w:t>
                  </w:r>
                </w:p>
                <w:p w14:paraId="1645EA0C">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4.禁止新、改、扩建生产高VOCs含量有机溶剂型涂料、油墨和胶黏剂的项目。</w:t>
                  </w:r>
                </w:p>
                <w:p w14:paraId="2CAD0BDD">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5.持续加强闽清等地建陶产业的环境综合治理，充分衔接国土空间规划和生态环境分区管控，并对照产业政策、城市总体发展规划等要求，进一步明确发展定位，优化产业布局和规模。</w:t>
                  </w:r>
                </w:p>
                <w:p w14:paraId="6D6FD7FD">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6.新建、扩建的涉及重点重金属污染物［1］的有色金属冶炼、电镀、制革、铅蓄电池制造企业应优先选择布设在依法合规设立并经规划环评、环境基础设施和环境风险防范措施齐全的产业园区。禁止低端落后产能向闽江中上游地区转移。禁止新建用汞的电石法（聚）氯乙烯生产工艺。加快推进专业电镀企业入园，到2025年底专业电镀企业入园率达到90%以上。</w:t>
                  </w:r>
                </w:p>
                <w:p w14:paraId="17A1F48D">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7.禁止在流域上游新建、扩建重污染企业和项目。</w:t>
                  </w:r>
                </w:p>
                <w:p w14:paraId="30584DB3">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8.重要敏感水体及富营养化湖库生态缓冲带除相关政府部门批准的科学研究活动外，禁止其它可能对保护区构成危害或不良影响的大规模生产、建设活动。</w:t>
                  </w:r>
                </w:p>
                <w:p w14:paraId="4C773AF8">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9.新、改、扩建煤电、钢铁、建材、石化、化工等</w:t>
                  </w:r>
                  <w:r>
                    <w:rPr>
                      <w:rFonts w:hint="eastAsia"/>
                      <w:b w:val="0"/>
                      <w:bCs w:val="0"/>
                      <w:szCs w:val="22"/>
                      <w:lang w:eastAsia="zh-CN"/>
                    </w:rPr>
                    <w:t>“</w:t>
                  </w:r>
                  <w:r>
                    <w:rPr>
                      <w:rFonts w:hint="eastAsia"/>
                      <w:b w:val="0"/>
                      <w:bCs w:val="0"/>
                      <w:szCs w:val="22"/>
                    </w:rPr>
                    <w:t>两高</w:t>
                  </w:r>
                  <w:r>
                    <w:rPr>
                      <w:rFonts w:hint="eastAsia"/>
                      <w:b w:val="0"/>
                      <w:bCs w:val="0"/>
                      <w:szCs w:val="22"/>
                      <w:lang w:eastAsia="zh-CN"/>
                    </w:rPr>
                    <w:t>”</w:t>
                  </w:r>
                  <w:r>
                    <w:rPr>
                      <w:rFonts w:hint="eastAsia"/>
                      <w:b w:val="0"/>
                      <w:bCs w:val="0"/>
                      <w:szCs w:val="22"/>
                    </w:rPr>
                    <w:t>项目，严格落实国家、省、市产业规划、产业政策、</w:t>
                  </w:r>
                  <w:r>
                    <w:rPr>
                      <w:rFonts w:hint="eastAsia"/>
                      <w:b w:val="0"/>
                      <w:bCs w:val="0"/>
                      <w:szCs w:val="22"/>
                      <w:lang w:eastAsia="zh-CN"/>
                    </w:rPr>
                    <w:t>“</w:t>
                  </w:r>
                  <w:r>
                    <w:rPr>
                      <w:rFonts w:hint="eastAsia"/>
                      <w:b w:val="0"/>
                      <w:bCs w:val="0"/>
                      <w:szCs w:val="22"/>
                    </w:rPr>
                    <w:t>三线一单</w:t>
                  </w:r>
                  <w:r>
                    <w:rPr>
                      <w:rFonts w:hint="eastAsia"/>
                      <w:b w:val="0"/>
                      <w:bCs w:val="0"/>
                      <w:szCs w:val="22"/>
                      <w:lang w:eastAsia="zh-CN"/>
                    </w:rPr>
                    <w:t>”</w:t>
                  </w:r>
                  <w:r>
                    <w:rPr>
                      <w:rFonts w:hint="eastAsia"/>
                      <w:b w:val="0"/>
                      <w:bCs w:val="0"/>
                      <w:szCs w:val="22"/>
                    </w:rPr>
                    <w:t>、规划环评，以及产能置换、煤炭消费减量替代、区域污染削减等相关要求。</w:t>
                  </w:r>
                </w:p>
                <w:p w14:paraId="74E75FE9">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10.单元内涉及永久基本农田的，应按照《福建省基本农田保护条例》（2010年修正本）、《国土资源部关于全面实行永久</w:t>
                  </w:r>
                  <w:r>
                    <w:rPr>
                      <w:rFonts w:hint="eastAsia"/>
                      <w:b w:val="0"/>
                      <w:bCs w:val="0"/>
                      <w:szCs w:val="22"/>
                      <w:lang w:eastAsia="zh-CN"/>
                    </w:rPr>
                    <w:t>基本农田</w:t>
                  </w:r>
                  <w:r>
                    <w:rPr>
                      <w:rFonts w:hint="eastAsia"/>
                      <w:b w:val="0"/>
                      <w:bCs w:val="0"/>
                      <w:szCs w:val="22"/>
                    </w:rPr>
                    <w:t>特殊保护的通知》（国土资规〔2018〕1号）、《</w:t>
                  </w:r>
                  <w:r>
                    <w:rPr>
                      <w:rFonts w:hint="eastAsia"/>
                      <w:b w:val="0"/>
                      <w:bCs w:val="0"/>
                      <w:szCs w:val="22"/>
                      <w:lang w:eastAsia="zh-CN"/>
                    </w:rPr>
                    <w:t>中共中央、国务院</w:t>
                  </w:r>
                  <w:r>
                    <w:rPr>
                      <w:rFonts w:hint="eastAsia"/>
                      <w:b w:val="0"/>
                      <w:bCs w:val="0"/>
                      <w:szCs w:val="22"/>
                    </w:rPr>
                    <w:t>关于加强耕地保护和改进占补平衡的意见》（2017年1月9日）等相关文件要求进</w:t>
                  </w:r>
                  <w:r>
                    <w:rPr>
                      <w:rFonts w:hint="eastAsia"/>
                      <w:b w:val="0"/>
                      <w:bCs w:val="0"/>
                      <w:szCs w:val="22"/>
                      <w:lang w:eastAsia="zh-CN"/>
                    </w:rPr>
                    <w:t>行严</w:t>
                  </w:r>
                  <w:r>
                    <w:rPr>
                      <w:rFonts w:hint="eastAsia"/>
                      <w:b w:val="0"/>
                      <w:bCs w:val="0"/>
                      <w:szCs w:val="22"/>
                    </w:rPr>
                    <w:t>格管理，一般建设项目不得占用永久基本农田，重大建设项目选址确实难以避让永久基本农田的，必须依法依规办理。严禁通过擅自调整县乡国土空间规划，规避占用永久基本农田的审批。禁止随意砍伐防风固沙林和农田保护林。严格按照自然资源部、农业农村部、国家林业和草原局《关于严格耕地用途管制有关问题的通知》（自然资发〔2021〕166号）要求全面落实耕地用途管制。</w:t>
                  </w:r>
                </w:p>
              </w:tc>
              <w:tc>
                <w:tcPr>
                  <w:tcW w:w="3345" w:type="dxa"/>
                  <w:tcBorders>
                    <w:tl2br w:val="nil"/>
                    <w:tr2bl w:val="nil"/>
                  </w:tcBorders>
                  <w:vAlign w:val="center"/>
                </w:tcPr>
                <w:p w14:paraId="46326B19">
                  <w:pPr>
                    <w:pStyle w:val="38"/>
                    <w:keepNext w:val="0"/>
                    <w:keepLines w:val="0"/>
                    <w:widowControl/>
                    <w:suppressLineNumbers w:val="0"/>
                    <w:bidi w:val="0"/>
                    <w:spacing w:before="0" w:beforeAutospacing="0" w:after="0" w:afterAutospacing="0"/>
                    <w:ind w:left="0" w:right="0"/>
                    <w:rPr>
                      <w:rFonts w:hint="eastAsia"/>
                      <w:b w:val="0"/>
                      <w:bCs w:val="0"/>
                      <w:szCs w:val="22"/>
                      <w:lang w:val="en-US" w:eastAsia="zh-CN"/>
                    </w:rPr>
                  </w:pPr>
                  <w:r>
                    <w:rPr>
                      <w:rFonts w:hint="eastAsia"/>
                      <w:b w:val="0"/>
                      <w:bCs w:val="0"/>
                      <w:szCs w:val="22"/>
                      <w:lang w:val="en-US" w:eastAsia="zh-CN"/>
                    </w:rPr>
                    <w:t>一、</w:t>
                  </w:r>
                  <w:r>
                    <w:rPr>
                      <w:rFonts w:hint="eastAsia"/>
                      <w:b w:val="0"/>
                      <w:bCs w:val="0"/>
                      <w:szCs w:val="22"/>
                    </w:rPr>
                    <w:t>1.本项目位于</w:t>
                  </w:r>
                  <w:r>
                    <w:rPr>
                      <w:rFonts w:hint="eastAsia"/>
                      <w:szCs w:val="22"/>
                      <w:lang w:val="en-US" w:eastAsia="zh-CN"/>
                    </w:rPr>
                    <w:t>福建省福州市福清融侨经济技术开发区内</w:t>
                  </w:r>
                  <w:r>
                    <w:rPr>
                      <w:rFonts w:hint="eastAsia"/>
                      <w:b w:val="0"/>
                      <w:bCs w:val="0"/>
                      <w:szCs w:val="22"/>
                    </w:rPr>
                    <w:t>，利用已建成厂房进行</w:t>
                  </w:r>
                  <w:r>
                    <w:rPr>
                      <w:rFonts w:hint="eastAsia"/>
                      <w:szCs w:val="22"/>
                    </w:rPr>
                    <w:t>铝合金、塑胶件及钣金件加工生产</w:t>
                  </w:r>
                  <w:r>
                    <w:rPr>
                      <w:rFonts w:hint="eastAsia"/>
                      <w:b w:val="0"/>
                      <w:bCs w:val="0"/>
                      <w:szCs w:val="22"/>
                    </w:rPr>
                    <w:t>，不扩大现有建设用地，不属于新建‘必须且无法避让的线性基础设施’等对国土空间规划有特殊要求的建设活动，不涉及种植、放牧、捕捞、养殖，考古研究、旅游业、地质调查与矿产资源勘查开采。</w:t>
                  </w:r>
                  <w:r>
                    <w:rPr>
                      <w:rFonts w:hint="eastAsia"/>
                      <w:b w:val="0"/>
                      <w:bCs w:val="0"/>
                      <w:szCs w:val="22"/>
                      <w:lang w:val="en-US" w:eastAsia="zh-CN"/>
                    </w:rPr>
                    <w:t>2.本项目不属于重大项目范围。</w:t>
                  </w:r>
                </w:p>
                <w:p w14:paraId="62EF1418">
                  <w:pPr>
                    <w:pStyle w:val="38"/>
                    <w:keepNext w:val="0"/>
                    <w:keepLines w:val="0"/>
                    <w:widowControl/>
                    <w:suppressLineNumbers w:val="0"/>
                    <w:bidi w:val="0"/>
                    <w:spacing w:before="0" w:beforeAutospacing="0" w:after="0" w:afterAutospacing="0"/>
                    <w:ind w:left="0" w:right="0"/>
                    <w:rPr>
                      <w:rFonts w:hint="eastAsia"/>
                      <w:b w:val="0"/>
                      <w:bCs w:val="0"/>
                      <w:szCs w:val="22"/>
                      <w:lang w:val="en-US" w:eastAsia="zh-CN"/>
                    </w:rPr>
                  </w:pPr>
                  <w:r>
                    <w:rPr>
                      <w:rFonts w:hint="eastAsia"/>
                      <w:b w:val="0"/>
                      <w:bCs w:val="0"/>
                      <w:szCs w:val="22"/>
                      <w:lang w:val="en-US" w:eastAsia="zh-CN"/>
                    </w:rPr>
                    <w:t>二、</w:t>
                  </w:r>
                  <w:r>
                    <w:rPr>
                      <w:rFonts w:hint="eastAsia"/>
                      <w:b w:val="0"/>
                      <w:bCs w:val="0"/>
                      <w:szCs w:val="22"/>
                    </w:rPr>
                    <w:t>本项目位于</w:t>
                  </w:r>
                  <w:r>
                    <w:rPr>
                      <w:rFonts w:hint="eastAsia"/>
                      <w:szCs w:val="22"/>
                      <w:lang w:val="en-US" w:eastAsia="zh-CN"/>
                    </w:rPr>
                    <w:t>福建省福州市福清融侨经济技术开发区内</w:t>
                  </w:r>
                  <w:r>
                    <w:rPr>
                      <w:rFonts w:hint="eastAsia"/>
                      <w:b w:val="0"/>
                      <w:bCs w:val="0"/>
                      <w:szCs w:val="22"/>
                      <w:lang w:eastAsia="zh-CN"/>
                    </w:rPr>
                    <w:t>，</w:t>
                  </w:r>
                  <w:r>
                    <w:rPr>
                      <w:rFonts w:hint="eastAsia"/>
                      <w:b w:val="0"/>
                      <w:bCs w:val="0"/>
                      <w:szCs w:val="22"/>
                      <w:lang w:val="en-US" w:eastAsia="zh-CN"/>
                    </w:rPr>
                    <w:t>不属于任何法定保护地，并承诺全面落实各项污染防治措施。</w:t>
                  </w:r>
                </w:p>
                <w:p w14:paraId="65EBB2A0">
                  <w:pPr>
                    <w:pStyle w:val="38"/>
                    <w:keepNext w:val="0"/>
                    <w:keepLines w:val="0"/>
                    <w:widowControl/>
                    <w:suppressLineNumbers w:val="0"/>
                    <w:bidi w:val="0"/>
                    <w:spacing w:before="0" w:beforeAutospacing="0" w:after="0" w:afterAutospacing="0"/>
                    <w:ind w:left="0" w:right="0"/>
                    <w:rPr>
                      <w:rFonts w:hint="default"/>
                      <w:b w:val="0"/>
                      <w:bCs w:val="0"/>
                      <w:szCs w:val="22"/>
                      <w:lang w:val="en-US" w:eastAsia="zh-CN"/>
                    </w:rPr>
                  </w:pPr>
                  <w:r>
                    <w:rPr>
                      <w:rFonts w:hint="eastAsia"/>
                      <w:b w:val="0"/>
                      <w:bCs w:val="0"/>
                      <w:szCs w:val="22"/>
                      <w:lang w:val="en-US" w:eastAsia="zh-CN"/>
                    </w:rPr>
                    <w:t>三、1-2、5-6.本项目</w:t>
                  </w:r>
                  <w:r>
                    <w:rPr>
                      <w:rFonts w:hint="eastAsia"/>
                      <w:b w:val="0"/>
                      <w:bCs w:val="0"/>
                      <w:szCs w:val="22"/>
                    </w:rPr>
                    <w:t>位于</w:t>
                  </w:r>
                  <w:r>
                    <w:rPr>
                      <w:rFonts w:hint="eastAsia"/>
                      <w:szCs w:val="22"/>
                      <w:lang w:val="en-US" w:eastAsia="zh-CN"/>
                    </w:rPr>
                    <w:t>福建省福州市福清融侨经济技术开发区内</w:t>
                  </w:r>
                  <w:r>
                    <w:rPr>
                      <w:rFonts w:hint="eastAsia"/>
                      <w:b w:val="0"/>
                      <w:bCs w:val="0"/>
                      <w:szCs w:val="22"/>
                      <w:lang w:val="en-US" w:eastAsia="zh-CN"/>
                    </w:rPr>
                    <w:t>，主要从事</w:t>
                  </w:r>
                  <w:r>
                    <w:rPr>
                      <w:rFonts w:hint="eastAsia"/>
                      <w:szCs w:val="22"/>
                    </w:rPr>
                    <w:t>铝合金、塑胶件及钣金件加工生产</w:t>
                  </w:r>
                  <w:r>
                    <w:rPr>
                      <w:rFonts w:hint="eastAsia"/>
                      <w:b w:val="0"/>
                      <w:bCs w:val="0"/>
                      <w:szCs w:val="22"/>
                      <w:lang w:val="en-US" w:eastAsia="zh-CN"/>
                    </w:rPr>
                    <w:t>，不涉及</w:t>
                  </w:r>
                  <w:r>
                    <w:rPr>
                      <w:rFonts w:hint="eastAsia"/>
                      <w:b w:val="0"/>
                      <w:bCs w:val="0"/>
                      <w:szCs w:val="22"/>
                    </w:rPr>
                    <w:t>植物制浆、印染、合成革及人造革、电镀</w:t>
                  </w:r>
                  <w:r>
                    <w:rPr>
                      <w:rFonts w:hint="eastAsia"/>
                      <w:b w:val="0"/>
                      <w:bCs w:val="0"/>
                      <w:szCs w:val="22"/>
                      <w:lang w:eastAsia="zh-CN"/>
                    </w:rPr>
                    <w:t>、</w:t>
                  </w:r>
                  <w:r>
                    <w:rPr>
                      <w:rFonts w:hint="eastAsia"/>
                      <w:b w:val="0"/>
                      <w:bCs w:val="0"/>
                      <w:szCs w:val="22"/>
                    </w:rPr>
                    <w:t>有色金属冶炼</w:t>
                  </w:r>
                  <w:r>
                    <w:rPr>
                      <w:rFonts w:hint="eastAsia"/>
                      <w:b w:val="0"/>
                      <w:bCs w:val="0"/>
                      <w:szCs w:val="22"/>
                      <w:lang w:eastAsia="zh-CN"/>
                    </w:rPr>
                    <w:t>、</w:t>
                  </w:r>
                  <w:r>
                    <w:rPr>
                      <w:rFonts w:hint="eastAsia"/>
                      <w:b w:val="0"/>
                      <w:bCs w:val="0"/>
                      <w:szCs w:val="22"/>
                    </w:rPr>
                    <w:t>铅蓄电池制造</w:t>
                  </w:r>
                  <w:r>
                    <w:rPr>
                      <w:rFonts w:hint="eastAsia"/>
                      <w:b w:val="0"/>
                      <w:bCs w:val="0"/>
                      <w:szCs w:val="22"/>
                      <w:lang w:eastAsia="zh-CN"/>
                    </w:rPr>
                    <w:t>、</w:t>
                  </w:r>
                  <w:r>
                    <w:rPr>
                      <w:rFonts w:hint="eastAsia"/>
                      <w:b w:val="0"/>
                      <w:bCs w:val="0"/>
                      <w:szCs w:val="22"/>
                    </w:rPr>
                    <w:t>用汞的电石法（聚）氯乙烯生产工艺</w:t>
                  </w:r>
                  <w:r>
                    <w:rPr>
                      <w:rFonts w:hint="eastAsia"/>
                      <w:b w:val="0"/>
                      <w:bCs w:val="0"/>
                      <w:szCs w:val="22"/>
                      <w:lang w:val="en-US" w:eastAsia="zh-CN"/>
                    </w:rPr>
                    <w:t>3、7.不属于</w:t>
                  </w:r>
                  <w:r>
                    <w:rPr>
                      <w:rFonts w:hint="eastAsia"/>
                      <w:b w:val="0"/>
                      <w:bCs w:val="0"/>
                      <w:szCs w:val="22"/>
                    </w:rPr>
                    <w:t>大气重污染企</w:t>
                  </w:r>
                  <w:r>
                    <w:rPr>
                      <w:rFonts w:hint="eastAsia"/>
                      <w:b w:val="0"/>
                      <w:bCs w:val="0"/>
                      <w:szCs w:val="22"/>
                      <w:highlight w:val="none"/>
                    </w:rPr>
                    <w:t>业</w:t>
                  </w:r>
                  <w:r>
                    <w:rPr>
                      <w:rFonts w:hint="eastAsia"/>
                      <w:b w:val="0"/>
                      <w:bCs w:val="0"/>
                      <w:szCs w:val="22"/>
                      <w:highlight w:val="none"/>
                      <w:lang w:val="en-US" w:eastAsia="zh-CN"/>
                    </w:rPr>
                    <w:t>4.</w:t>
                  </w:r>
                  <w:r>
                    <w:rPr>
                      <w:rFonts w:hint="default"/>
                      <w:b w:val="0"/>
                      <w:bCs w:val="0"/>
                      <w:szCs w:val="22"/>
                      <w:highlight w:val="none"/>
                      <w:lang w:val="en-US" w:eastAsia="zh-CN"/>
                    </w:rPr>
                    <w:t>本项目使用低VOCs含量原辅材料</w:t>
                  </w:r>
                  <w:r>
                    <w:rPr>
                      <w:rFonts w:hint="eastAsia"/>
                      <w:b w:val="0"/>
                      <w:bCs w:val="0"/>
                      <w:szCs w:val="22"/>
                      <w:highlight w:val="none"/>
                      <w:lang w:val="en-US" w:eastAsia="zh-CN"/>
                    </w:rPr>
                    <w:t>8.附近无</w:t>
                  </w:r>
                  <w:r>
                    <w:rPr>
                      <w:rFonts w:hint="eastAsia"/>
                      <w:b w:val="0"/>
                      <w:bCs w:val="0"/>
                      <w:szCs w:val="22"/>
                      <w:highlight w:val="none"/>
                    </w:rPr>
                    <w:t>重要敏感水体及富营养化湖</w:t>
                  </w:r>
                  <w:r>
                    <w:rPr>
                      <w:rFonts w:hint="eastAsia"/>
                      <w:b w:val="0"/>
                      <w:bCs w:val="0"/>
                      <w:szCs w:val="22"/>
                    </w:rPr>
                    <w:t>库生态缓冲带</w:t>
                  </w:r>
                  <w:r>
                    <w:rPr>
                      <w:rFonts w:hint="eastAsia"/>
                      <w:b w:val="0"/>
                      <w:bCs w:val="0"/>
                      <w:szCs w:val="22"/>
                      <w:lang w:val="en-US" w:eastAsia="zh-CN"/>
                    </w:rPr>
                    <w:t>9.本项目不涉及</w:t>
                  </w:r>
                  <w:r>
                    <w:rPr>
                      <w:rFonts w:hint="eastAsia"/>
                      <w:b w:val="0"/>
                      <w:bCs w:val="0"/>
                      <w:szCs w:val="22"/>
                    </w:rPr>
                    <w:t>新、改、扩建煤电、钢铁、建材、石化、化工等</w:t>
                  </w:r>
                  <w:r>
                    <w:rPr>
                      <w:rFonts w:hint="eastAsia"/>
                      <w:b w:val="0"/>
                      <w:bCs w:val="0"/>
                      <w:szCs w:val="22"/>
                      <w:lang w:eastAsia="zh-CN"/>
                    </w:rPr>
                    <w:t>“</w:t>
                  </w:r>
                  <w:r>
                    <w:rPr>
                      <w:rFonts w:hint="eastAsia"/>
                      <w:b w:val="0"/>
                      <w:bCs w:val="0"/>
                      <w:szCs w:val="22"/>
                    </w:rPr>
                    <w:t>两高</w:t>
                  </w:r>
                  <w:r>
                    <w:rPr>
                      <w:rFonts w:hint="eastAsia"/>
                      <w:b w:val="0"/>
                      <w:bCs w:val="0"/>
                      <w:szCs w:val="22"/>
                      <w:lang w:eastAsia="zh-CN"/>
                    </w:rPr>
                    <w:t>”</w:t>
                  </w:r>
                  <w:r>
                    <w:rPr>
                      <w:rFonts w:hint="eastAsia"/>
                      <w:b w:val="0"/>
                      <w:bCs w:val="0"/>
                      <w:szCs w:val="22"/>
                    </w:rPr>
                    <w:t>项目</w:t>
                  </w:r>
                  <w:r>
                    <w:rPr>
                      <w:rFonts w:hint="eastAsia"/>
                      <w:b w:val="0"/>
                      <w:bCs w:val="0"/>
                      <w:szCs w:val="22"/>
                      <w:lang w:eastAsia="zh-CN"/>
                    </w:rPr>
                    <w:t>，</w:t>
                  </w:r>
                  <w:r>
                    <w:rPr>
                      <w:rFonts w:hint="eastAsia"/>
                      <w:b w:val="0"/>
                      <w:bCs w:val="0"/>
                      <w:szCs w:val="22"/>
                      <w:lang w:val="en-US" w:eastAsia="zh-CN"/>
                    </w:rPr>
                    <w:t>非甲烷总烃施行</w:t>
                  </w:r>
                  <w:r>
                    <w:rPr>
                      <w:rFonts w:hint="eastAsia"/>
                      <w:b w:val="0"/>
                      <w:bCs w:val="0"/>
                      <w:szCs w:val="22"/>
                    </w:rPr>
                    <w:t>减量替代、区域污染削减等相关要求</w:t>
                  </w:r>
                  <w:r>
                    <w:rPr>
                      <w:rFonts w:hint="eastAsia"/>
                      <w:b w:val="0"/>
                      <w:bCs w:val="0"/>
                      <w:szCs w:val="22"/>
                      <w:lang w:val="en-US" w:eastAsia="zh-CN"/>
                    </w:rPr>
                    <w:t>10.本项目使用已建成厂房，不涉及永久基本农田。</w:t>
                  </w:r>
                </w:p>
              </w:tc>
            </w:tr>
            <w:tr w14:paraId="26C529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0" w:type="dxa"/>
                  <w:vMerge w:val="continue"/>
                  <w:tcBorders>
                    <w:tl2br w:val="nil"/>
                    <w:tr2bl w:val="nil"/>
                  </w:tcBorders>
                  <w:vAlign w:val="center"/>
                </w:tcPr>
                <w:p w14:paraId="64959E23">
                  <w:pPr>
                    <w:pStyle w:val="38"/>
                    <w:keepNext w:val="0"/>
                    <w:keepLines w:val="0"/>
                    <w:widowControl/>
                    <w:suppressLineNumbers w:val="0"/>
                    <w:bidi w:val="0"/>
                    <w:spacing w:before="0" w:beforeAutospacing="0" w:after="0" w:afterAutospacing="0"/>
                    <w:ind w:left="0" w:right="0"/>
                    <w:rPr>
                      <w:rFonts w:hint="eastAsia"/>
                      <w:b w:val="0"/>
                      <w:bCs w:val="0"/>
                      <w:szCs w:val="22"/>
                    </w:rPr>
                  </w:pPr>
                </w:p>
              </w:tc>
              <w:tc>
                <w:tcPr>
                  <w:tcW w:w="495" w:type="dxa"/>
                  <w:tcBorders>
                    <w:tl2br w:val="nil"/>
                    <w:tr2bl w:val="nil"/>
                  </w:tcBorders>
                  <w:vAlign w:val="center"/>
                </w:tcPr>
                <w:p w14:paraId="4C9773FE">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污染物排放管控</w:t>
                  </w:r>
                </w:p>
              </w:tc>
              <w:tc>
                <w:tcPr>
                  <w:tcW w:w="2500" w:type="dxa"/>
                  <w:tcBorders>
                    <w:tl2br w:val="nil"/>
                    <w:tr2bl w:val="nil"/>
                  </w:tcBorders>
                  <w:vAlign w:val="center"/>
                </w:tcPr>
                <w:p w14:paraId="3086696A">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1.工业类新（改、扩）建项目新增主要污染物（水污染物化学需氧量、氨氮和大气污染物二氧化硫、氮氧化物）排放总量指标应符合区域环境质量和总量控制要求，立足于通过</w:t>
                  </w:r>
                  <w:r>
                    <w:rPr>
                      <w:rFonts w:hint="eastAsia"/>
                      <w:b w:val="0"/>
                      <w:bCs w:val="0"/>
                      <w:szCs w:val="22"/>
                      <w:lang w:eastAsia="zh-CN"/>
                    </w:rPr>
                    <w:t>“</w:t>
                  </w:r>
                  <w:r>
                    <w:rPr>
                      <w:rFonts w:hint="eastAsia"/>
                      <w:b w:val="0"/>
                      <w:bCs w:val="0"/>
                      <w:szCs w:val="22"/>
                    </w:rPr>
                    <w:t>以新带老</w:t>
                  </w:r>
                  <w:r>
                    <w:rPr>
                      <w:rFonts w:hint="eastAsia"/>
                      <w:b w:val="0"/>
                      <w:bCs w:val="0"/>
                      <w:szCs w:val="22"/>
                      <w:lang w:eastAsia="zh-CN"/>
                    </w:rPr>
                    <w:t>”</w:t>
                  </w:r>
                  <w:r>
                    <w:rPr>
                      <w:rFonts w:hint="eastAsia"/>
                      <w:b w:val="0"/>
                      <w:bCs w:val="0"/>
                      <w:szCs w:val="22"/>
                    </w:rPr>
                    <w:t>、削减存量，努力实现区域、企业自身总量平衡。总量指标来源、审核和监督管理按照</w:t>
                  </w:r>
                  <w:r>
                    <w:rPr>
                      <w:rFonts w:hint="eastAsia"/>
                      <w:b w:val="0"/>
                      <w:bCs w:val="0"/>
                      <w:szCs w:val="22"/>
                      <w:lang w:eastAsia="zh-CN"/>
                    </w:rPr>
                    <w:t>“</w:t>
                  </w:r>
                  <w:r>
                    <w:rPr>
                      <w:rFonts w:hint="eastAsia"/>
                      <w:b w:val="0"/>
                      <w:bCs w:val="0"/>
                      <w:szCs w:val="22"/>
                    </w:rPr>
                    <w:t>榕环保综〔2017〕90号</w:t>
                  </w:r>
                  <w:r>
                    <w:rPr>
                      <w:rFonts w:hint="eastAsia"/>
                      <w:b w:val="0"/>
                      <w:bCs w:val="0"/>
                      <w:szCs w:val="22"/>
                      <w:lang w:eastAsia="zh-CN"/>
                    </w:rPr>
                    <w:t>”</w:t>
                  </w:r>
                  <w:r>
                    <w:rPr>
                      <w:rFonts w:hint="eastAsia"/>
                      <w:b w:val="0"/>
                      <w:bCs w:val="0"/>
                      <w:szCs w:val="22"/>
                    </w:rPr>
                    <w:t>等相关文件执行。</w:t>
                  </w:r>
                </w:p>
                <w:p w14:paraId="7949B1B5">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2.新、改、扩建涉VOCs排放项目污染物排放量应满足《福州市</w:t>
                  </w:r>
                  <w:r>
                    <w:rPr>
                      <w:rFonts w:hint="eastAsia"/>
                      <w:b w:val="0"/>
                      <w:bCs w:val="0"/>
                      <w:szCs w:val="22"/>
                      <w:lang w:eastAsia="zh-CN"/>
                    </w:rPr>
                    <w:t>“</w:t>
                  </w:r>
                  <w:r>
                    <w:rPr>
                      <w:rFonts w:hint="eastAsia"/>
                      <w:b w:val="0"/>
                      <w:bCs w:val="0"/>
                      <w:szCs w:val="22"/>
                    </w:rPr>
                    <w:t>十四五</w:t>
                  </w:r>
                  <w:r>
                    <w:rPr>
                      <w:rFonts w:hint="eastAsia"/>
                      <w:b w:val="0"/>
                      <w:bCs w:val="0"/>
                      <w:szCs w:val="22"/>
                      <w:lang w:eastAsia="zh-CN"/>
                    </w:rPr>
                    <w:t>”空气质量持续改善行动计划</w:t>
                  </w:r>
                  <w:r>
                    <w:rPr>
                      <w:rFonts w:hint="eastAsia"/>
                      <w:b w:val="0"/>
                      <w:bCs w:val="0"/>
                      <w:szCs w:val="22"/>
                    </w:rPr>
                    <w:t>》（榕环保综〔2023〕40号），应从源头加强控制，使用低（无）VOCs含量的原辅材料。</w:t>
                  </w:r>
                </w:p>
                <w:p w14:paraId="57D5EE3F">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3.严格控制新建、改建、扩建钢铁、水泥、平板玻璃、有色金属冶炼、化工等工业项目。新改扩建钢铁、火电项目</w:t>
                  </w:r>
                  <w:r>
                    <w:rPr>
                      <w:rFonts w:hint="eastAsia"/>
                      <w:b w:val="0"/>
                      <w:bCs w:val="0"/>
                      <w:szCs w:val="22"/>
                      <w:lang w:eastAsia="zh-CN"/>
                    </w:rPr>
                    <w:t>应当</w:t>
                  </w:r>
                  <w:r>
                    <w:rPr>
                      <w:rFonts w:hint="eastAsia"/>
                      <w:b w:val="0"/>
                      <w:bCs w:val="0"/>
                      <w:szCs w:val="22"/>
                    </w:rPr>
                    <w:t>执行超低排放限值，有色项目应当执行大气污染物特别排放限值。重点控制区新建化工、石化应当执行大气污染物特别排放限值。</w:t>
                  </w:r>
                </w:p>
                <w:p w14:paraId="0ADB8AEB">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4.氟化工、印染、电镀等行业企业实行水污染物特别排放限值。</w:t>
                  </w:r>
                </w:p>
                <w:p w14:paraId="5BA146DE">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5.新、改、扩建重点行业［2］建设项目要遵循重点重金属污染物排放</w:t>
                  </w:r>
                  <w:r>
                    <w:rPr>
                      <w:rFonts w:hint="eastAsia"/>
                      <w:b w:val="0"/>
                      <w:bCs w:val="0"/>
                      <w:szCs w:val="22"/>
                      <w:lang w:eastAsia="zh-CN"/>
                    </w:rPr>
                    <w:t>“</w:t>
                  </w:r>
                  <w:r>
                    <w:rPr>
                      <w:rFonts w:hint="eastAsia"/>
                      <w:b w:val="0"/>
                      <w:bCs w:val="0"/>
                      <w:szCs w:val="22"/>
                    </w:rPr>
                    <w:t>等量替代</w:t>
                  </w:r>
                  <w:r>
                    <w:rPr>
                      <w:rFonts w:hint="eastAsia"/>
                      <w:b w:val="0"/>
                      <w:bCs w:val="0"/>
                      <w:szCs w:val="22"/>
                      <w:lang w:eastAsia="zh-CN"/>
                    </w:rPr>
                    <w:t>”</w:t>
                  </w:r>
                  <w:r>
                    <w:rPr>
                      <w:rFonts w:hint="eastAsia"/>
                      <w:b w:val="0"/>
                      <w:bCs w:val="0"/>
                      <w:szCs w:val="22"/>
                    </w:rPr>
                    <w:t>原则，总量来源原则上应是同一重点行业内的削减量，当同一重点行业无法满足时可从其他重点行业调剂。</w:t>
                  </w:r>
                </w:p>
                <w:p w14:paraId="61ED1B33">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6.每小时35（含）—65蒸吨燃煤锅炉和位于县级及以上城市建成区内保留的燃煤、燃油、燃生物质锅炉，原则上2024年底前必须全面实现超低排放。</w:t>
                  </w:r>
                </w:p>
                <w:p w14:paraId="1905CF54">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7.水泥行业新改扩建项目严格对照超低排放、能效标杆水平建设实施；现有项目超低排放改造应按文件（闽环规〔2023〕2号）的时限要求分步推进，2025年底前全面完成［3］［4］。</w:t>
                  </w:r>
                </w:p>
                <w:p w14:paraId="7224CA56">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8.化工园区新建项目实施</w:t>
                  </w:r>
                  <w:r>
                    <w:rPr>
                      <w:rFonts w:hint="eastAsia"/>
                      <w:b w:val="0"/>
                      <w:bCs w:val="0"/>
                      <w:szCs w:val="22"/>
                      <w:lang w:eastAsia="zh-CN"/>
                    </w:rPr>
                    <w:t>“</w:t>
                  </w:r>
                  <w:r>
                    <w:rPr>
                      <w:rFonts w:hint="eastAsia"/>
                      <w:b w:val="0"/>
                      <w:bCs w:val="0"/>
                      <w:szCs w:val="22"/>
                    </w:rPr>
                    <w:t>禁限控</w:t>
                  </w:r>
                  <w:r>
                    <w:rPr>
                      <w:rFonts w:hint="eastAsia"/>
                      <w:b w:val="0"/>
                      <w:bCs w:val="0"/>
                      <w:szCs w:val="22"/>
                      <w:lang w:eastAsia="zh-CN"/>
                    </w:rPr>
                    <w:t>”</w:t>
                  </w:r>
                  <w:r>
                    <w:rPr>
                      <w:rFonts w:hint="eastAsia"/>
                      <w:b w:val="0"/>
                      <w:bCs w:val="0"/>
                      <w:szCs w:val="22"/>
                    </w:rPr>
                    <w:t>化学物质管控措施，项目在开展环境影响评价时应严格落实相关要求，严格涉新污染物建设项目源头防控和准入管理。以印染、皮革、农药、医药、涂料等行业为重点，推进有毒有害化学物质替代。严格落实废药品、废农药以及抗生素生产过程中产生的废母液、废反应基和废培养基等废物的收集利用处置要求。</w:t>
                  </w:r>
                </w:p>
              </w:tc>
              <w:tc>
                <w:tcPr>
                  <w:tcW w:w="3345" w:type="dxa"/>
                  <w:tcBorders>
                    <w:tl2br w:val="nil"/>
                    <w:tr2bl w:val="nil"/>
                  </w:tcBorders>
                  <w:shd w:val="clear" w:color="auto" w:fill="auto"/>
                  <w:vAlign w:val="center"/>
                </w:tcPr>
                <w:p w14:paraId="6FA0E8F2">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highlight w:val="none"/>
                    </w:rPr>
                    <w:t>1.本项目</w:t>
                  </w:r>
                  <w:r>
                    <w:rPr>
                      <w:rFonts w:hint="eastAsia"/>
                      <w:b w:val="0"/>
                      <w:bCs w:val="0"/>
                      <w:szCs w:val="22"/>
                      <w:highlight w:val="none"/>
                      <w:lang w:val="en-US" w:eastAsia="zh-CN"/>
                    </w:rPr>
                    <w:t>无生产废水产生，</w:t>
                  </w:r>
                  <w:r>
                    <w:rPr>
                      <w:rFonts w:hint="eastAsia"/>
                      <w:szCs w:val="22"/>
                      <w:highlight w:val="none"/>
                      <w:lang w:val="en-US" w:eastAsia="zh-CN"/>
                    </w:rPr>
                    <w:t>水帘喷漆用水循环使用不外排</w:t>
                  </w:r>
                  <w:r>
                    <w:rPr>
                      <w:rFonts w:hint="default"/>
                      <w:szCs w:val="22"/>
                      <w:highlight w:val="none"/>
                      <w:lang w:eastAsia="zh-CN"/>
                    </w:rPr>
                    <w:t>，</w:t>
                  </w:r>
                  <w:r>
                    <w:rPr>
                      <w:rFonts w:hint="eastAsia"/>
                      <w:szCs w:val="22"/>
                      <w:highlight w:val="none"/>
                      <w:lang w:eastAsia="zh-CN"/>
                    </w:rPr>
                    <w:t>定期捞漆渣</w:t>
                  </w:r>
                  <w:r>
                    <w:rPr>
                      <w:rFonts w:hint="eastAsia"/>
                      <w:b w:val="0"/>
                      <w:bCs w:val="0"/>
                      <w:szCs w:val="22"/>
                      <w:highlight w:val="none"/>
                    </w:rPr>
                    <w:t>，</w:t>
                  </w:r>
                  <w:r>
                    <w:rPr>
                      <w:rFonts w:hint="eastAsia"/>
                      <w:b w:val="0"/>
                      <w:bCs w:val="0"/>
                      <w:szCs w:val="22"/>
                      <w:highlight w:val="none"/>
                      <w:lang w:val="en-US" w:eastAsia="zh-CN"/>
                    </w:rPr>
                    <w:t>更换水帘柜废液，漆渣及水帘柜废液作为危废处置，</w:t>
                  </w:r>
                  <w:r>
                    <w:rPr>
                      <w:rFonts w:hint="eastAsia"/>
                      <w:b w:val="0"/>
                      <w:bCs w:val="0"/>
                      <w:szCs w:val="22"/>
                      <w:highlight w:val="none"/>
                    </w:rPr>
                    <w:t>不涉及新增主要污染物2.本项目使用低VOCs含量原辅材料；3-4.本项目不涉及钢铁、水泥、平板玻璃、有色金属冶炼、化工、氟化工、印染、电镀等行业；5.本项目不涉及重金属污染物排放；6-8.本项目不涉及锅炉</w:t>
                  </w:r>
                  <w:r>
                    <w:rPr>
                      <w:rFonts w:hint="eastAsia"/>
                      <w:b w:val="0"/>
                      <w:bCs w:val="0"/>
                      <w:szCs w:val="22"/>
                    </w:rPr>
                    <w:t>使用，不涉及水泥及化工行业</w:t>
                  </w:r>
                  <w:r>
                    <w:rPr>
                      <w:rFonts w:hint="eastAsia"/>
                      <w:b w:val="0"/>
                      <w:bCs w:val="0"/>
                      <w:szCs w:val="22"/>
                      <w:lang w:eastAsia="zh-CN"/>
                    </w:rPr>
                    <w:t>且</w:t>
                  </w:r>
                  <w:r>
                    <w:rPr>
                      <w:rFonts w:hint="eastAsia"/>
                      <w:b w:val="0"/>
                      <w:bCs w:val="0"/>
                      <w:szCs w:val="22"/>
                    </w:rPr>
                    <w:t>项目所在地不属于化工园区。</w:t>
                  </w:r>
                </w:p>
              </w:tc>
            </w:tr>
            <w:tr w14:paraId="7DA486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0" w:type="dxa"/>
                  <w:vMerge w:val="continue"/>
                  <w:tcBorders>
                    <w:tl2br w:val="nil"/>
                    <w:tr2bl w:val="nil"/>
                  </w:tcBorders>
                  <w:vAlign w:val="center"/>
                </w:tcPr>
                <w:p w14:paraId="22327A9F">
                  <w:pPr>
                    <w:pStyle w:val="38"/>
                    <w:keepNext w:val="0"/>
                    <w:keepLines w:val="0"/>
                    <w:widowControl/>
                    <w:suppressLineNumbers w:val="0"/>
                    <w:bidi w:val="0"/>
                    <w:spacing w:before="0" w:beforeAutospacing="0" w:after="0" w:afterAutospacing="0"/>
                    <w:ind w:left="0" w:right="0"/>
                    <w:rPr>
                      <w:rFonts w:hint="eastAsia"/>
                      <w:b w:val="0"/>
                      <w:bCs w:val="0"/>
                      <w:szCs w:val="22"/>
                    </w:rPr>
                  </w:pPr>
                </w:p>
              </w:tc>
              <w:tc>
                <w:tcPr>
                  <w:tcW w:w="495" w:type="dxa"/>
                  <w:tcBorders>
                    <w:tl2br w:val="nil"/>
                    <w:tr2bl w:val="nil"/>
                  </w:tcBorders>
                  <w:vAlign w:val="center"/>
                </w:tcPr>
                <w:p w14:paraId="4502AAA4">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资源开发效率要求</w:t>
                  </w:r>
                </w:p>
              </w:tc>
              <w:tc>
                <w:tcPr>
                  <w:tcW w:w="2500" w:type="dxa"/>
                  <w:tcBorders>
                    <w:tl2br w:val="nil"/>
                    <w:tr2bl w:val="nil"/>
                  </w:tcBorders>
                  <w:vAlign w:val="center"/>
                </w:tcPr>
                <w:p w14:paraId="6545376E">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1.到2024年底，全市范围内每小时10蒸吨及以下燃煤锅炉全面淘汰；到2025年底，全市范围内每小时35蒸吨以下燃煤锅炉通过集中供热、清洁能源替代、深度治理等方式全面实现转型、升级、退出，县级及以上城市建成区在用锅炉（燃煤、燃油、燃生物质）全面改用电能等清洁能源或治理达到超低排放水平；禁止新建每小时35蒸吨以下燃煤锅炉，以及每小时10蒸吨及以下燃生物质和其他使用高污染燃料的锅炉。集中供热管网覆盖范围内禁止新建、扩建分散燃煤、燃油等供热锅炉。</w:t>
                  </w:r>
                </w:p>
                <w:p w14:paraId="7B6F3F31">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2.按照</w:t>
                  </w:r>
                  <w:r>
                    <w:rPr>
                      <w:rFonts w:hint="eastAsia"/>
                      <w:b w:val="0"/>
                      <w:bCs w:val="0"/>
                      <w:szCs w:val="22"/>
                      <w:lang w:eastAsia="zh-CN"/>
                    </w:rPr>
                    <w:t>“</w:t>
                  </w:r>
                  <w:r>
                    <w:rPr>
                      <w:rFonts w:hint="eastAsia"/>
                      <w:b w:val="0"/>
                      <w:bCs w:val="0"/>
                      <w:szCs w:val="22"/>
                    </w:rPr>
                    <w:t>提气、转电、控煤</w:t>
                  </w:r>
                  <w:r>
                    <w:rPr>
                      <w:rFonts w:hint="eastAsia"/>
                      <w:b w:val="0"/>
                      <w:bCs w:val="0"/>
                      <w:szCs w:val="22"/>
                      <w:lang w:eastAsia="zh-CN"/>
                    </w:rPr>
                    <w:t>”</w:t>
                  </w:r>
                  <w:r>
                    <w:rPr>
                      <w:rFonts w:hint="eastAsia"/>
                      <w:b w:val="0"/>
                      <w:bCs w:val="0"/>
                      <w:szCs w:val="22"/>
                    </w:rPr>
                    <w:t>的发展思路，推动陶瓷行业进一步优化用能结构，实现能源消费清洁低碳化。</w:t>
                  </w:r>
                </w:p>
              </w:tc>
              <w:tc>
                <w:tcPr>
                  <w:tcW w:w="3345" w:type="dxa"/>
                  <w:tcBorders>
                    <w:tl2br w:val="nil"/>
                    <w:tr2bl w:val="nil"/>
                  </w:tcBorders>
                  <w:vAlign w:val="center"/>
                </w:tcPr>
                <w:p w14:paraId="1BB3B3C8">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本项目不涉及锅炉使用，不属于陶瓷行业。</w:t>
                  </w:r>
                </w:p>
              </w:tc>
            </w:tr>
            <w:tr w14:paraId="2E5D2E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0" w:type="dxa"/>
                  <w:tcBorders>
                    <w:tl2br w:val="nil"/>
                    <w:tr2bl w:val="nil"/>
                  </w:tcBorders>
                  <w:textDirection w:val="tbRlV"/>
                  <w:vAlign w:val="top"/>
                </w:tcPr>
                <w:p w14:paraId="16152E81">
                  <w:pPr>
                    <w:pStyle w:val="38"/>
                    <w:keepNext w:val="0"/>
                    <w:keepLines w:val="0"/>
                    <w:widowControl/>
                    <w:suppressLineNumbers w:val="0"/>
                    <w:bidi w:val="0"/>
                    <w:spacing w:before="0" w:beforeAutospacing="0" w:after="0" w:afterAutospacing="0"/>
                    <w:ind w:left="0" w:right="0"/>
                    <w:rPr>
                      <w:rFonts w:hint="eastAsia"/>
                      <w:b w:val="0"/>
                      <w:bCs w:val="0"/>
                      <w:szCs w:val="22"/>
                      <w:lang w:val="en-US" w:eastAsia="zh-CN"/>
                    </w:rPr>
                  </w:pPr>
                  <w:r>
                    <w:rPr>
                      <w:rFonts w:hint="eastAsia"/>
                      <w:b w:val="0"/>
                      <w:bCs w:val="0"/>
                      <w:szCs w:val="22"/>
                      <w:lang w:val="en-US" w:eastAsia="zh-CN"/>
                    </w:rPr>
                    <w:t>海岸线</w:t>
                  </w:r>
                </w:p>
              </w:tc>
              <w:tc>
                <w:tcPr>
                  <w:tcW w:w="495" w:type="dxa"/>
                  <w:tcBorders>
                    <w:tl2br w:val="nil"/>
                    <w:tr2bl w:val="nil"/>
                  </w:tcBorders>
                  <w:vAlign w:val="top"/>
                </w:tcPr>
                <w:p w14:paraId="45C8036E">
                  <w:pPr>
                    <w:pStyle w:val="38"/>
                    <w:keepNext w:val="0"/>
                    <w:keepLines w:val="0"/>
                    <w:widowControl/>
                    <w:suppressLineNumbers w:val="0"/>
                    <w:bidi w:val="0"/>
                    <w:spacing w:before="0" w:beforeAutospacing="0" w:after="0" w:afterAutospacing="0"/>
                    <w:ind w:left="0" w:right="0"/>
                    <w:rPr>
                      <w:rFonts w:hint="eastAsia"/>
                      <w:b w:val="0"/>
                      <w:bCs w:val="0"/>
                      <w:szCs w:val="22"/>
                      <w:lang w:val="en-US" w:eastAsia="zh-CN"/>
                    </w:rPr>
                  </w:pPr>
                  <w:r>
                    <w:rPr>
                      <w:rFonts w:hint="eastAsia"/>
                      <w:b w:val="0"/>
                      <w:bCs w:val="0"/>
                      <w:szCs w:val="22"/>
                      <w:lang w:val="en-US" w:eastAsia="zh-CN"/>
                    </w:rPr>
                    <w:t>空间布局约束</w:t>
                  </w:r>
                </w:p>
              </w:tc>
              <w:tc>
                <w:tcPr>
                  <w:tcW w:w="2500" w:type="dxa"/>
                  <w:tcBorders>
                    <w:tl2br w:val="nil"/>
                    <w:tr2bl w:val="nil"/>
                  </w:tcBorders>
                  <w:vAlign w:val="top"/>
                </w:tcPr>
                <w:p w14:paraId="29B667FC">
                  <w:pPr>
                    <w:pStyle w:val="38"/>
                    <w:keepNext w:val="0"/>
                    <w:keepLines w:val="0"/>
                    <w:widowControl/>
                    <w:suppressLineNumbers w:val="0"/>
                    <w:bidi w:val="0"/>
                    <w:spacing w:before="0" w:beforeAutospacing="0" w:after="0" w:afterAutospacing="0"/>
                    <w:ind w:left="0" w:right="0"/>
                    <w:rPr>
                      <w:rFonts w:hint="eastAsia"/>
                      <w:b w:val="0"/>
                      <w:bCs w:val="0"/>
                      <w:szCs w:val="22"/>
                      <w:lang w:val="en-US" w:eastAsia="zh-CN"/>
                    </w:rPr>
                  </w:pPr>
                  <w:r>
                    <w:rPr>
                      <w:rFonts w:hint="eastAsia"/>
                      <w:b w:val="0"/>
                      <w:bCs w:val="0"/>
                      <w:szCs w:val="22"/>
                      <w:lang w:val="en-US" w:eastAsia="zh-CN"/>
                    </w:rPr>
                    <w:t>1.严格限制建设项目占用自然岸线，项目选址和平面设计应当避让自然岸线。国家重大项目需要新增围填海等改变海域自然属性，以及线性工程等基础设施，渔港、陆岛交通码头、防灾减灾等民生工程，海洋生态修复等公益项目，需要建设非透水构筑物且无法避让的，可以占用自然岸线。确需占用自然岸线的建设项目，要落实集约节约利用等要求，严格进行论证，按照规定允许建设项目占用自然岸线的，应当通过整治修复等措施补充生态恢复岸线，补充长度不少于占用长度。</w:t>
                  </w:r>
                </w:p>
                <w:p w14:paraId="2EBC7EFD">
                  <w:pPr>
                    <w:pStyle w:val="38"/>
                    <w:keepNext w:val="0"/>
                    <w:keepLines w:val="0"/>
                    <w:widowControl/>
                    <w:suppressLineNumbers w:val="0"/>
                    <w:bidi w:val="0"/>
                    <w:spacing w:before="0" w:beforeAutospacing="0" w:after="0" w:afterAutospacing="0"/>
                    <w:ind w:left="0" w:right="0"/>
                    <w:rPr>
                      <w:rFonts w:hint="eastAsia"/>
                      <w:b w:val="0"/>
                      <w:bCs w:val="0"/>
                      <w:szCs w:val="22"/>
                      <w:lang w:val="en-US" w:eastAsia="zh-CN"/>
                    </w:rPr>
                  </w:pPr>
                  <w:r>
                    <w:rPr>
                      <w:rFonts w:hint="eastAsia"/>
                      <w:b w:val="0"/>
                      <w:bCs w:val="0"/>
                      <w:szCs w:val="22"/>
                      <w:lang w:val="en-US" w:eastAsia="zh-CN"/>
                    </w:rPr>
                    <w:t>2.适时搬迁或取消松门、长安、小长门等闽江口内港作业区的油品、液体化工品码头功能，适度控制新建企业专用码头，推行码头共用。</w:t>
                  </w:r>
                </w:p>
                <w:p w14:paraId="165681F8">
                  <w:pPr>
                    <w:pStyle w:val="38"/>
                    <w:keepNext w:val="0"/>
                    <w:keepLines w:val="0"/>
                    <w:widowControl/>
                    <w:suppressLineNumbers w:val="0"/>
                    <w:bidi w:val="0"/>
                    <w:spacing w:before="0" w:beforeAutospacing="0" w:after="0" w:afterAutospacing="0"/>
                    <w:ind w:left="0" w:right="0"/>
                    <w:rPr>
                      <w:rFonts w:hint="eastAsia"/>
                      <w:b w:val="0"/>
                      <w:bCs w:val="0"/>
                      <w:szCs w:val="22"/>
                      <w:lang w:val="en-US" w:eastAsia="zh-CN"/>
                    </w:rPr>
                  </w:pPr>
                  <w:r>
                    <w:rPr>
                      <w:rFonts w:hint="eastAsia"/>
                      <w:b w:val="0"/>
                      <w:bCs w:val="0"/>
                      <w:szCs w:val="22"/>
                      <w:lang w:val="en-US" w:eastAsia="zh-CN"/>
                    </w:rPr>
                    <w:t>3.实施港口建设分类引导和约束，严控港口重复建设。闽江口内港区重点准入对台“三通”客运项目，兼顾能源、集装箱等货运项目；福州（连江）国家远洋渔业基地核心区远洋渔业母港重点准入远洋渔业装卸码头、渔港、锚地、航道建设项目；江阴港区重点准入集装箱运输项目，兼顾散杂货、化工品和商品汽车运输项目；松下港区重点准入粮食、散杂货运输项目；罗源湾港区重点准入煤炭、矿石等散货运输项目。</w:t>
                  </w:r>
                </w:p>
              </w:tc>
              <w:tc>
                <w:tcPr>
                  <w:tcW w:w="3345" w:type="dxa"/>
                  <w:tcBorders>
                    <w:tl2br w:val="nil"/>
                    <w:tr2bl w:val="nil"/>
                  </w:tcBorders>
                  <w:vAlign w:val="top"/>
                </w:tcPr>
                <w:p w14:paraId="0A479DB2">
                  <w:pPr>
                    <w:pStyle w:val="38"/>
                    <w:keepNext w:val="0"/>
                    <w:keepLines w:val="0"/>
                    <w:widowControl/>
                    <w:suppressLineNumbers w:val="0"/>
                    <w:bidi w:val="0"/>
                    <w:spacing w:before="0" w:beforeAutospacing="0" w:after="0" w:afterAutospacing="0"/>
                    <w:ind w:left="0" w:right="0"/>
                    <w:rPr>
                      <w:rFonts w:hint="eastAsia"/>
                      <w:b w:val="0"/>
                      <w:bCs w:val="0"/>
                      <w:szCs w:val="22"/>
                      <w:lang w:eastAsia="zh-CN"/>
                    </w:rPr>
                  </w:pPr>
                  <w:r>
                    <w:rPr>
                      <w:rFonts w:hint="eastAsia"/>
                      <w:b w:val="0"/>
                      <w:bCs w:val="0"/>
                      <w:szCs w:val="22"/>
                    </w:rPr>
                    <w:t>1.本项目选址于</w:t>
                  </w:r>
                  <w:r>
                    <w:rPr>
                      <w:rFonts w:hint="eastAsia"/>
                      <w:b w:val="0"/>
                      <w:bCs w:val="0"/>
                      <w:szCs w:val="22"/>
                      <w:lang w:eastAsia="zh-CN"/>
                    </w:rPr>
                    <w:t>福建省福州市福清融侨经济技术开发区内</w:t>
                  </w:r>
                  <w:r>
                    <w:rPr>
                      <w:rFonts w:hint="eastAsia"/>
                      <w:b w:val="0"/>
                      <w:bCs w:val="0"/>
                      <w:szCs w:val="22"/>
                    </w:rPr>
                    <w:t>，利用已建成厂房，远离自然岸线2-3.本项目</w:t>
                  </w:r>
                  <w:r>
                    <w:rPr>
                      <w:rFonts w:hint="eastAsia"/>
                      <w:b w:val="0"/>
                      <w:bCs w:val="0"/>
                      <w:szCs w:val="22"/>
                      <w:lang w:eastAsia="zh-CN"/>
                    </w:rPr>
                    <w:t>主要从事铝合金、塑胶件及钣金件加工生产</w:t>
                  </w:r>
                  <w:r>
                    <w:rPr>
                      <w:rFonts w:hint="eastAsia"/>
                      <w:b w:val="0"/>
                      <w:bCs w:val="0"/>
                      <w:szCs w:val="22"/>
                    </w:rPr>
                    <w:t>，不属于闽江口内港作业区的油品、液体化工品码头以及港口建设</w:t>
                  </w:r>
                  <w:r>
                    <w:rPr>
                      <w:rFonts w:hint="eastAsia"/>
                      <w:b w:val="0"/>
                      <w:bCs w:val="0"/>
                      <w:szCs w:val="22"/>
                      <w:lang w:eastAsia="zh-CN"/>
                    </w:rPr>
                    <w:t>。</w:t>
                  </w:r>
                </w:p>
              </w:tc>
            </w:tr>
            <w:tr w14:paraId="1B0BF1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0" w:type="dxa"/>
                  <w:vMerge w:val="restart"/>
                  <w:tcBorders>
                    <w:tl2br w:val="nil"/>
                    <w:tr2bl w:val="nil"/>
                  </w:tcBorders>
                  <w:textDirection w:val="tbRlV"/>
                  <w:vAlign w:val="top"/>
                </w:tcPr>
                <w:p w14:paraId="2104587E">
                  <w:pPr>
                    <w:pStyle w:val="38"/>
                    <w:keepNext w:val="0"/>
                    <w:keepLines w:val="0"/>
                    <w:widowControl/>
                    <w:suppressLineNumbers w:val="0"/>
                    <w:bidi w:val="0"/>
                    <w:spacing w:before="0" w:beforeAutospacing="0" w:after="0" w:afterAutospacing="0"/>
                    <w:ind w:left="0" w:right="0"/>
                    <w:rPr>
                      <w:rFonts w:hint="default"/>
                      <w:b w:val="0"/>
                      <w:bCs w:val="0"/>
                      <w:szCs w:val="22"/>
                      <w:lang w:val="en-US"/>
                    </w:rPr>
                  </w:pPr>
                  <w:r>
                    <w:rPr>
                      <w:rFonts w:hint="eastAsia"/>
                      <w:b w:val="0"/>
                      <w:bCs w:val="0"/>
                      <w:szCs w:val="22"/>
                      <w:lang w:val="en-US" w:eastAsia="zh-CN"/>
                    </w:rPr>
                    <w:t>近岸海域</w:t>
                  </w:r>
                </w:p>
              </w:tc>
              <w:tc>
                <w:tcPr>
                  <w:tcW w:w="495" w:type="dxa"/>
                  <w:tcBorders>
                    <w:tl2br w:val="nil"/>
                    <w:tr2bl w:val="nil"/>
                  </w:tcBorders>
                  <w:vAlign w:val="top"/>
                </w:tcPr>
                <w:p w14:paraId="533CA8E9">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lang w:val="en-US" w:eastAsia="zh-CN"/>
                    </w:rPr>
                    <w:t>空间布局约束</w:t>
                  </w:r>
                </w:p>
              </w:tc>
              <w:tc>
                <w:tcPr>
                  <w:tcW w:w="2500" w:type="dxa"/>
                  <w:tcBorders>
                    <w:tl2br w:val="nil"/>
                    <w:tr2bl w:val="nil"/>
                  </w:tcBorders>
                  <w:vAlign w:val="top"/>
                </w:tcPr>
                <w:p w14:paraId="1B723752">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1.严格落实国家围填海管控规定，除国家重大项目外，全面禁止围填海。2.强化生态保护红线区的管控，确保邻近的交通运输用海、工矿通信用海等功能区开发活动不得影响生态保护红线区的功能。强化闽江口、福清湾及兴化湾重要滨海湿地保护，禁止破坏芦苇荡等植被群落，生产设施与水禽筑巢区、觅食及栖息地等集中分布区须保留安全距离；禁止高噪音等惊扰鸟类的作业，禁止大面积使用栖息水鸟害怕的颜色。</w:t>
                  </w:r>
                </w:p>
                <w:p w14:paraId="4EBEA95B">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3.江阴特殊利用区内设置排污口，需严格论证并执行污水达标排放和设置深水排放口，不得影响临近的兴化湾水鸟省级自然保护区。</w:t>
                  </w:r>
                </w:p>
                <w:p w14:paraId="4932B44C">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4.优化调整环罗源湾区域发展定位和产业布局。大官坂组团发展污染相对较低的石化中下游产业和精细化工产品，并适当控制其发展规模，不再扩大聚酰胺一体化及配套项目规模。松山片区禁止引进、建设集中电镀、制浆、医药、农药、酿造等重污染项目。</w:t>
                  </w:r>
                </w:p>
                <w:p w14:paraId="5C54275F">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5.严格落实养殖水域滩涂规划，防止超规划养殖反弹回潮，进一步优化海水养殖空间布局。禁养区内和规划范围外的海水养殖予以退出；罗源湾禁养区禁止开展水产养殖，限养区不得开展网箱养殖。</w:t>
                  </w:r>
                </w:p>
                <w:p w14:paraId="6DDDE2FA">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6.涉及利用无居民海岛的，原则上仅允许按照相关规定对海岛自然岸线、表面积、岛体、植被改变轻微的低影响利用方式。</w:t>
                  </w:r>
                </w:p>
              </w:tc>
              <w:tc>
                <w:tcPr>
                  <w:tcW w:w="3345" w:type="dxa"/>
                  <w:tcBorders>
                    <w:tl2br w:val="nil"/>
                    <w:tr2bl w:val="nil"/>
                  </w:tcBorders>
                  <w:vAlign w:val="top"/>
                </w:tcPr>
                <w:p w14:paraId="442DCF67">
                  <w:pPr>
                    <w:pStyle w:val="38"/>
                    <w:keepNext w:val="0"/>
                    <w:keepLines w:val="0"/>
                    <w:widowControl/>
                    <w:suppressLineNumbers w:val="0"/>
                    <w:bidi w:val="0"/>
                    <w:spacing w:before="0" w:beforeAutospacing="0" w:after="0" w:afterAutospacing="0"/>
                    <w:ind w:left="0" w:right="0"/>
                    <w:rPr>
                      <w:rFonts w:hint="eastAsia"/>
                      <w:b w:val="0"/>
                      <w:bCs w:val="0"/>
                      <w:szCs w:val="22"/>
                      <w:lang w:eastAsia="zh-CN"/>
                    </w:rPr>
                  </w:pPr>
                  <w:r>
                    <w:rPr>
                      <w:rFonts w:hint="eastAsia"/>
                      <w:b w:val="0"/>
                      <w:bCs w:val="0"/>
                      <w:szCs w:val="22"/>
                    </w:rPr>
                    <w:t>本项目选址于</w:t>
                  </w:r>
                  <w:r>
                    <w:rPr>
                      <w:rFonts w:hint="eastAsia"/>
                      <w:b w:val="0"/>
                      <w:bCs w:val="0"/>
                      <w:szCs w:val="22"/>
                      <w:lang w:eastAsia="zh-CN"/>
                    </w:rPr>
                    <w:t>福建省福州市福清融侨经济技术开发区内</w:t>
                  </w:r>
                  <w:r>
                    <w:rPr>
                      <w:rFonts w:hint="eastAsia"/>
                      <w:b w:val="0"/>
                      <w:bCs w:val="0"/>
                      <w:szCs w:val="22"/>
                    </w:rPr>
                    <w:t>，利用已建成厂房，本项目</w:t>
                  </w:r>
                  <w:r>
                    <w:rPr>
                      <w:rFonts w:hint="eastAsia"/>
                      <w:b w:val="0"/>
                      <w:bCs w:val="0"/>
                      <w:szCs w:val="22"/>
                      <w:lang w:eastAsia="zh-CN"/>
                    </w:rPr>
                    <w:t>主要从事铝合金、塑胶件及钣金件加工生产</w:t>
                  </w:r>
                  <w:r>
                    <w:rPr>
                      <w:rFonts w:hint="eastAsia"/>
                      <w:b w:val="0"/>
                      <w:bCs w:val="0"/>
                      <w:szCs w:val="22"/>
                    </w:rPr>
                    <w:t>，不涉及围填海、海、工矿通信用海等功能区开发活动，不位于闽江口、福清湾及兴化湾重要滨海湿地、江阴特殊利用区、兴化湾水鸟省级自然保护区、罗源湾区、大官坂组团、松山片区、罗源湾禁养区，不涉及利用无居民海岛</w:t>
                  </w:r>
                  <w:r>
                    <w:rPr>
                      <w:rFonts w:hint="eastAsia"/>
                      <w:b w:val="0"/>
                      <w:bCs w:val="0"/>
                      <w:szCs w:val="22"/>
                      <w:lang w:eastAsia="zh-CN"/>
                    </w:rPr>
                    <w:t>。</w:t>
                  </w:r>
                </w:p>
              </w:tc>
            </w:tr>
            <w:tr w14:paraId="297BA3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0" w:type="dxa"/>
                  <w:vMerge w:val="continue"/>
                  <w:tcBorders>
                    <w:tl2br w:val="nil"/>
                    <w:tr2bl w:val="nil"/>
                  </w:tcBorders>
                  <w:textDirection w:val="tbRlV"/>
                  <w:vAlign w:val="top"/>
                </w:tcPr>
                <w:p w14:paraId="5D6C142B">
                  <w:pPr>
                    <w:pStyle w:val="38"/>
                    <w:keepNext w:val="0"/>
                    <w:keepLines w:val="0"/>
                    <w:widowControl/>
                    <w:suppressLineNumbers w:val="0"/>
                    <w:bidi w:val="0"/>
                    <w:spacing w:before="0" w:beforeAutospacing="0" w:after="0" w:afterAutospacing="0"/>
                    <w:ind w:left="0" w:right="0"/>
                    <w:rPr>
                      <w:rFonts w:hint="eastAsia"/>
                      <w:b w:val="0"/>
                      <w:bCs w:val="0"/>
                      <w:szCs w:val="22"/>
                    </w:rPr>
                  </w:pPr>
                </w:p>
              </w:tc>
              <w:tc>
                <w:tcPr>
                  <w:tcW w:w="495" w:type="dxa"/>
                  <w:tcBorders>
                    <w:tl2br w:val="nil"/>
                    <w:tr2bl w:val="nil"/>
                  </w:tcBorders>
                  <w:vAlign w:val="top"/>
                </w:tcPr>
                <w:p w14:paraId="63D5DED7">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污染</w:t>
                  </w:r>
                </w:p>
                <w:p w14:paraId="148E0A55">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物排</w:t>
                  </w:r>
                </w:p>
                <w:p w14:paraId="3EAEA65D">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放管 控</w:t>
                  </w:r>
                </w:p>
              </w:tc>
              <w:tc>
                <w:tcPr>
                  <w:tcW w:w="2500" w:type="dxa"/>
                  <w:tcBorders>
                    <w:tl2br w:val="nil"/>
                    <w:tr2bl w:val="nil"/>
                  </w:tcBorders>
                  <w:vAlign w:val="top"/>
                </w:tcPr>
                <w:p w14:paraId="743CC980">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1.罗源湾实行主要污染物入海总量控制。合理设置湾内排污口，化工废水应全部引至湾外排放，可门经济区污水排放落实湾外深海排放。全面推进罗源湾入海排污口排查溯源、分类整治和起步溪等入海溪流综合整治。提升罗源湾港区污染物接收处理能力。</w:t>
                  </w:r>
                </w:p>
                <w:p w14:paraId="57A54646">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2.实行闽江口主要污染物入海总量控制，控制闽江入海断面水质，削减氮磷入海总量。巩固深化闽江口综合整治成效，持续开展闽江口周边入海溪流水质提升行动，全面推进闽江口入海排污口排查溯源和分类整治。优化闽江口以北连江东部海域养殖结构和布局，控制养殖密度和规模。</w:t>
                  </w:r>
                </w:p>
                <w:p w14:paraId="07A64F5E">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3.全面开展福清湾入海排污口排查溯源和分类整治，加强福清湾及龙江沿岸农村生活污水、生活垃圾的收集处理处置。严格控制湾内投饵型网箱养殖规模和密度，实行生态养殖，强化养殖污染防治和养殖尾水治理监管。</w:t>
                  </w:r>
                </w:p>
                <w:p w14:paraId="2F25E437">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4.兴化湾实行主要污染物入海总量控制，全面开展兴化湾福州段入海排污口排查溯源和分类整治，加快推动沿岸乡镇配套污水管网建设及江阴工业区污水处理厂提标改造，湾内严格控制投饵型网箱养殖规模和密度，实行生态养殖，强化养殖污染防治和养殖尾水治理监管。</w:t>
                  </w:r>
                </w:p>
                <w:p w14:paraId="1C5ADF31">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5.近岸海域汇水区域内城镇污水处理设施执行不低于一级A排放标准，推进沿海农村生活污水收集处理。</w:t>
                  </w:r>
                </w:p>
                <w:p w14:paraId="45B6D147">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6.出台福州市养殖尾水排放标准，强化养殖尾水治理和排放监测监管。控制养殖规模和密度，发展生态养殖，推进传统养殖设施的升级改造，推广环保型全塑胶鱼排和深水抗风浪网箱。实施海水养殖排污口排查整治，推进分类治理及规范化设置，实施规模化养殖池塘标准化改造。</w:t>
                  </w:r>
                </w:p>
                <w:p w14:paraId="5C0E929A">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7.强化陆海污染联防联控，推动</w:t>
                  </w:r>
                  <w:r>
                    <w:rPr>
                      <w:rFonts w:hint="eastAsia"/>
                      <w:b w:val="0"/>
                      <w:bCs w:val="0"/>
                      <w:szCs w:val="22"/>
                      <w:lang w:eastAsia="zh-CN"/>
                    </w:rPr>
                    <w:t>“</w:t>
                  </w:r>
                  <w:r>
                    <w:rPr>
                      <w:rFonts w:hint="eastAsia"/>
                      <w:b w:val="0"/>
                      <w:bCs w:val="0"/>
                      <w:szCs w:val="22"/>
                    </w:rPr>
                    <w:t>蓝色海湾</w:t>
                  </w:r>
                  <w:r>
                    <w:rPr>
                      <w:rFonts w:hint="eastAsia"/>
                      <w:b w:val="0"/>
                      <w:bCs w:val="0"/>
                      <w:szCs w:val="22"/>
                      <w:lang w:eastAsia="zh-CN"/>
                    </w:rPr>
                    <w:t>”</w:t>
                  </w:r>
                  <w:r>
                    <w:rPr>
                      <w:rFonts w:hint="eastAsia"/>
                      <w:b w:val="0"/>
                      <w:bCs w:val="0"/>
                      <w:szCs w:val="22"/>
                    </w:rPr>
                    <w:t>整治项目、海岸带生态保护修复工程等重大工程建设，推进沿海岸线自然化和生态保护修复。</w:t>
                  </w:r>
                </w:p>
                <w:p w14:paraId="05319305">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8.闽江口内港区现有油品和危险品（液化石油气）码头搬迁前应切实保障现有油污水处理设施的有效性，搬迁后由江阴港区、罗源湾港区在对应码头设立油污水接收处理系统。其他港区的生产性油污水由码头自建油污水处理设施处理达标后排入依托城市污水处理厂，杜绝港区油污水散排。</w:t>
                  </w:r>
                </w:p>
                <w:p w14:paraId="6B43D274">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9.提升海上环卫队伍专业化水平，强化海陆环卫无缝衔接，完善海漂垃圾收集处置设施建设实现海滩海面常态化清理保洁，强化渔业垃圾等管控，强化重点旅游岸段及罗源湾、兴化湾等重点岸段的监视监控，定期开展专项整治行动。</w:t>
                  </w:r>
                </w:p>
                <w:p w14:paraId="11707287">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10.巩固深化罗源湾、闽江口、福清湾、兴化湾等重点海湾综合治理，持续改善近岸海域环境质量。</w:t>
                  </w:r>
                </w:p>
                <w:p w14:paraId="7DEA6723">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11.加强陆海统筹和区域协同，深化闽江、敖江、龙江主要入海河流及占泽溪等入海小流域综合治理；因地制宜加强总氮排放控制，实施入海河流总氮削减工程。</w:t>
                  </w:r>
                </w:p>
                <w:p w14:paraId="2CD27CD7">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12.推进省级及以上工业园区完成污水零直排建设，建设福清江阴港城经济区等一批</w:t>
                  </w:r>
                  <w:r>
                    <w:rPr>
                      <w:rFonts w:hint="eastAsia"/>
                      <w:b w:val="0"/>
                      <w:bCs w:val="0"/>
                      <w:szCs w:val="22"/>
                      <w:lang w:eastAsia="zh-CN"/>
                    </w:rPr>
                    <w:t>“</w:t>
                  </w:r>
                  <w:r>
                    <w:rPr>
                      <w:rFonts w:hint="eastAsia"/>
                      <w:b w:val="0"/>
                      <w:bCs w:val="0"/>
                      <w:szCs w:val="22"/>
                    </w:rPr>
                    <w:t>污水零直排</w:t>
                  </w:r>
                  <w:r>
                    <w:rPr>
                      <w:rFonts w:hint="eastAsia"/>
                      <w:b w:val="0"/>
                      <w:bCs w:val="0"/>
                      <w:szCs w:val="22"/>
                      <w:lang w:eastAsia="zh-CN"/>
                    </w:rPr>
                    <w:t>”</w:t>
                  </w:r>
                  <w:r>
                    <w:rPr>
                      <w:rFonts w:hint="eastAsia"/>
                      <w:b w:val="0"/>
                      <w:bCs w:val="0"/>
                      <w:szCs w:val="22"/>
                    </w:rPr>
                    <w:t>示范园区。</w:t>
                  </w:r>
                </w:p>
                <w:p w14:paraId="08BEFF0D">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13.持续推进福州市美丽海湾保护与建设，到2025年，鉴江半岛-黄岐半岛东部海域湾区、长乐东部海域湾区建成国家级美丽海湾。</w:t>
                  </w:r>
                </w:p>
              </w:tc>
              <w:tc>
                <w:tcPr>
                  <w:tcW w:w="3345" w:type="dxa"/>
                  <w:tcBorders>
                    <w:tl2br w:val="nil"/>
                    <w:tr2bl w:val="nil"/>
                  </w:tcBorders>
                  <w:vAlign w:val="top"/>
                </w:tcPr>
                <w:p w14:paraId="1D0BA22F">
                  <w:pPr>
                    <w:pStyle w:val="38"/>
                    <w:keepNext w:val="0"/>
                    <w:keepLines w:val="0"/>
                    <w:widowControl/>
                    <w:suppressLineNumbers w:val="0"/>
                    <w:bidi w:val="0"/>
                    <w:spacing w:before="0" w:beforeAutospacing="0" w:after="0" w:afterAutospacing="0"/>
                    <w:ind w:left="0" w:right="0"/>
                    <w:rPr>
                      <w:rFonts w:hint="eastAsia"/>
                      <w:b w:val="0"/>
                      <w:bCs w:val="0"/>
                      <w:szCs w:val="22"/>
                      <w:highlight w:val="none"/>
                    </w:rPr>
                  </w:pPr>
                  <w:r>
                    <w:rPr>
                      <w:rFonts w:hint="eastAsia"/>
                      <w:b w:val="0"/>
                      <w:bCs w:val="0"/>
                      <w:szCs w:val="22"/>
                    </w:rPr>
                    <w:t>本项目选址于</w:t>
                  </w:r>
                  <w:r>
                    <w:rPr>
                      <w:rFonts w:hint="eastAsia"/>
                      <w:b w:val="0"/>
                      <w:bCs w:val="0"/>
                      <w:szCs w:val="22"/>
                      <w:lang w:eastAsia="zh-CN"/>
                    </w:rPr>
                    <w:t>福建省福州市福清融侨经济技术开发区内</w:t>
                  </w:r>
                  <w:r>
                    <w:rPr>
                      <w:rFonts w:hint="eastAsia"/>
                      <w:b w:val="0"/>
                      <w:bCs w:val="0"/>
                      <w:szCs w:val="22"/>
                    </w:rPr>
                    <w:t>，利用已建成厂房，本项目</w:t>
                  </w:r>
                  <w:r>
                    <w:rPr>
                      <w:rFonts w:hint="eastAsia"/>
                      <w:b w:val="0"/>
                      <w:bCs w:val="0"/>
                      <w:szCs w:val="22"/>
                      <w:lang w:eastAsia="zh-CN"/>
                    </w:rPr>
                    <w:t>主要从事铝合金、塑胶件及钣金件加工生产</w:t>
                  </w:r>
                  <w:r>
                    <w:rPr>
                      <w:rFonts w:hint="eastAsia"/>
                      <w:b w:val="0"/>
                      <w:bCs w:val="0"/>
                      <w:szCs w:val="22"/>
                    </w:rPr>
                    <w:t>，不涉及围填海、海、工矿通信用海等功能区开发活动，不位于罗源湾、可门经济区、</w:t>
                  </w:r>
                  <w:r>
                    <w:rPr>
                      <w:rFonts w:hint="eastAsia"/>
                      <w:b w:val="0"/>
                      <w:bCs w:val="0"/>
                      <w:szCs w:val="22"/>
                      <w:highlight w:val="none"/>
                    </w:rPr>
                    <w:t>福清湾、兴化湾、江阴工业区、不靠近海湾，不涉及养殖业</w:t>
                  </w:r>
                </w:p>
                <w:p w14:paraId="2668121E">
                  <w:pPr>
                    <w:pStyle w:val="38"/>
                    <w:keepNext w:val="0"/>
                    <w:keepLines w:val="0"/>
                    <w:widowControl/>
                    <w:suppressLineNumbers w:val="0"/>
                    <w:bidi w:val="0"/>
                    <w:spacing w:before="0" w:beforeAutospacing="0" w:after="0" w:afterAutospacing="0"/>
                    <w:ind w:left="0" w:right="0"/>
                    <w:rPr>
                      <w:rFonts w:hint="eastAsia"/>
                      <w:b w:val="0"/>
                      <w:bCs w:val="0"/>
                      <w:szCs w:val="22"/>
                      <w:lang w:eastAsia="zh-CN"/>
                    </w:rPr>
                  </w:pPr>
                  <w:r>
                    <w:rPr>
                      <w:rFonts w:hint="eastAsia"/>
                      <w:b w:val="0"/>
                      <w:bCs w:val="0"/>
                      <w:szCs w:val="22"/>
                      <w:highlight w:val="none"/>
                    </w:rPr>
                    <w:t>本项目</w:t>
                  </w:r>
                  <w:r>
                    <w:rPr>
                      <w:rFonts w:hint="eastAsia"/>
                      <w:b w:val="0"/>
                      <w:bCs w:val="0"/>
                      <w:szCs w:val="22"/>
                      <w:highlight w:val="none"/>
                      <w:lang w:val="en-US" w:eastAsia="zh-CN"/>
                    </w:rPr>
                    <w:t>无生产废水产生，</w:t>
                  </w:r>
                  <w:r>
                    <w:rPr>
                      <w:rFonts w:hint="eastAsia"/>
                      <w:szCs w:val="22"/>
                      <w:highlight w:val="none"/>
                      <w:lang w:val="en-US" w:eastAsia="zh-CN"/>
                    </w:rPr>
                    <w:t>水帘喷漆用水循环使用不外排</w:t>
                  </w:r>
                  <w:r>
                    <w:rPr>
                      <w:rFonts w:hint="default"/>
                      <w:szCs w:val="22"/>
                      <w:highlight w:val="none"/>
                      <w:lang w:eastAsia="zh-CN"/>
                    </w:rPr>
                    <w:t>，</w:t>
                  </w:r>
                  <w:r>
                    <w:rPr>
                      <w:rFonts w:hint="eastAsia"/>
                      <w:szCs w:val="22"/>
                      <w:highlight w:val="none"/>
                      <w:lang w:eastAsia="zh-CN"/>
                    </w:rPr>
                    <w:t>定期捞漆渣</w:t>
                  </w:r>
                  <w:r>
                    <w:rPr>
                      <w:rFonts w:hint="eastAsia"/>
                      <w:b w:val="0"/>
                      <w:bCs w:val="0"/>
                      <w:szCs w:val="22"/>
                      <w:highlight w:val="none"/>
                    </w:rPr>
                    <w:t>，</w:t>
                  </w:r>
                  <w:r>
                    <w:rPr>
                      <w:rFonts w:hint="eastAsia"/>
                      <w:b w:val="0"/>
                      <w:bCs w:val="0"/>
                      <w:szCs w:val="22"/>
                      <w:highlight w:val="none"/>
                      <w:lang w:val="en-US" w:eastAsia="zh-CN"/>
                    </w:rPr>
                    <w:t>更换水帘柜废液，漆渣及水帘柜废液作为危废处置</w:t>
                  </w:r>
                  <w:r>
                    <w:rPr>
                      <w:rFonts w:hint="eastAsia"/>
                      <w:b w:val="0"/>
                      <w:bCs w:val="0"/>
                      <w:szCs w:val="22"/>
                      <w:highlight w:val="none"/>
                    </w:rPr>
                    <w:t>，生活污水</w:t>
                  </w:r>
                  <w:r>
                    <w:rPr>
                      <w:rFonts w:hint="eastAsia"/>
                      <w:b w:val="0"/>
                      <w:bCs w:val="0"/>
                      <w:szCs w:val="22"/>
                      <w:highlight w:val="none"/>
                      <w:lang w:val="en-US" w:eastAsia="zh-CN"/>
                    </w:rPr>
                    <w:t>经</w:t>
                  </w:r>
                  <w:r>
                    <w:rPr>
                      <w:rFonts w:hint="eastAsia"/>
                      <w:b w:val="0"/>
                      <w:bCs w:val="0"/>
                      <w:szCs w:val="22"/>
                      <w:highlight w:val="none"/>
                    </w:rPr>
                    <w:t>化粪池预处理后，接入市政</w:t>
                  </w:r>
                  <w:r>
                    <w:rPr>
                      <w:rFonts w:hint="eastAsia"/>
                      <w:b w:val="0"/>
                      <w:bCs w:val="0"/>
                      <w:szCs w:val="22"/>
                      <w:highlight w:val="none"/>
                      <w:lang w:val="en-US" w:eastAsia="zh-CN"/>
                    </w:rPr>
                    <w:t>污水</w:t>
                  </w:r>
                  <w:r>
                    <w:rPr>
                      <w:rFonts w:hint="eastAsia"/>
                      <w:b w:val="0"/>
                      <w:bCs w:val="0"/>
                      <w:szCs w:val="22"/>
                      <w:highlight w:val="none"/>
                    </w:rPr>
                    <w:t>管网，纳入</w:t>
                  </w:r>
                  <w:r>
                    <w:rPr>
                      <w:rFonts w:hint="eastAsia"/>
                      <w:b w:val="0"/>
                      <w:bCs w:val="0"/>
                      <w:szCs w:val="22"/>
                      <w:highlight w:val="none"/>
                      <w:lang w:val="en-US" w:eastAsia="zh-CN"/>
                    </w:rPr>
                    <w:t>福州福清市融元污水处理厂</w:t>
                  </w:r>
                  <w:r>
                    <w:rPr>
                      <w:rFonts w:hint="eastAsia"/>
                      <w:b w:val="0"/>
                      <w:bCs w:val="0"/>
                      <w:szCs w:val="22"/>
                      <w:highlight w:val="none"/>
                    </w:rPr>
                    <w:t>处理，尾水排放执行《城镇污水处理厂污染物排放标准》（GB18918-2002）及</w:t>
                  </w:r>
                  <w:r>
                    <w:rPr>
                      <w:rFonts w:hint="eastAsia"/>
                      <w:b w:val="0"/>
                      <w:bCs w:val="0"/>
                      <w:szCs w:val="22"/>
                    </w:rPr>
                    <w:t>其修改单表1的一级标准A标准，生活污水产生的总氮排放纳入</w:t>
                  </w:r>
                  <w:r>
                    <w:rPr>
                      <w:rFonts w:hint="eastAsia"/>
                      <w:b w:val="0"/>
                      <w:bCs w:val="0"/>
                      <w:szCs w:val="22"/>
                      <w:lang w:eastAsia="zh-CN"/>
                    </w:rPr>
                    <w:t>福清市融元污水处理厂</w:t>
                  </w:r>
                  <w:r>
                    <w:rPr>
                      <w:rFonts w:hint="eastAsia"/>
                      <w:b w:val="0"/>
                      <w:bCs w:val="0"/>
                      <w:szCs w:val="22"/>
                    </w:rPr>
                    <w:t>统一控制</w:t>
                  </w:r>
                  <w:r>
                    <w:rPr>
                      <w:rFonts w:hint="eastAsia"/>
                      <w:b w:val="0"/>
                      <w:bCs w:val="0"/>
                      <w:szCs w:val="22"/>
                      <w:lang w:eastAsia="zh-CN"/>
                    </w:rPr>
                    <w:t>。</w:t>
                  </w:r>
                </w:p>
              </w:tc>
            </w:tr>
          </w:tbl>
          <w:p w14:paraId="24B78320">
            <w:pPr>
              <w:pStyle w:val="39"/>
              <w:keepNext w:val="0"/>
              <w:keepLines w:val="0"/>
              <w:suppressLineNumbers w:val="0"/>
              <w:bidi w:val="0"/>
              <w:spacing w:before="0" w:beforeAutospacing="0" w:after="0" w:afterAutospacing="0"/>
              <w:ind w:left="0" w:right="0"/>
              <w:rPr>
                <w:rFonts w:hint="eastAsia"/>
              </w:rPr>
            </w:pPr>
            <w:r>
              <w:rPr>
                <w:rFonts w:hint="default"/>
              </w:rPr>
              <w:t>表1.1-</w:t>
            </w:r>
            <w:r>
              <w:rPr>
                <w:rFonts w:hint="eastAsia"/>
                <w:lang w:val="en-US" w:eastAsia="zh-CN"/>
              </w:rPr>
              <w:t>5</w:t>
            </w:r>
            <w:r>
              <w:rPr>
                <w:rFonts w:hint="default"/>
              </w:rPr>
              <w:t xml:space="preserve"> 与福清融侨经济技术开发区生态环境准入要求的符合性分析</w:t>
            </w:r>
          </w:p>
          <w:tbl>
            <w:tblPr>
              <w:tblStyle w:val="2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499"/>
              <w:gridCol w:w="463"/>
              <w:gridCol w:w="478"/>
              <w:gridCol w:w="1830"/>
              <w:gridCol w:w="1761"/>
              <w:gridCol w:w="441"/>
            </w:tblGrid>
            <w:tr w14:paraId="510D05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0" w:type="auto"/>
                  <w:noWrap w:val="0"/>
                  <w:vAlign w:val="center"/>
                </w:tcPr>
                <w:p w14:paraId="7F93885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环境管控单元</w:t>
                  </w:r>
                </w:p>
                <w:p w14:paraId="73CAE68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编码</w:t>
                  </w:r>
                </w:p>
              </w:tc>
              <w:tc>
                <w:tcPr>
                  <w:tcW w:w="0" w:type="auto"/>
                  <w:noWrap w:val="0"/>
                  <w:vAlign w:val="center"/>
                </w:tcPr>
                <w:p w14:paraId="29F9155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环境管控单元名称</w:t>
                  </w:r>
                </w:p>
              </w:tc>
              <w:tc>
                <w:tcPr>
                  <w:tcW w:w="0" w:type="auto"/>
                  <w:noWrap w:val="0"/>
                  <w:vAlign w:val="center"/>
                </w:tcPr>
                <w:p w14:paraId="0F8D369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管控单元类别</w:t>
                  </w:r>
                </w:p>
              </w:tc>
              <w:tc>
                <w:tcPr>
                  <w:tcW w:w="0" w:type="auto"/>
                  <w:gridSpan w:val="2"/>
                  <w:noWrap w:val="0"/>
                  <w:vAlign w:val="center"/>
                </w:tcPr>
                <w:p w14:paraId="7EDFD86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管控要求</w:t>
                  </w:r>
                </w:p>
              </w:tc>
              <w:tc>
                <w:tcPr>
                  <w:tcW w:w="0" w:type="auto"/>
                  <w:noWrap w:val="0"/>
                  <w:vAlign w:val="center"/>
                </w:tcPr>
                <w:p w14:paraId="5214E94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本项目情况</w:t>
                  </w:r>
                </w:p>
              </w:tc>
              <w:tc>
                <w:tcPr>
                  <w:tcW w:w="0" w:type="auto"/>
                  <w:noWrap w:val="0"/>
                  <w:vAlign w:val="center"/>
                </w:tcPr>
                <w:p w14:paraId="2FB11B6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符合性</w:t>
                  </w:r>
                </w:p>
              </w:tc>
            </w:tr>
            <w:tr w14:paraId="736CF9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0" w:type="auto"/>
                  <w:vMerge w:val="restart"/>
                  <w:noWrap w:val="0"/>
                  <w:vAlign w:val="center"/>
                </w:tcPr>
                <w:p w14:paraId="0B0D3AF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vertAlign w:val="baseline"/>
                      <w:lang w:val="en-US" w:eastAsia="zh-CN"/>
                    </w:rPr>
                    <w:t>ZH35018120008</w:t>
                  </w:r>
                </w:p>
              </w:tc>
              <w:tc>
                <w:tcPr>
                  <w:tcW w:w="0" w:type="auto"/>
                  <w:vMerge w:val="restart"/>
                  <w:noWrap w:val="0"/>
                  <w:vAlign w:val="center"/>
                </w:tcPr>
                <w:p w14:paraId="5B5DA15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福清融侨经济技术开发区</w:t>
                  </w:r>
                </w:p>
              </w:tc>
              <w:tc>
                <w:tcPr>
                  <w:tcW w:w="0" w:type="auto"/>
                  <w:vMerge w:val="restart"/>
                  <w:noWrap w:val="0"/>
                  <w:vAlign w:val="center"/>
                </w:tcPr>
                <w:p w14:paraId="78AC327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重点管控单元</w:t>
                  </w:r>
                </w:p>
              </w:tc>
              <w:tc>
                <w:tcPr>
                  <w:tcW w:w="0" w:type="auto"/>
                  <w:noWrap w:val="0"/>
                  <w:vAlign w:val="center"/>
                </w:tcPr>
                <w:p w14:paraId="3553A5B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空间布局约束</w:t>
                  </w:r>
                </w:p>
              </w:tc>
              <w:tc>
                <w:tcPr>
                  <w:tcW w:w="0" w:type="auto"/>
                  <w:noWrap w:val="0"/>
                  <w:vAlign w:val="center"/>
                </w:tcPr>
                <w:p w14:paraId="1719DB3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严禁在城镇人口密集区新建危险化学品生产企业；现有不符合安全和卫生防护距离要求的危险化学品生产企业2025年底前完成就地改造达标、搬迁进入规范化工园区或关闭退出。城市建成区内现有有色金属、印染、原料药制造、化工等污染较重的企业应有序搬迁改造或依法关闭。2.严格控制包装印刷、工业涂装、制鞋等高VOCs排放的项目建设，相关新建项目必须进入工业园区。3.禁止开发利用未经评估和无害化处理的列入建设用地污染地块名录及开发利用负面清单的土地。</w:t>
                  </w:r>
                </w:p>
              </w:tc>
              <w:tc>
                <w:tcPr>
                  <w:tcW w:w="0" w:type="auto"/>
                  <w:noWrap w:val="0"/>
                  <w:vAlign w:val="center"/>
                </w:tcPr>
                <w:p w14:paraId="2B99886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vertAlign w:val="baseline"/>
                      <w:lang w:val="en-US" w:eastAsia="zh-CN"/>
                    </w:rPr>
                    <w:t>1-2.本项目</w:t>
                  </w:r>
                  <w:r>
                    <w:rPr>
                      <w:rFonts w:hint="eastAsia"/>
                      <w:szCs w:val="22"/>
                    </w:rPr>
                    <w:t>属于C2929塑料零件及其他塑料制品制造以及C3360金属表面处理及热处理加工，主要</w:t>
                  </w:r>
                  <w:r>
                    <w:rPr>
                      <w:rFonts w:hint="eastAsia"/>
                      <w:szCs w:val="22"/>
                      <w:lang w:val="en-GB"/>
                    </w:rPr>
                    <w:t>从事铝合金、塑胶件及钣金件加工生产</w:t>
                  </w:r>
                  <w:r>
                    <w:rPr>
                      <w:rFonts w:hint="eastAsia"/>
                      <w:szCs w:val="22"/>
                    </w:rPr>
                    <w:t>不涉及危险化学品生产</w:t>
                  </w:r>
                  <w:r>
                    <w:rPr>
                      <w:rFonts w:hint="eastAsia"/>
                      <w:szCs w:val="22"/>
                      <w:lang w:eastAsia="zh-CN"/>
                    </w:rPr>
                    <w:t>、</w:t>
                  </w:r>
                  <w:r>
                    <w:rPr>
                      <w:rFonts w:hint="eastAsia"/>
                      <w:szCs w:val="22"/>
                    </w:rPr>
                    <w:t>有色金属、印染、原料药制造、化工等污染较重的企业</w:t>
                  </w:r>
                  <w:r>
                    <w:rPr>
                      <w:rFonts w:hint="eastAsia"/>
                      <w:szCs w:val="22"/>
                      <w:lang w:eastAsia="zh-CN"/>
                    </w:rPr>
                    <w:t>、</w:t>
                  </w:r>
                  <w:r>
                    <w:rPr>
                      <w:rFonts w:hint="eastAsia"/>
                      <w:szCs w:val="22"/>
                    </w:rPr>
                    <w:t>包装印刷、工业涂装、制鞋等高VOCs排放的项目</w:t>
                  </w:r>
                  <w:r>
                    <w:rPr>
                      <w:rFonts w:hint="eastAsia"/>
                      <w:szCs w:val="22"/>
                      <w:lang w:val="en-US" w:eastAsia="zh-CN"/>
                    </w:rPr>
                    <w:t>3.</w:t>
                  </w:r>
                  <w:r>
                    <w:rPr>
                      <w:rFonts w:hint="eastAsia" w:ascii="Times New Roman" w:hAnsi="Times New Roman" w:cs="Times New Roman"/>
                      <w:color w:val="auto"/>
                      <w:sz w:val="21"/>
                      <w:szCs w:val="21"/>
                      <w:highlight w:val="none"/>
                      <w:vertAlign w:val="baseline"/>
                      <w:lang w:val="en-US" w:eastAsia="zh-CN"/>
                    </w:rPr>
                    <w:t>项目利用现有厂房，不涉及新增用地</w:t>
                  </w:r>
                  <w:r>
                    <w:rPr>
                      <w:rFonts w:hint="eastAsia"/>
                      <w:szCs w:val="22"/>
                      <w:lang w:val="en-US" w:eastAsia="zh-CN"/>
                    </w:rPr>
                    <w:t>。</w:t>
                  </w:r>
                </w:p>
              </w:tc>
              <w:tc>
                <w:tcPr>
                  <w:tcW w:w="0" w:type="auto"/>
                  <w:noWrap w:val="0"/>
                  <w:vAlign w:val="center"/>
                </w:tcPr>
                <w:p w14:paraId="0A1A055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符合</w:t>
                  </w:r>
                </w:p>
              </w:tc>
            </w:tr>
            <w:tr w14:paraId="2DB622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0" w:hRule="atLeast"/>
              </w:trPr>
              <w:tc>
                <w:tcPr>
                  <w:tcW w:w="0" w:type="auto"/>
                  <w:vMerge w:val="continue"/>
                  <w:noWrap w:val="0"/>
                  <w:vAlign w:val="center"/>
                </w:tcPr>
                <w:p w14:paraId="1D5EA8FA">
                  <w:pPr>
                    <w:pStyle w:val="38"/>
                    <w:keepNext w:val="0"/>
                    <w:keepLines w:val="0"/>
                    <w:widowControl/>
                    <w:suppressLineNumbers w:val="0"/>
                    <w:bidi w:val="0"/>
                    <w:spacing w:before="0" w:beforeAutospacing="0" w:after="0" w:afterAutospacing="0"/>
                    <w:ind w:left="0" w:right="0"/>
                    <w:rPr>
                      <w:rFonts w:hint="eastAsia"/>
                      <w:szCs w:val="22"/>
                    </w:rPr>
                  </w:pPr>
                </w:p>
              </w:tc>
              <w:tc>
                <w:tcPr>
                  <w:tcW w:w="0" w:type="auto"/>
                  <w:vMerge w:val="continue"/>
                  <w:noWrap w:val="0"/>
                  <w:vAlign w:val="center"/>
                </w:tcPr>
                <w:p w14:paraId="746BABF3">
                  <w:pPr>
                    <w:pStyle w:val="38"/>
                    <w:keepNext w:val="0"/>
                    <w:keepLines w:val="0"/>
                    <w:widowControl/>
                    <w:suppressLineNumbers w:val="0"/>
                    <w:bidi w:val="0"/>
                    <w:spacing w:before="0" w:beforeAutospacing="0" w:after="0" w:afterAutospacing="0"/>
                    <w:ind w:left="0" w:right="0"/>
                    <w:rPr>
                      <w:rFonts w:hint="eastAsia"/>
                      <w:szCs w:val="22"/>
                    </w:rPr>
                  </w:pPr>
                </w:p>
              </w:tc>
              <w:tc>
                <w:tcPr>
                  <w:tcW w:w="0" w:type="auto"/>
                  <w:vMerge w:val="continue"/>
                  <w:noWrap w:val="0"/>
                  <w:vAlign w:val="center"/>
                </w:tcPr>
                <w:p w14:paraId="49320A08">
                  <w:pPr>
                    <w:pStyle w:val="38"/>
                    <w:keepNext w:val="0"/>
                    <w:keepLines w:val="0"/>
                    <w:widowControl/>
                    <w:suppressLineNumbers w:val="0"/>
                    <w:bidi w:val="0"/>
                    <w:spacing w:before="0" w:beforeAutospacing="0" w:after="0" w:afterAutospacing="0"/>
                    <w:ind w:left="0" w:right="0"/>
                    <w:rPr>
                      <w:rFonts w:hint="eastAsia"/>
                      <w:szCs w:val="22"/>
                    </w:rPr>
                  </w:pPr>
                </w:p>
              </w:tc>
              <w:tc>
                <w:tcPr>
                  <w:tcW w:w="0" w:type="auto"/>
                  <w:noWrap w:val="0"/>
                  <w:vAlign w:val="center"/>
                </w:tcPr>
                <w:p w14:paraId="7BE8467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污染物排放管控</w:t>
                  </w:r>
                </w:p>
              </w:tc>
              <w:tc>
                <w:tcPr>
                  <w:tcW w:w="0" w:type="auto"/>
                  <w:noWrap w:val="0"/>
                  <w:vAlign w:val="center"/>
                </w:tcPr>
                <w:p w14:paraId="5F703BD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落实新增二氧化硫、氮氧化物和VOCs排放总量控制要求。</w:t>
                  </w:r>
                </w:p>
              </w:tc>
              <w:tc>
                <w:tcPr>
                  <w:tcW w:w="0" w:type="auto"/>
                  <w:noWrap w:val="0"/>
                  <w:vAlign w:val="center"/>
                </w:tcPr>
                <w:p w14:paraId="509F7980">
                  <w:pPr>
                    <w:pStyle w:val="38"/>
                    <w:keepNext w:val="0"/>
                    <w:keepLines w:val="0"/>
                    <w:widowControl/>
                    <w:suppressLineNumbers w:val="0"/>
                    <w:bidi w:val="0"/>
                    <w:spacing w:before="0" w:beforeAutospacing="0" w:after="0" w:afterAutospacing="0"/>
                    <w:ind w:left="0" w:right="0"/>
                    <w:rPr>
                      <w:rFonts w:hint="eastAsia"/>
                      <w:szCs w:val="22"/>
                    </w:rPr>
                  </w:pPr>
                  <w:r>
                    <w:rPr>
                      <w:rFonts w:hint="eastAsia" w:ascii="Times New Roman" w:hAnsi="Times New Roman" w:cs="Times New Roman"/>
                      <w:color w:val="auto"/>
                      <w:sz w:val="21"/>
                      <w:szCs w:val="21"/>
                      <w:highlight w:val="none"/>
                      <w:vertAlign w:val="baseline"/>
                      <w:lang w:val="en-US" w:eastAsia="zh-CN"/>
                    </w:rPr>
                    <w:t>项目不涉及</w:t>
                  </w:r>
                  <w:r>
                    <w:rPr>
                      <w:rFonts w:hint="default" w:ascii="Times New Roman" w:hAnsi="Times New Roman" w:eastAsia="宋体" w:cs="Times New Roman"/>
                      <w:color w:val="auto"/>
                      <w:sz w:val="21"/>
                      <w:szCs w:val="21"/>
                      <w:highlight w:val="none"/>
                      <w:vertAlign w:val="baseline"/>
                      <w:lang w:val="en-US" w:eastAsia="zh-CN"/>
                    </w:rPr>
                    <w:t>二氧化硫、氮氧化物</w:t>
                  </w:r>
                  <w:r>
                    <w:rPr>
                      <w:rFonts w:hint="eastAsia" w:ascii="Times New Roman" w:hAnsi="Times New Roman" w:cs="Times New Roman"/>
                      <w:color w:val="auto"/>
                      <w:sz w:val="21"/>
                      <w:szCs w:val="21"/>
                      <w:highlight w:val="none"/>
                      <w:vertAlign w:val="baseline"/>
                      <w:lang w:val="en-US" w:eastAsia="zh-CN"/>
                    </w:rPr>
                    <w:t>排放，</w:t>
                  </w:r>
                  <w:r>
                    <w:rPr>
                      <w:rFonts w:hint="default" w:ascii="Times New Roman" w:hAnsi="Times New Roman" w:cs="Times New Roman"/>
                      <w:color w:val="auto"/>
                      <w:sz w:val="21"/>
                      <w:szCs w:val="21"/>
                      <w:highlight w:val="none"/>
                      <w:lang w:eastAsia="zh-CN"/>
                    </w:rPr>
                    <w:t>新增</w:t>
                  </w:r>
                  <w:r>
                    <w:rPr>
                      <w:rFonts w:hint="default" w:ascii="Times New Roman" w:hAnsi="Times New Roman" w:cs="Times New Roman"/>
                      <w:color w:val="auto"/>
                      <w:sz w:val="21"/>
                      <w:szCs w:val="21"/>
                      <w:highlight w:val="none"/>
                      <w:lang w:val="en-US" w:eastAsia="zh-CN"/>
                    </w:rPr>
                    <w:t>VOCs指标将按照</w:t>
                  </w:r>
                  <w:r>
                    <w:rPr>
                      <w:rFonts w:hint="eastAsia" w:cs="Times New Roman"/>
                      <w:color w:val="auto"/>
                      <w:sz w:val="21"/>
                      <w:szCs w:val="21"/>
                      <w:highlight w:val="none"/>
                      <w:lang w:val="en-US" w:eastAsia="zh-CN"/>
                    </w:rPr>
                    <w:t>生态环境主管部门</w:t>
                  </w:r>
                  <w:r>
                    <w:rPr>
                      <w:rFonts w:hint="default" w:ascii="Times New Roman" w:hAnsi="Times New Roman" w:cs="Times New Roman"/>
                      <w:color w:val="auto"/>
                      <w:sz w:val="21"/>
                      <w:szCs w:val="21"/>
                      <w:highlight w:val="none"/>
                      <w:lang w:val="en-US" w:eastAsia="zh-CN"/>
                    </w:rPr>
                    <w:t>要求申请</w:t>
                  </w:r>
                  <w:r>
                    <w:rPr>
                      <w:rFonts w:hint="eastAsia" w:ascii="Times New Roman" w:hAnsi="Times New Roman" w:cs="Times New Roman"/>
                      <w:color w:val="auto"/>
                      <w:sz w:val="21"/>
                      <w:szCs w:val="21"/>
                      <w:highlight w:val="none"/>
                      <w:lang w:val="en-US" w:eastAsia="zh-CN"/>
                    </w:rPr>
                    <w:t>倍</w:t>
                  </w:r>
                  <w:r>
                    <w:rPr>
                      <w:rFonts w:hint="default" w:ascii="Times New Roman" w:hAnsi="Times New Roman" w:cs="Times New Roman"/>
                      <w:color w:val="auto"/>
                      <w:sz w:val="21"/>
                      <w:szCs w:val="21"/>
                      <w:highlight w:val="none"/>
                      <w:lang w:val="en-US" w:eastAsia="zh-CN"/>
                    </w:rPr>
                    <w:t>量削减替代</w:t>
                  </w:r>
                  <w:r>
                    <w:rPr>
                      <w:rFonts w:hint="eastAsia"/>
                      <w:szCs w:val="22"/>
                    </w:rPr>
                    <w:t>。</w:t>
                  </w:r>
                </w:p>
              </w:tc>
              <w:tc>
                <w:tcPr>
                  <w:tcW w:w="0" w:type="auto"/>
                  <w:noWrap w:val="0"/>
                  <w:vAlign w:val="center"/>
                </w:tcPr>
                <w:p w14:paraId="784BE8E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符合</w:t>
                  </w:r>
                </w:p>
              </w:tc>
            </w:tr>
            <w:tr w14:paraId="52AA1F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noWrap w:val="0"/>
                  <w:vAlign w:val="center"/>
                </w:tcPr>
                <w:p w14:paraId="699385B6">
                  <w:pPr>
                    <w:pStyle w:val="38"/>
                    <w:keepNext w:val="0"/>
                    <w:keepLines w:val="0"/>
                    <w:widowControl/>
                    <w:suppressLineNumbers w:val="0"/>
                    <w:bidi w:val="0"/>
                    <w:spacing w:before="0" w:beforeAutospacing="0" w:after="0" w:afterAutospacing="0"/>
                    <w:ind w:left="0" w:right="0"/>
                    <w:rPr>
                      <w:rFonts w:hint="eastAsia"/>
                      <w:szCs w:val="22"/>
                    </w:rPr>
                  </w:pPr>
                </w:p>
              </w:tc>
              <w:tc>
                <w:tcPr>
                  <w:tcW w:w="0" w:type="auto"/>
                  <w:vMerge w:val="continue"/>
                  <w:noWrap w:val="0"/>
                  <w:vAlign w:val="center"/>
                </w:tcPr>
                <w:p w14:paraId="7E865255">
                  <w:pPr>
                    <w:pStyle w:val="38"/>
                    <w:keepNext w:val="0"/>
                    <w:keepLines w:val="0"/>
                    <w:widowControl/>
                    <w:suppressLineNumbers w:val="0"/>
                    <w:bidi w:val="0"/>
                    <w:spacing w:before="0" w:beforeAutospacing="0" w:after="0" w:afterAutospacing="0"/>
                    <w:ind w:left="0" w:right="0"/>
                    <w:rPr>
                      <w:rFonts w:hint="eastAsia"/>
                      <w:szCs w:val="22"/>
                    </w:rPr>
                  </w:pPr>
                </w:p>
              </w:tc>
              <w:tc>
                <w:tcPr>
                  <w:tcW w:w="0" w:type="auto"/>
                  <w:vMerge w:val="continue"/>
                  <w:noWrap w:val="0"/>
                  <w:vAlign w:val="center"/>
                </w:tcPr>
                <w:p w14:paraId="5196D1C5">
                  <w:pPr>
                    <w:pStyle w:val="38"/>
                    <w:keepNext w:val="0"/>
                    <w:keepLines w:val="0"/>
                    <w:widowControl/>
                    <w:suppressLineNumbers w:val="0"/>
                    <w:bidi w:val="0"/>
                    <w:spacing w:before="0" w:beforeAutospacing="0" w:after="0" w:afterAutospacing="0"/>
                    <w:ind w:left="0" w:right="0"/>
                    <w:rPr>
                      <w:rFonts w:hint="eastAsia"/>
                      <w:szCs w:val="22"/>
                    </w:rPr>
                  </w:pPr>
                </w:p>
              </w:tc>
              <w:tc>
                <w:tcPr>
                  <w:tcW w:w="0" w:type="auto"/>
                  <w:noWrap w:val="0"/>
                  <w:vAlign w:val="center"/>
                </w:tcPr>
                <w:p w14:paraId="0771DA1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环境风险防控</w:t>
                  </w:r>
                </w:p>
              </w:tc>
              <w:tc>
                <w:tcPr>
                  <w:tcW w:w="0" w:type="auto"/>
                  <w:noWrap w:val="0"/>
                  <w:vAlign w:val="center"/>
                </w:tcPr>
                <w:p w14:paraId="4E1E26C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单元内现有化学原料和化学制品制造业、有色金属冶炼和压延加工业等具有潜在土壤污染环境风险的企业退役后，应开展土壤环境状况评估，经评估认为污染地块可能损害人体健康和环境，应当进行修复的，由造成污染的单位和个人负责被污染土壤的修复。</w:t>
                  </w:r>
                </w:p>
              </w:tc>
              <w:tc>
                <w:tcPr>
                  <w:tcW w:w="0" w:type="auto"/>
                  <w:noWrap w:val="0"/>
                  <w:vAlign w:val="center"/>
                </w:tcPr>
                <w:p w14:paraId="163791AD">
                  <w:pPr>
                    <w:pStyle w:val="38"/>
                    <w:keepNext w:val="0"/>
                    <w:keepLines w:val="0"/>
                    <w:widowControl/>
                    <w:suppressLineNumbers w:val="0"/>
                    <w:bidi w:val="0"/>
                    <w:spacing w:before="0" w:beforeAutospacing="0" w:after="0" w:afterAutospacing="0"/>
                    <w:ind w:left="0" w:right="0"/>
                    <w:rPr>
                      <w:rFonts w:hint="eastAsia"/>
                      <w:szCs w:val="22"/>
                    </w:rPr>
                  </w:pPr>
                  <w:r>
                    <w:rPr>
                      <w:rFonts w:hint="eastAsia" w:ascii="Times New Roman" w:hAnsi="Times New Roman" w:cs="Times New Roman"/>
                      <w:color w:val="auto"/>
                      <w:sz w:val="21"/>
                      <w:szCs w:val="21"/>
                      <w:highlight w:val="none"/>
                      <w:vertAlign w:val="baseline"/>
                      <w:lang w:val="en-US" w:eastAsia="zh-CN"/>
                    </w:rPr>
                    <w:t>项目不属于</w:t>
                  </w:r>
                  <w:r>
                    <w:rPr>
                      <w:rFonts w:hint="default" w:ascii="Times New Roman" w:hAnsi="Times New Roman" w:eastAsia="宋体" w:cs="Times New Roman"/>
                      <w:color w:val="auto"/>
                      <w:sz w:val="21"/>
                      <w:szCs w:val="21"/>
                      <w:highlight w:val="none"/>
                      <w:vertAlign w:val="baseline"/>
                      <w:lang w:val="en-US" w:eastAsia="zh-CN"/>
                    </w:rPr>
                    <w:t>化学原料和化学制品制造业、有色金属冶炼和压延加工业</w:t>
                  </w:r>
                  <w:r>
                    <w:rPr>
                      <w:rFonts w:hint="eastAsia" w:ascii="Times New Roman" w:hAnsi="Times New Roman" w:eastAsia="宋体" w:cs="Times New Roman"/>
                      <w:color w:val="auto"/>
                      <w:sz w:val="21"/>
                      <w:szCs w:val="21"/>
                      <w:highlight w:val="none"/>
                      <w:vertAlign w:val="baseline"/>
                      <w:lang w:val="en-US" w:eastAsia="zh-CN"/>
                    </w:rPr>
                    <w:t>。</w:t>
                  </w:r>
                </w:p>
              </w:tc>
              <w:tc>
                <w:tcPr>
                  <w:tcW w:w="0" w:type="auto"/>
                  <w:noWrap w:val="0"/>
                  <w:vAlign w:val="center"/>
                </w:tcPr>
                <w:p w14:paraId="24EBC69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符合</w:t>
                  </w:r>
                </w:p>
              </w:tc>
            </w:tr>
            <w:tr w14:paraId="54DE1A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0" w:type="auto"/>
                  <w:vMerge w:val="continue"/>
                  <w:noWrap w:val="0"/>
                  <w:vAlign w:val="center"/>
                </w:tcPr>
                <w:p w14:paraId="67B1F2D3">
                  <w:pPr>
                    <w:pStyle w:val="38"/>
                    <w:keepNext w:val="0"/>
                    <w:keepLines w:val="0"/>
                    <w:widowControl/>
                    <w:suppressLineNumbers w:val="0"/>
                    <w:bidi w:val="0"/>
                    <w:spacing w:before="0" w:beforeAutospacing="0" w:after="0" w:afterAutospacing="0"/>
                    <w:ind w:left="0" w:right="0"/>
                    <w:rPr>
                      <w:rFonts w:hint="eastAsia"/>
                      <w:szCs w:val="22"/>
                    </w:rPr>
                  </w:pPr>
                </w:p>
              </w:tc>
              <w:tc>
                <w:tcPr>
                  <w:tcW w:w="0" w:type="auto"/>
                  <w:vMerge w:val="continue"/>
                  <w:noWrap w:val="0"/>
                  <w:vAlign w:val="center"/>
                </w:tcPr>
                <w:p w14:paraId="72DCD249">
                  <w:pPr>
                    <w:pStyle w:val="38"/>
                    <w:keepNext w:val="0"/>
                    <w:keepLines w:val="0"/>
                    <w:widowControl/>
                    <w:suppressLineNumbers w:val="0"/>
                    <w:bidi w:val="0"/>
                    <w:spacing w:before="0" w:beforeAutospacing="0" w:after="0" w:afterAutospacing="0"/>
                    <w:ind w:left="0" w:right="0"/>
                    <w:rPr>
                      <w:rFonts w:hint="eastAsia"/>
                      <w:szCs w:val="22"/>
                    </w:rPr>
                  </w:pPr>
                </w:p>
              </w:tc>
              <w:tc>
                <w:tcPr>
                  <w:tcW w:w="0" w:type="auto"/>
                  <w:vMerge w:val="continue"/>
                  <w:noWrap w:val="0"/>
                  <w:vAlign w:val="center"/>
                </w:tcPr>
                <w:p w14:paraId="229EB3A5">
                  <w:pPr>
                    <w:pStyle w:val="38"/>
                    <w:keepNext w:val="0"/>
                    <w:keepLines w:val="0"/>
                    <w:widowControl/>
                    <w:suppressLineNumbers w:val="0"/>
                    <w:bidi w:val="0"/>
                    <w:spacing w:before="0" w:beforeAutospacing="0" w:after="0" w:afterAutospacing="0"/>
                    <w:ind w:left="0" w:right="0"/>
                    <w:rPr>
                      <w:rFonts w:hint="eastAsia"/>
                      <w:szCs w:val="22"/>
                    </w:rPr>
                  </w:pPr>
                </w:p>
              </w:tc>
              <w:tc>
                <w:tcPr>
                  <w:tcW w:w="0" w:type="auto"/>
                  <w:noWrap w:val="0"/>
                  <w:vAlign w:val="center"/>
                </w:tcPr>
                <w:p w14:paraId="1A2E5D5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资源开发效率要求</w:t>
                  </w:r>
                </w:p>
              </w:tc>
              <w:tc>
                <w:tcPr>
                  <w:tcW w:w="0" w:type="auto"/>
                  <w:noWrap w:val="0"/>
                  <w:vAlign w:val="center"/>
                </w:tcPr>
                <w:p w14:paraId="50821EF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vertAlign w:val="baseline"/>
                      <w:lang w:val="en-US" w:eastAsia="zh-CN"/>
                    </w:rPr>
                    <w:t>高污染燃料禁燃区内禁止燃用高污染燃料，禁止新建、扩建燃用高污染燃料的设施。已建的燃用高污染燃料设施，限期改用电、天然气、液化石油气等清洁能源。</w:t>
                  </w:r>
                </w:p>
              </w:tc>
              <w:tc>
                <w:tcPr>
                  <w:tcW w:w="0" w:type="auto"/>
                  <w:noWrap w:val="0"/>
                  <w:vAlign w:val="center"/>
                </w:tcPr>
                <w:p w14:paraId="3F797B4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本项目设备均采用电能，不涉及使用高污染燃料。</w:t>
                  </w:r>
                </w:p>
              </w:tc>
              <w:tc>
                <w:tcPr>
                  <w:tcW w:w="0" w:type="auto"/>
                  <w:noWrap w:val="0"/>
                  <w:vAlign w:val="center"/>
                </w:tcPr>
                <w:p w14:paraId="263FC05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符合</w:t>
                  </w:r>
                </w:p>
              </w:tc>
            </w:tr>
            <w:bookmarkEnd w:id="9"/>
            <w:bookmarkEnd w:id="10"/>
            <w:bookmarkEnd w:id="11"/>
            <w:bookmarkEnd w:id="12"/>
            <w:bookmarkEnd w:id="13"/>
          </w:tbl>
          <w:p w14:paraId="13898F0D">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根据上述分析，本项目与《福建省人民政府关于实施“三线一单”生态环境分区管控的通知》（闽政〔2020〕12号）、《中共福建省委办公厅 福建省人民政府办公厅关于加强生态环境分区管控的实施意见》（2024年11月10日）、《福州市生态环境局关于发布福州市2024年生态环境分区管控动态更新成果的通知》（榕环保综〔2025〕1号）中的相关规定是符合的。</w:t>
            </w:r>
          </w:p>
          <w:p w14:paraId="1F982FA9">
            <w:pPr>
              <w:pStyle w:val="3"/>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平面布局合理性分析</w:t>
            </w:r>
          </w:p>
          <w:p w14:paraId="20F0DF21">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本</w:t>
            </w:r>
            <w:r>
              <w:rPr>
                <w:rFonts w:hint="default"/>
              </w:rPr>
              <w:t>项目</w:t>
            </w:r>
            <w:r>
              <w:rPr>
                <w:rFonts w:hint="eastAsia"/>
                <w:lang w:val="en-US" w:eastAsia="zh-CN"/>
              </w:rPr>
              <w:t>租赁福建省福州市福清市阳下街道玉岭村147号车间2三楼作为生产场所，合计面积2212.46m</w:t>
            </w:r>
            <w:r>
              <w:rPr>
                <w:rFonts w:hint="eastAsia"/>
                <w:vertAlign w:val="superscript"/>
                <w:lang w:val="en-US" w:eastAsia="zh-CN"/>
              </w:rPr>
              <w:t>2</w:t>
            </w:r>
            <w:r>
              <w:rPr>
                <w:rFonts w:hint="eastAsia"/>
                <w:lang w:val="en-US" w:eastAsia="zh-CN"/>
              </w:rPr>
              <w:t>（厂房租赁合同详见</w:t>
            </w:r>
            <w:r>
              <w:rPr>
                <w:rFonts w:hint="eastAsia"/>
                <w:lang w:val="en-US" w:eastAsia="zh-CN"/>
              </w:rPr>
              <w:fldChar w:fldCharType="begin"/>
            </w:r>
            <w:r>
              <w:rPr>
                <w:rFonts w:hint="eastAsia"/>
                <w:lang w:val="en-US" w:eastAsia="zh-CN"/>
              </w:rPr>
              <w:instrText xml:space="preserve"> REF _Ref4970 \h </w:instrText>
            </w:r>
            <w:r>
              <w:rPr>
                <w:rFonts w:hint="eastAsia"/>
                <w:lang w:val="en-US" w:eastAsia="zh-CN"/>
              </w:rPr>
              <w:fldChar w:fldCharType="separate"/>
            </w:r>
            <w:r>
              <w:rPr>
                <w:rFonts w:hint="eastAsia"/>
              </w:rPr>
              <w:t>附件 7</w:t>
            </w:r>
            <w:r>
              <w:rPr>
                <w:rFonts w:hint="eastAsia"/>
                <w:lang w:val="en-US" w:eastAsia="zh-CN"/>
              </w:rPr>
              <w:fldChar w:fldCharType="end"/>
            </w:r>
            <w:r>
              <w:rPr>
                <w:rFonts w:hint="eastAsia"/>
                <w:lang w:val="en-US" w:eastAsia="zh-CN"/>
              </w:rPr>
              <w:t>）。</w:t>
            </w:r>
            <w:r>
              <w:rPr>
                <w:rFonts w:hint="default"/>
              </w:rPr>
              <w:t>厂区内厂房布置简单</w:t>
            </w:r>
            <w:r>
              <w:rPr>
                <w:rFonts w:hint="eastAsia"/>
                <w:lang w:eastAsia="zh-CN"/>
              </w:rPr>
              <w:t>，</w:t>
            </w:r>
            <w:r>
              <w:rPr>
                <w:rFonts w:hint="default"/>
              </w:rPr>
              <w:t>各功能分区明确，生产车间内平面布置基本上根据生产工艺需要和物料流向，各工序布置间距较近，便于生产操作，同时也避免物料来回运输消耗能源，厂区总平面布置基</w:t>
            </w:r>
            <w:r>
              <w:rPr>
                <w:rFonts w:hint="default"/>
                <w:lang w:val="en-US" w:eastAsia="zh-CN"/>
              </w:rPr>
              <w:t>本合理</w:t>
            </w:r>
            <w:r>
              <w:rPr>
                <w:rFonts w:hint="default"/>
              </w:rPr>
              <w:t>。</w:t>
            </w:r>
          </w:p>
          <w:p w14:paraId="528A92B9">
            <w:pPr>
              <w:pStyle w:val="3"/>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与周边相容性分析</w:t>
            </w:r>
          </w:p>
          <w:p w14:paraId="45602B1C">
            <w:pPr>
              <w:keepNext w:val="0"/>
              <w:keepLines w:val="0"/>
              <w:widowControl/>
              <w:suppressLineNumbers w:val="0"/>
              <w:spacing w:before="0" w:beforeAutospacing="0" w:after="0" w:afterAutospacing="0" w:line="360" w:lineRule="auto"/>
              <w:ind w:left="0" w:right="0" w:firstLine="480" w:firstLineChars="200"/>
              <w:jc w:val="both"/>
              <w:rPr>
                <w:rFonts w:hint="eastAsia"/>
                <w:lang w:val="en-US" w:eastAsia="zh-CN"/>
              </w:rPr>
            </w:pPr>
            <w:r>
              <w:rPr>
                <w:rFonts w:hint="default" w:ascii="Times New Roman" w:hAnsi="Times New Roman" w:eastAsia="宋体" w:cs="Times New Roman"/>
                <w:color w:val="auto"/>
                <w:sz w:val="24"/>
                <w:szCs w:val="24"/>
                <w:u w:val="none"/>
                <w:lang w:eastAsia="zh-CN"/>
              </w:rPr>
              <w:t>本项目位于</w:t>
            </w:r>
            <w:r>
              <w:rPr>
                <w:rFonts w:hint="eastAsia"/>
                <w:lang w:val="en-US" w:eastAsia="zh-CN"/>
              </w:rPr>
              <w:t>福建省福州市福清市阳下街道玉岭村147号车间2三楼</w:t>
            </w:r>
            <w:r>
              <w:rPr>
                <w:rFonts w:hint="eastAsia" w:cs="Times New Roman"/>
                <w:color w:val="auto"/>
                <w:sz w:val="24"/>
                <w:szCs w:val="24"/>
                <w:highlight w:val="none"/>
                <w:u w:val="none"/>
                <w:lang w:val="en-US" w:eastAsia="zh-CN"/>
              </w:rPr>
              <w:t>，</w:t>
            </w:r>
            <w:r>
              <w:rPr>
                <w:rFonts w:hint="eastAsia" w:ascii="Times New Roman" w:hAnsi="Times New Roman" w:eastAsia="宋体" w:cs="Times New Roman"/>
                <w:color w:val="auto"/>
                <w:sz w:val="24"/>
                <w:lang w:val="en-US" w:eastAsia="zh-CN"/>
              </w:rPr>
              <w:t>根据调查项目厂址不位于自然保护区、风景名胜区、饮用水水源保护区和其他需要特别保护等法律法规禁止开发建设的区域，用地为工业用地，与区域内土地利用规划不冲突。</w:t>
            </w:r>
            <w:r>
              <w:rPr>
                <w:rFonts w:hint="default" w:ascii="Times New Roman" w:hAnsi="Times New Roman" w:eastAsia="宋体" w:cs="Times New Roman"/>
                <w:color w:val="auto"/>
                <w:sz w:val="24"/>
                <w:lang w:val="en-US" w:eastAsia="zh-CN"/>
              </w:rPr>
              <w:t>根据现场勘查，</w:t>
            </w:r>
            <w:r>
              <w:rPr>
                <w:rFonts w:hint="eastAsia" w:ascii="Times New Roman" w:hAnsi="Times New Roman" w:eastAsia="宋体" w:cs="Times New Roman"/>
                <w:color w:val="auto"/>
                <w:sz w:val="24"/>
                <w:lang w:val="en-US" w:eastAsia="zh-CN"/>
              </w:rPr>
              <w:t>项目</w:t>
            </w:r>
            <w:r>
              <w:rPr>
                <w:rFonts w:hint="eastAsia"/>
                <w:color w:val="auto"/>
                <w:sz w:val="24"/>
                <w:lang w:val="en-US" w:eastAsia="zh-CN"/>
              </w:rPr>
              <w:t>厂界外50米范围内不存在声环境保护目标，厂界</w:t>
            </w:r>
            <w:r>
              <w:rPr>
                <w:rFonts w:hint="eastAsia" w:ascii="Times New Roman" w:hAnsi="Times New Roman" w:eastAsia="宋体" w:cs="Times New Roman"/>
                <w:color w:val="auto"/>
                <w:sz w:val="24"/>
                <w:lang w:val="en-US" w:eastAsia="zh-CN"/>
              </w:rPr>
              <w:t>外500米范围内距离项目最近的</w:t>
            </w:r>
            <w:r>
              <w:rPr>
                <w:rFonts w:hint="eastAsia" w:cs="Times New Roman"/>
                <w:color w:val="auto"/>
                <w:sz w:val="24"/>
                <w:lang w:val="en-US" w:eastAsia="zh-CN"/>
              </w:rPr>
              <w:t>南侧</w:t>
            </w:r>
            <w:r>
              <w:rPr>
                <w:rFonts w:hint="eastAsia" w:ascii="Times New Roman" w:hAnsi="Times New Roman" w:eastAsia="宋体" w:cs="Times New Roman"/>
                <w:color w:val="auto"/>
                <w:sz w:val="24"/>
                <w:lang w:val="en-US" w:eastAsia="zh-CN"/>
              </w:rPr>
              <w:t>约</w:t>
            </w:r>
            <w:r>
              <w:rPr>
                <w:rFonts w:hint="eastAsia" w:cs="Times New Roman"/>
                <w:color w:val="auto"/>
                <w:sz w:val="24"/>
                <w:lang w:val="en-US" w:eastAsia="zh-CN"/>
              </w:rPr>
              <w:t>63</w:t>
            </w:r>
            <w:r>
              <w:rPr>
                <w:rFonts w:hint="eastAsia" w:ascii="Times New Roman" w:hAnsi="Times New Roman" w:eastAsia="宋体" w:cs="Times New Roman"/>
                <w:color w:val="auto"/>
                <w:sz w:val="24"/>
                <w:lang w:val="en-US" w:eastAsia="zh-CN"/>
              </w:rPr>
              <w:t>m的</w:t>
            </w:r>
            <w:r>
              <w:rPr>
                <w:rFonts w:hint="eastAsia" w:cs="Times New Roman"/>
                <w:color w:val="auto"/>
                <w:sz w:val="24"/>
                <w:lang w:val="en-US" w:eastAsia="zh-CN"/>
              </w:rPr>
              <w:t>玉岭村</w:t>
            </w:r>
            <w:r>
              <w:rPr>
                <w:rFonts w:hint="eastAsia" w:ascii="Times New Roman" w:hAnsi="Times New Roman" w:eastAsia="宋体" w:cs="Times New Roman"/>
                <w:color w:val="auto"/>
                <w:sz w:val="24"/>
                <w:lang w:val="en-US" w:eastAsia="zh-CN"/>
              </w:rPr>
              <w:t>居民点，</w:t>
            </w:r>
            <w:r>
              <w:rPr>
                <w:rFonts w:hint="default" w:ascii="Times New Roman" w:hAnsi="Times New Roman" w:eastAsia="宋体" w:cs="Times New Roman"/>
                <w:color w:val="auto"/>
                <w:sz w:val="24"/>
                <w:lang w:eastAsia="zh-CN"/>
              </w:rPr>
              <w:t>周边</w:t>
            </w:r>
            <w:r>
              <w:rPr>
                <w:rFonts w:hint="eastAsia" w:cs="Times New Roman"/>
                <w:color w:val="auto"/>
                <w:sz w:val="24"/>
                <w:lang w:eastAsia="zh-CN"/>
              </w:rPr>
              <w:t>分布以工业企业为主</w:t>
            </w:r>
            <w:r>
              <w:rPr>
                <w:rFonts w:hint="eastAsia" w:ascii="Times New Roman" w:hAnsi="Times New Roman" w:eastAsia="宋体" w:cs="Times New Roman"/>
                <w:color w:val="auto"/>
                <w:sz w:val="24"/>
                <w:lang w:val="en-US" w:eastAsia="zh-CN"/>
              </w:rPr>
              <w:t>等</w:t>
            </w:r>
            <w:r>
              <w:rPr>
                <w:rFonts w:hint="eastAsia" w:ascii="Times New Roman" w:hAnsi="Times New Roman" w:eastAsia="宋体" w:cs="Times New Roman"/>
                <w:color w:val="auto"/>
                <w:sz w:val="24"/>
                <w:lang w:eastAsia="zh-CN"/>
              </w:rPr>
              <w:t>，项目</w:t>
            </w:r>
            <w:r>
              <w:rPr>
                <w:rFonts w:hint="eastAsia" w:ascii="Times New Roman" w:hAnsi="Times New Roman" w:eastAsia="宋体" w:cs="Times New Roman"/>
                <w:color w:val="auto"/>
                <w:sz w:val="24"/>
                <w:highlight w:val="none"/>
                <w:lang w:eastAsia="zh-CN"/>
              </w:rPr>
              <w:t>周边环境示意图</w:t>
            </w:r>
            <w:r>
              <w:rPr>
                <w:rFonts w:hint="eastAsia" w:cs="Times New Roman"/>
                <w:color w:val="auto"/>
                <w:sz w:val="24"/>
                <w:highlight w:val="none"/>
                <w:lang w:val="en-US" w:eastAsia="zh-CN"/>
              </w:rPr>
              <w:t>及保护目标</w:t>
            </w:r>
            <w:r>
              <w:rPr>
                <w:rFonts w:hint="eastAsia" w:ascii="Times New Roman" w:hAnsi="Times New Roman" w:eastAsia="宋体" w:cs="Times New Roman"/>
                <w:color w:val="auto"/>
                <w:sz w:val="24"/>
                <w:highlight w:val="none"/>
                <w:lang w:eastAsia="zh-CN"/>
              </w:rPr>
              <w:t>详见</w:t>
            </w:r>
            <w:r>
              <w:rPr>
                <w:rFonts w:hint="default" w:ascii="Times New Roman" w:hAnsi="Times New Roman" w:eastAsia="宋体" w:cs="Times New Roman"/>
                <w:color w:val="auto"/>
                <w:sz w:val="24"/>
                <w:highlight w:val="none"/>
                <w:lang w:val="en-US" w:eastAsia="zh-CN"/>
              </w:rPr>
              <w:fldChar w:fldCharType="begin"/>
            </w:r>
            <w:r>
              <w:rPr>
                <w:rFonts w:hint="default" w:ascii="Times New Roman" w:hAnsi="Times New Roman" w:eastAsia="宋体" w:cs="Times New Roman"/>
                <w:color w:val="auto"/>
                <w:sz w:val="24"/>
                <w:highlight w:val="none"/>
                <w:lang w:val="en-US" w:eastAsia="zh-CN"/>
              </w:rPr>
              <w:instrText xml:space="preserve"> REF _Ref22753 \h </w:instrText>
            </w:r>
            <w:r>
              <w:rPr>
                <w:rFonts w:hint="default" w:ascii="Times New Roman" w:hAnsi="Times New Roman" w:eastAsia="宋体" w:cs="Times New Roman"/>
                <w:color w:val="auto"/>
                <w:sz w:val="24"/>
                <w:highlight w:val="none"/>
                <w:lang w:val="en-US" w:eastAsia="zh-CN"/>
              </w:rPr>
              <w:fldChar w:fldCharType="separate"/>
            </w:r>
            <w:r>
              <w:rPr>
                <w:rFonts w:hint="eastAsia"/>
              </w:rPr>
              <w:t>附图 2</w:t>
            </w:r>
            <w:r>
              <w:rPr>
                <w:rFonts w:hint="default" w:ascii="Times New Roman" w:hAnsi="Times New Roman" w:eastAsia="宋体" w:cs="Times New Roman"/>
                <w:color w:val="auto"/>
                <w:sz w:val="24"/>
                <w:highlight w:val="none"/>
                <w:lang w:val="en-US" w:eastAsia="zh-CN"/>
              </w:rPr>
              <w:fldChar w:fldCharType="end"/>
            </w:r>
            <w:r>
              <w:rPr>
                <w:rFonts w:hint="eastAsia" w:cs="Times New Roman"/>
                <w:color w:val="auto"/>
                <w:sz w:val="24"/>
                <w:highlight w:val="none"/>
                <w:lang w:val="en-US" w:eastAsia="zh-CN"/>
              </w:rPr>
              <w:t>及</w:t>
            </w:r>
            <w:r>
              <w:rPr>
                <w:rFonts w:hint="default" w:ascii="Times New Roman" w:hAnsi="Times New Roman" w:eastAsia="宋体" w:cs="Times New Roman"/>
                <w:color w:val="auto"/>
                <w:sz w:val="24"/>
                <w:highlight w:val="none"/>
                <w:lang w:val="en-US" w:eastAsia="zh-CN"/>
              </w:rPr>
              <w:fldChar w:fldCharType="begin"/>
            </w:r>
            <w:r>
              <w:rPr>
                <w:rFonts w:hint="default" w:ascii="Times New Roman" w:hAnsi="Times New Roman" w:eastAsia="宋体" w:cs="Times New Roman"/>
                <w:color w:val="auto"/>
                <w:sz w:val="24"/>
                <w:highlight w:val="none"/>
                <w:lang w:val="en-US" w:eastAsia="zh-CN"/>
              </w:rPr>
              <w:instrText xml:space="preserve"> REF _Ref22763 \h </w:instrText>
            </w:r>
            <w:r>
              <w:rPr>
                <w:rFonts w:hint="default" w:ascii="Times New Roman" w:hAnsi="Times New Roman" w:eastAsia="宋体" w:cs="Times New Roman"/>
                <w:color w:val="auto"/>
                <w:sz w:val="24"/>
                <w:highlight w:val="none"/>
                <w:lang w:val="en-US" w:eastAsia="zh-CN"/>
              </w:rPr>
              <w:fldChar w:fldCharType="separate"/>
            </w:r>
            <w:r>
              <w:rPr>
                <w:rFonts w:hint="eastAsia"/>
              </w:rPr>
              <w:t>附图 3</w:t>
            </w:r>
            <w:r>
              <w:rPr>
                <w:rFonts w:hint="default" w:ascii="Times New Roman" w:hAnsi="Times New Roman" w:eastAsia="宋体" w:cs="Times New Roman"/>
                <w:color w:val="auto"/>
                <w:sz w:val="24"/>
                <w:highlight w:val="none"/>
                <w:lang w:val="en-US" w:eastAsia="zh-CN"/>
              </w:rPr>
              <w:fldChar w:fldCharType="end"/>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pacing w:val="0"/>
                <w:sz w:val="24"/>
                <w:szCs w:val="24"/>
                <w:highlight w:val="none"/>
                <w:u w:val="none"/>
                <w:lang w:eastAsia="zh-CN"/>
              </w:rPr>
              <w:t>项目周边环境现状拍摄图详</w:t>
            </w:r>
            <w:r>
              <w:rPr>
                <w:rFonts w:hint="default" w:ascii="Times New Roman" w:hAnsi="Times New Roman" w:eastAsia="宋体" w:cs="Times New Roman"/>
                <w:color w:val="auto"/>
                <w:sz w:val="24"/>
                <w:highlight w:val="none"/>
                <w:lang w:eastAsia="zh-CN"/>
              </w:rPr>
              <w:t>见</w:t>
            </w:r>
            <w:r>
              <w:rPr>
                <w:rFonts w:hint="default" w:ascii="Times New Roman" w:hAnsi="Times New Roman" w:eastAsia="宋体" w:cs="Times New Roman"/>
                <w:color w:val="auto"/>
                <w:sz w:val="24"/>
                <w:highlight w:val="none"/>
                <w:lang w:val="en-US" w:eastAsia="zh-CN"/>
              </w:rPr>
              <w:fldChar w:fldCharType="begin"/>
            </w:r>
            <w:r>
              <w:rPr>
                <w:rFonts w:hint="default" w:ascii="Times New Roman" w:hAnsi="Times New Roman" w:eastAsia="宋体" w:cs="Times New Roman"/>
                <w:color w:val="auto"/>
                <w:sz w:val="24"/>
                <w:highlight w:val="none"/>
                <w:lang w:val="en-US" w:eastAsia="zh-CN"/>
              </w:rPr>
              <w:instrText xml:space="preserve"> REF _Ref22825 \h </w:instrText>
            </w:r>
            <w:r>
              <w:rPr>
                <w:rFonts w:hint="default" w:ascii="Times New Roman" w:hAnsi="Times New Roman" w:eastAsia="宋体" w:cs="Times New Roman"/>
                <w:color w:val="auto"/>
                <w:sz w:val="24"/>
                <w:highlight w:val="none"/>
                <w:lang w:val="en-US" w:eastAsia="zh-CN"/>
              </w:rPr>
              <w:fldChar w:fldCharType="separate"/>
            </w:r>
            <w:r>
              <w:rPr>
                <w:rFonts w:hint="eastAsia"/>
              </w:rPr>
              <w:t>附图 4</w:t>
            </w:r>
            <w:r>
              <w:rPr>
                <w:rFonts w:hint="default" w:ascii="Times New Roman" w:hAnsi="Times New Roman" w:eastAsia="宋体" w:cs="Times New Roman"/>
                <w:color w:val="auto"/>
                <w:sz w:val="24"/>
                <w:highlight w:val="none"/>
                <w:lang w:val="en-US" w:eastAsia="zh-CN"/>
              </w:rPr>
              <w:fldChar w:fldCharType="end"/>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lang w:eastAsia="zh-CN"/>
              </w:rPr>
              <w:t>建设单位在</w:t>
            </w:r>
            <w:r>
              <w:rPr>
                <w:rFonts w:hint="eastAsia" w:cs="Times New Roman"/>
                <w:color w:val="auto"/>
                <w:sz w:val="24"/>
                <w:lang w:eastAsia="zh-CN"/>
              </w:rPr>
              <w:t>切实落实</w:t>
            </w:r>
            <w:r>
              <w:rPr>
                <w:rFonts w:hint="default" w:ascii="Times New Roman" w:hAnsi="Times New Roman" w:eastAsia="宋体" w:cs="Times New Roman"/>
                <w:color w:val="auto"/>
                <w:sz w:val="24"/>
                <w:lang w:eastAsia="zh-CN"/>
              </w:rPr>
              <w:t>本评价提出的各项污染治理措施的前提下，可实现污染物达标排放</w:t>
            </w:r>
            <w:r>
              <w:rPr>
                <w:rFonts w:hint="eastAsia" w:cs="Times New Roman"/>
                <w:color w:val="auto"/>
                <w:sz w:val="24"/>
                <w:lang w:eastAsia="zh-CN"/>
              </w:rPr>
              <w:t>且</w:t>
            </w:r>
            <w:r>
              <w:rPr>
                <w:rFonts w:hint="default" w:ascii="Times New Roman" w:hAnsi="Times New Roman" w:eastAsia="宋体" w:cs="Times New Roman"/>
                <w:color w:val="auto"/>
                <w:sz w:val="24"/>
                <w:lang w:eastAsia="zh-CN"/>
              </w:rPr>
              <w:t>各污染物排放源强较低，运营期产生的</w:t>
            </w:r>
            <w:r>
              <w:rPr>
                <w:rFonts w:hint="eastAsia" w:cs="Times New Roman"/>
                <w:color w:val="auto"/>
                <w:sz w:val="24"/>
                <w:lang w:eastAsia="zh-CN"/>
              </w:rPr>
              <w:t>“</w:t>
            </w:r>
            <w:r>
              <w:rPr>
                <w:rFonts w:hint="default" w:ascii="Times New Roman" w:hAnsi="Times New Roman" w:eastAsia="宋体" w:cs="Times New Roman"/>
                <w:color w:val="auto"/>
                <w:sz w:val="24"/>
                <w:lang w:eastAsia="zh-CN"/>
              </w:rPr>
              <w:t>三废</w:t>
            </w:r>
            <w:r>
              <w:rPr>
                <w:rFonts w:hint="eastAsia" w:cs="Times New Roman"/>
                <w:color w:val="auto"/>
                <w:sz w:val="24"/>
                <w:lang w:eastAsia="zh-CN"/>
              </w:rPr>
              <w:t>”</w:t>
            </w:r>
            <w:r>
              <w:rPr>
                <w:rFonts w:hint="default" w:ascii="Times New Roman" w:hAnsi="Times New Roman" w:eastAsia="宋体" w:cs="Times New Roman"/>
                <w:color w:val="auto"/>
                <w:sz w:val="24"/>
                <w:lang w:eastAsia="zh-CN"/>
              </w:rPr>
              <w:t>及噪声对周边环境影响不明显，因此，项目建设与周边环境基本相容。</w:t>
            </w:r>
          </w:p>
          <w:p w14:paraId="2EFA7DEC">
            <w:pPr>
              <w:pStyle w:val="3"/>
              <w:keepNext w:val="0"/>
              <w:keepLines w:val="0"/>
              <w:suppressLineNumbers w:val="0"/>
              <w:bidi w:val="0"/>
              <w:spacing w:before="0" w:beforeAutospacing="0" w:after="0" w:afterAutospacing="0"/>
              <w:ind w:left="0" w:right="0"/>
              <w:rPr>
                <w:rFonts w:hint="default"/>
              </w:rPr>
            </w:pPr>
            <w:r>
              <w:rPr>
                <w:rFonts w:hint="default"/>
              </w:rPr>
              <w:t>与污染防治相关政策符合性分析</w:t>
            </w:r>
          </w:p>
          <w:p w14:paraId="596247B0">
            <w:pPr>
              <w:keepNext w:val="0"/>
              <w:keepLines w:val="0"/>
              <w:suppressLineNumbers w:val="0"/>
              <w:bidi w:val="0"/>
              <w:spacing w:before="0" w:beforeAutospacing="0" w:after="0" w:afterAutospacing="0"/>
              <w:ind w:left="0" w:right="0"/>
              <w:rPr>
                <w:rFonts w:hint="default"/>
              </w:rPr>
            </w:pPr>
            <w:r>
              <w:rPr>
                <w:rFonts w:hint="default"/>
              </w:rPr>
              <w:t>本项目与挥发性有机物污染防治政策相关内容符合性分析详见表1.1-</w:t>
            </w:r>
            <w:r>
              <w:rPr>
                <w:rFonts w:hint="default"/>
                <w:lang w:val="en-US" w:eastAsia="zh-CN"/>
              </w:rPr>
              <w:t>6</w:t>
            </w:r>
            <w:r>
              <w:rPr>
                <w:rFonts w:hint="default"/>
              </w:rPr>
              <w:t>。</w:t>
            </w:r>
          </w:p>
          <w:p w14:paraId="2565A520">
            <w:pPr>
              <w:pStyle w:val="39"/>
              <w:keepNext w:val="0"/>
              <w:keepLines w:val="0"/>
              <w:suppressLineNumbers w:val="0"/>
              <w:bidi w:val="0"/>
              <w:spacing w:before="0" w:beforeAutospacing="0" w:after="0" w:afterAutospacing="0"/>
              <w:ind w:left="0" w:right="0"/>
              <w:rPr>
                <w:rFonts w:hint="default"/>
              </w:rPr>
            </w:pPr>
            <w:r>
              <w:rPr>
                <w:rFonts w:hint="default"/>
              </w:rPr>
              <w:t>表1.1-</w:t>
            </w:r>
            <w:r>
              <w:rPr>
                <w:rFonts w:hint="default"/>
                <w:lang w:val="en-US" w:eastAsia="zh-CN"/>
              </w:rPr>
              <w:t>6</w:t>
            </w:r>
            <w:r>
              <w:rPr>
                <w:rFonts w:hint="default"/>
              </w:rPr>
              <w:t xml:space="preserve"> 挥发性有机物污染防治政策相关内容</w:t>
            </w:r>
          </w:p>
          <w:tbl>
            <w:tblPr>
              <w:tblStyle w:val="29"/>
              <w:tblW w:w="4672"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1475"/>
              <w:gridCol w:w="2854"/>
              <w:gridCol w:w="1970"/>
              <w:gridCol w:w="357"/>
            </w:tblGrid>
            <w:tr w14:paraId="7404B9C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108" w:type="pct"/>
                  <w:noWrap w:val="0"/>
                  <w:vAlign w:val="center"/>
                </w:tcPr>
                <w:p w14:paraId="3F1338B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相关文件名称</w:t>
                  </w:r>
                </w:p>
              </w:tc>
              <w:tc>
                <w:tcPr>
                  <w:tcW w:w="2143" w:type="pct"/>
                  <w:noWrap w:val="0"/>
                  <w:vAlign w:val="center"/>
                </w:tcPr>
                <w:p w14:paraId="6F32B43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相关内容</w:t>
                  </w:r>
                </w:p>
              </w:tc>
              <w:tc>
                <w:tcPr>
                  <w:tcW w:w="1479" w:type="pct"/>
                  <w:noWrap w:val="0"/>
                  <w:vAlign w:val="center"/>
                </w:tcPr>
                <w:p w14:paraId="77DCCA94">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eastAsia="zh-CN"/>
                    </w:rPr>
                    <w:t>本项目内容</w:t>
                  </w:r>
                </w:p>
              </w:tc>
              <w:tc>
                <w:tcPr>
                  <w:tcW w:w="268" w:type="pct"/>
                  <w:noWrap w:val="0"/>
                  <w:vAlign w:val="center"/>
                </w:tcPr>
                <w:p w14:paraId="322D7655">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eastAsia="zh-CN"/>
                    </w:rPr>
                    <w:t>符合性</w:t>
                  </w:r>
                </w:p>
              </w:tc>
            </w:tr>
            <w:tr w14:paraId="7C4081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108" w:type="pct"/>
                  <w:noWrap w:val="0"/>
                  <w:vAlign w:val="center"/>
                </w:tcPr>
                <w:p w14:paraId="7DA60096">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rPr>
                    <w:t>《福建省</w:t>
                  </w:r>
                  <w:r>
                    <w:rPr>
                      <w:rFonts w:hint="eastAsia"/>
                      <w:szCs w:val="22"/>
                      <w:lang w:eastAsia="zh-CN"/>
                    </w:rPr>
                    <w:t>“</w:t>
                  </w:r>
                  <w:r>
                    <w:rPr>
                      <w:rFonts w:hint="eastAsia"/>
                      <w:szCs w:val="22"/>
                    </w:rPr>
                    <w:t>十四五</w:t>
                  </w:r>
                  <w:r>
                    <w:rPr>
                      <w:rFonts w:hint="eastAsia"/>
                      <w:szCs w:val="22"/>
                      <w:lang w:eastAsia="zh-CN"/>
                    </w:rPr>
                    <w:t>”</w:t>
                  </w:r>
                  <w:r>
                    <w:rPr>
                      <w:rFonts w:hint="eastAsia"/>
                      <w:szCs w:val="22"/>
                    </w:rPr>
                    <w:t>空气质量改善规划》</w:t>
                  </w:r>
                  <w:r>
                    <w:rPr>
                      <w:rFonts w:hint="eastAsia"/>
                      <w:szCs w:val="22"/>
                      <w:lang w:eastAsia="zh-CN"/>
                    </w:rPr>
                    <w:t>（</w:t>
                  </w:r>
                  <w:r>
                    <w:rPr>
                      <w:rFonts w:hint="eastAsia"/>
                      <w:szCs w:val="22"/>
                    </w:rPr>
                    <w:t>2022年</w:t>
                  </w:r>
                  <w:r>
                    <w:rPr>
                      <w:rFonts w:hint="eastAsia"/>
                      <w:szCs w:val="22"/>
                      <w:lang w:eastAsia="zh-CN"/>
                    </w:rPr>
                    <w:t>）</w:t>
                  </w:r>
                </w:p>
              </w:tc>
              <w:tc>
                <w:tcPr>
                  <w:tcW w:w="2143" w:type="pct"/>
                  <w:noWrap w:val="0"/>
                  <w:vAlign w:val="center"/>
                </w:tcPr>
                <w:p w14:paraId="2DB224AA">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rPr>
                    <w:t>推广使用水性、高固体分、无溶剂、粉末等低VOCs含量涂料，木质家具制造、汽车零部件、工程机械使用比例达到50%以上；严格执行涂料、油墨、胶粘剂、清洗剂VOCs含量限值标准，加大抽检力度，确保生产、销售、进口、使用符合标准的产品。严格涉VOCs建设项目环境影响评价，VOCs排放实行区域内等量替代，福州、厦门、漳州、泉州、莆田、宁德实施VOCs倍量替代。</w:t>
                  </w:r>
                </w:p>
              </w:tc>
              <w:tc>
                <w:tcPr>
                  <w:tcW w:w="1479" w:type="pct"/>
                  <w:noWrap w:val="0"/>
                  <w:vAlign w:val="center"/>
                </w:tcPr>
                <w:p w14:paraId="415F6305">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rPr>
                    <w:t>项目</w:t>
                  </w:r>
                  <w:r>
                    <w:rPr>
                      <w:rFonts w:hint="eastAsia"/>
                      <w:szCs w:val="22"/>
                      <w:lang w:val="en-US" w:eastAsia="zh-CN"/>
                    </w:rPr>
                    <w:t>使用的</w:t>
                  </w:r>
                  <w:r>
                    <w:rPr>
                      <w:rFonts w:hint="eastAsia"/>
                      <w:szCs w:val="22"/>
                    </w:rPr>
                    <w:t>涂料满足</w:t>
                  </w:r>
                  <w:r>
                    <w:rPr>
                      <w:rFonts w:hint="default"/>
                      <w:color w:val="auto"/>
                      <w:szCs w:val="22"/>
                    </w:rPr>
                    <w:t>《工业防护涂料中有害物质限量》（GB 30981-2020）</w:t>
                  </w:r>
                  <w:r>
                    <w:rPr>
                      <w:rFonts w:hint="eastAsia"/>
                      <w:color w:val="auto"/>
                      <w:szCs w:val="22"/>
                      <w:lang w:val="en-US" w:eastAsia="zh-CN"/>
                    </w:rPr>
                    <w:t>表</w:t>
                  </w:r>
                  <w:r>
                    <w:rPr>
                      <w:rFonts w:hint="default"/>
                      <w:color w:val="auto"/>
                      <w:szCs w:val="22"/>
                    </w:rPr>
                    <w:t>2中</w:t>
                  </w:r>
                  <w:r>
                    <w:rPr>
                      <w:rFonts w:hint="eastAsia"/>
                      <w:color w:val="auto"/>
                      <w:szCs w:val="22"/>
                      <w:lang w:val="en-US" w:eastAsia="zh-CN"/>
                    </w:rPr>
                    <w:t>溶剂型涂层-机械和设备用涂料（含零部件涂料）面漆及</w:t>
                  </w:r>
                  <w:r>
                    <w:rPr>
                      <w:rFonts w:hint="default"/>
                      <w:color w:val="auto"/>
                      <w:szCs w:val="22"/>
                    </w:rPr>
                    <w:t>《低挥发性有机化合物含量涂料产品技术要求》（GB/T38597-2020）</w:t>
                  </w:r>
                  <w:r>
                    <w:rPr>
                      <w:rFonts w:hint="eastAsia"/>
                      <w:color w:val="auto"/>
                      <w:szCs w:val="22"/>
                      <w:lang w:val="en-US" w:eastAsia="zh-CN"/>
                    </w:rPr>
                    <w:t>表</w:t>
                  </w:r>
                  <w:r>
                    <w:rPr>
                      <w:rFonts w:hint="default"/>
                      <w:color w:val="auto"/>
                      <w:szCs w:val="22"/>
                    </w:rPr>
                    <w:t>2中</w:t>
                  </w:r>
                  <w:r>
                    <w:rPr>
                      <w:rFonts w:hint="eastAsia"/>
                      <w:color w:val="auto"/>
                      <w:szCs w:val="22"/>
                      <w:lang w:val="en-US" w:eastAsia="zh-CN"/>
                    </w:rPr>
                    <w:t>工业防护涂料 机械设备涂料 港口机械和化工机械</w:t>
                  </w:r>
                  <w:r>
                    <w:rPr>
                      <w:rFonts w:hint="eastAsia"/>
                      <w:szCs w:val="22"/>
                      <w:lang w:val="en-US" w:eastAsia="zh-CN"/>
                    </w:rPr>
                    <w:t>涂料（含零部件涂料）面漆</w:t>
                  </w:r>
                  <w:r>
                    <w:rPr>
                      <w:rFonts w:hint="eastAsia"/>
                      <w:szCs w:val="22"/>
                    </w:rPr>
                    <w:t>的要求，为低挥发性有机物原辅材料；项目排放的VOCs拟实行区域内倍量替代</w:t>
                  </w:r>
                  <w:r>
                    <w:rPr>
                      <w:rFonts w:hint="eastAsia"/>
                      <w:szCs w:val="22"/>
                      <w:lang w:eastAsia="zh-CN"/>
                    </w:rPr>
                    <w:t>。</w:t>
                  </w:r>
                </w:p>
              </w:tc>
              <w:tc>
                <w:tcPr>
                  <w:tcW w:w="268" w:type="pct"/>
                  <w:noWrap w:val="0"/>
                  <w:vAlign w:val="center"/>
                </w:tcPr>
                <w:p w14:paraId="4856F63B">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eastAsia="zh-CN"/>
                    </w:rPr>
                    <w:t>符合</w:t>
                  </w:r>
                </w:p>
              </w:tc>
            </w:tr>
            <w:tr w14:paraId="02C6BB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108" w:type="pct"/>
                  <w:noWrap w:val="0"/>
                  <w:vAlign w:val="center"/>
                </w:tcPr>
                <w:p w14:paraId="7A274B3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rPr>
                    <w:t>《</w:t>
                  </w:r>
                  <w:r>
                    <w:rPr>
                      <w:rFonts w:hint="default"/>
                      <w:szCs w:val="22"/>
                      <w:lang w:val="en-US" w:eastAsia="zh-CN"/>
                    </w:rPr>
                    <w:t>2022年度福州市蓝天碧海净土保卫战行动计划通知</w:t>
                  </w:r>
                  <w:r>
                    <w:rPr>
                      <w:rFonts w:hint="default"/>
                      <w:szCs w:val="22"/>
                    </w:rPr>
                    <w:t>》</w:t>
                  </w:r>
                  <w:r>
                    <w:rPr>
                      <w:rFonts w:hint="eastAsia"/>
                      <w:szCs w:val="22"/>
                      <w:lang w:eastAsia="zh-CN"/>
                    </w:rPr>
                    <w:t>（</w:t>
                  </w:r>
                  <w:r>
                    <w:rPr>
                      <w:rFonts w:hint="default"/>
                      <w:szCs w:val="22"/>
                      <w:lang w:eastAsia="zh-CN"/>
                    </w:rPr>
                    <w:t>榕环委办</w:t>
                  </w:r>
                  <w:r>
                    <w:rPr>
                      <w:rFonts w:hint="eastAsia"/>
                      <w:szCs w:val="22"/>
                      <w:lang w:eastAsia="zh-CN"/>
                    </w:rPr>
                    <w:t>〔2022〕49号）</w:t>
                  </w:r>
                </w:p>
              </w:tc>
              <w:tc>
                <w:tcPr>
                  <w:tcW w:w="2143" w:type="pct"/>
                  <w:noWrap w:val="0"/>
                  <w:vAlign w:val="center"/>
                </w:tcPr>
                <w:p w14:paraId="710A3F4B">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rPr>
                    <w:t>四是严格涉VOCs建设项目环境影响评价审批。新、改、扩建涉VOCs排放项目，应使用低</w:t>
                  </w:r>
                  <w:r>
                    <w:rPr>
                      <w:rFonts w:hint="eastAsia"/>
                      <w:szCs w:val="22"/>
                      <w:lang w:eastAsia="zh-CN"/>
                    </w:rPr>
                    <w:t>（</w:t>
                  </w:r>
                  <w:r>
                    <w:rPr>
                      <w:rFonts w:hint="default"/>
                      <w:szCs w:val="22"/>
                    </w:rPr>
                    <w:t>无</w:t>
                  </w:r>
                  <w:r>
                    <w:rPr>
                      <w:rFonts w:hint="eastAsia"/>
                      <w:szCs w:val="22"/>
                      <w:lang w:eastAsia="zh-CN"/>
                    </w:rPr>
                    <w:t>）</w:t>
                  </w:r>
                  <w:r>
                    <w:rPr>
                      <w:rFonts w:hint="default"/>
                      <w:szCs w:val="22"/>
                    </w:rPr>
                    <w:t>VOCs涂料、粘胶剂等，实施新建项目VOCs排放区域内1.2及以上倍量替代。VOCs年排放量大于5吨的新建项目投运前应安装VOCs在线监控设备，并接入市生态云平台。</w:t>
                  </w:r>
                </w:p>
              </w:tc>
              <w:tc>
                <w:tcPr>
                  <w:tcW w:w="1479" w:type="pct"/>
                  <w:noWrap w:val="0"/>
                  <w:vAlign w:val="center"/>
                </w:tcPr>
                <w:p w14:paraId="3900D348">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rPr>
                    <w:t>项目</w:t>
                  </w:r>
                  <w:r>
                    <w:rPr>
                      <w:rFonts w:hint="eastAsia"/>
                      <w:szCs w:val="22"/>
                      <w:lang w:eastAsia="zh-CN"/>
                    </w:rPr>
                    <w:t>使用低VOCs含量的原辅材料</w:t>
                  </w:r>
                  <w:r>
                    <w:rPr>
                      <w:rFonts w:hint="eastAsia"/>
                      <w:szCs w:val="22"/>
                    </w:rPr>
                    <w:t>；项目VOCs排放拟实行区域内倍量替代，项目VOCs年排放量远小于5吨，不需安装VOCs在线监控设备。</w:t>
                  </w:r>
                </w:p>
              </w:tc>
              <w:tc>
                <w:tcPr>
                  <w:tcW w:w="268" w:type="pct"/>
                  <w:noWrap w:val="0"/>
                  <w:vAlign w:val="center"/>
                </w:tcPr>
                <w:p w14:paraId="27F01D8F">
                  <w:pPr>
                    <w:pStyle w:val="38"/>
                    <w:keepNext w:val="0"/>
                    <w:keepLines w:val="0"/>
                    <w:widowControl/>
                    <w:suppressLineNumbers w:val="0"/>
                    <w:bidi w:val="0"/>
                    <w:spacing w:before="0" w:beforeAutospacing="0" w:after="0" w:afterAutospacing="0"/>
                    <w:ind w:left="0" w:right="0"/>
                    <w:rPr>
                      <w:rFonts w:hint="eastAsia"/>
                      <w:szCs w:val="22"/>
                      <w:lang w:eastAsia="zh-CN"/>
                    </w:rPr>
                  </w:pPr>
                </w:p>
              </w:tc>
            </w:tr>
            <w:tr w14:paraId="5E5DEFB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108" w:type="pct"/>
                  <w:noWrap w:val="0"/>
                  <w:vAlign w:val="center"/>
                </w:tcPr>
                <w:p w14:paraId="7ECFB209">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eastAsia="zh-CN"/>
                    </w:rPr>
                    <w:t>《</w:t>
                  </w:r>
                  <w:r>
                    <w:rPr>
                      <w:rFonts w:hint="eastAsia"/>
                      <w:szCs w:val="22"/>
                    </w:rPr>
                    <w:t>福州市</w:t>
                  </w:r>
                  <w:r>
                    <w:rPr>
                      <w:rFonts w:hint="eastAsia"/>
                      <w:szCs w:val="22"/>
                      <w:lang w:eastAsia="zh-CN"/>
                    </w:rPr>
                    <w:t>“</w:t>
                  </w:r>
                  <w:r>
                    <w:rPr>
                      <w:rFonts w:hint="eastAsia"/>
                      <w:szCs w:val="22"/>
                    </w:rPr>
                    <w:t>十四五</w:t>
                  </w:r>
                  <w:r>
                    <w:rPr>
                      <w:rFonts w:hint="eastAsia"/>
                      <w:szCs w:val="22"/>
                      <w:lang w:eastAsia="zh-CN"/>
                    </w:rPr>
                    <w:t>”</w:t>
                  </w:r>
                  <w:r>
                    <w:rPr>
                      <w:rFonts w:hint="eastAsia"/>
                      <w:szCs w:val="22"/>
                    </w:rPr>
                    <w:t>生态环境保护规划</w:t>
                  </w:r>
                  <w:r>
                    <w:rPr>
                      <w:rFonts w:hint="eastAsia"/>
                      <w:szCs w:val="22"/>
                      <w:lang w:eastAsia="zh-CN"/>
                    </w:rPr>
                    <w:t>》（</w:t>
                  </w:r>
                  <w:r>
                    <w:rPr>
                      <w:rFonts w:hint="eastAsia"/>
                      <w:szCs w:val="22"/>
                    </w:rPr>
                    <w:t>榕政办〔2021〕123 号</w:t>
                  </w:r>
                  <w:r>
                    <w:rPr>
                      <w:rFonts w:hint="eastAsia"/>
                      <w:szCs w:val="22"/>
                      <w:lang w:eastAsia="zh-CN"/>
                    </w:rPr>
                    <w:t>）</w:t>
                  </w:r>
                </w:p>
              </w:tc>
              <w:tc>
                <w:tcPr>
                  <w:tcW w:w="2143" w:type="pct"/>
                  <w:noWrap w:val="0"/>
                  <w:vAlign w:val="center"/>
                </w:tcPr>
                <w:p w14:paraId="09432ED0">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rPr>
                    <w:t>强化挥发性有机物整治。</w:t>
                  </w:r>
                  <w:r>
                    <w:rPr>
                      <w:rFonts w:hint="default"/>
                      <w:szCs w:val="22"/>
                      <w:lang w:val="en-US" w:eastAsia="zh-CN"/>
                    </w:rPr>
                    <w:t>......</w:t>
                  </w:r>
                  <w:r>
                    <w:rPr>
                      <w:rFonts w:hint="eastAsia"/>
                      <w:szCs w:val="22"/>
                    </w:rPr>
                    <w:t>实行挥发性有机物排放倍量替代。加大涉VOCs企业源头替代力度，推广使用低</w:t>
                  </w:r>
                  <w:r>
                    <w:rPr>
                      <w:rFonts w:hint="eastAsia"/>
                      <w:szCs w:val="22"/>
                      <w:lang w:eastAsia="zh-CN"/>
                    </w:rPr>
                    <w:t>（</w:t>
                  </w:r>
                  <w:r>
                    <w:rPr>
                      <w:rFonts w:hint="eastAsia"/>
                      <w:szCs w:val="22"/>
                    </w:rPr>
                    <w:t>无</w:t>
                  </w:r>
                  <w:r>
                    <w:rPr>
                      <w:rFonts w:hint="eastAsia"/>
                      <w:szCs w:val="22"/>
                      <w:lang w:eastAsia="zh-CN"/>
                    </w:rPr>
                    <w:t>）</w:t>
                  </w:r>
                  <w:r>
                    <w:rPr>
                      <w:rFonts w:hint="eastAsia"/>
                      <w:szCs w:val="22"/>
                    </w:rPr>
                    <w:t>VOCs原辅材料替代，禁止生产高VOCs含量有机溶剂型涂料、油墨和胶黏剂的新、改、扩建项目，推进重点企业</w:t>
                  </w:r>
                  <w:r>
                    <w:rPr>
                      <w:rFonts w:hint="eastAsia"/>
                      <w:szCs w:val="22"/>
                      <w:lang w:eastAsia="zh-CN"/>
                    </w:rPr>
                    <w:t>“</w:t>
                  </w:r>
                  <w:r>
                    <w:rPr>
                      <w:rFonts w:hint="eastAsia"/>
                      <w:szCs w:val="22"/>
                    </w:rPr>
                    <w:t>油改水</w:t>
                  </w:r>
                  <w:r>
                    <w:rPr>
                      <w:rFonts w:hint="eastAsia"/>
                      <w:szCs w:val="22"/>
                      <w:lang w:eastAsia="zh-CN"/>
                    </w:rPr>
                    <w:t>”</w:t>
                  </w:r>
                  <w:r>
                    <w:rPr>
                      <w:rFonts w:hint="eastAsia"/>
                      <w:szCs w:val="22"/>
                    </w:rPr>
                    <w:t>治理，提高有机溶剂回收率。</w:t>
                  </w:r>
                </w:p>
              </w:tc>
              <w:tc>
                <w:tcPr>
                  <w:tcW w:w="1479" w:type="pct"/>
                  <w:noWrap w:val="0"/>
                  <w:vAlign w:val="center"/>
                </w:tcPr>
                <w:p w14:paraId="6BF2C859">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default"/>
                      <w:szCs w:val="22"/>
                      <w:lang w:val="en-US" w:eastAsia="zh-CN"/>
                    </w:rPr>
                    <w:t>项目排放的VOCs拟实行区域内倍量替代</w:t>
                  </w:r>
                  <w:r>
                    <w:rPr>
                      <w:rFonts w:hint="eastAsia"/>
                      <w:szCs w:val="22"/>
                      <w:lang w:val="en-US" w:eastAsia="zh-CN"/>
                    </w:rPr>
                    <w:t>；</w:t>
                  </w:r>
                  <w:r>
                    <w:rPr>
                      <w:rFonts w:hint="default"/>
                      <w:szCs w:val="22"/>
                      <w:lang w:val="en-US" w:eastAsia="zh-CN"/>
                    </w:rPr>
                    <w:t>项目仅涉及使用低VOCs含量的</w:t>
                  </w:r>
                  <w:r>
                    <w:rPr>
                      <w:rFonts w:hint="eastAsia"/>
                      <w:szCs w:val="22"/>
                      <w:lang w:val="en-US" w:eastAsia="zh-CN"/>
                    </w:rPr>
                    <w:t>原辅材料</w:t>
                  </w:r>
                  <w:r>
                    <w:rPr>
                      <w:rFonts w:hint="default"/>
                      <w:szCs w:val="22"/>
                      <w:lang w:val="en-US" w:eastAsia="zh-CN"/>
                    </w:rPr>
                    <w:t>，不涉及所需的VOCs原料的生产，全部外购。</w:t>
                  </w:r>
                </w:p>
              </w:tc>
              <w:tc>
                <w:tcPr>
                  <w:tcW w:w="268" w:type="pct"/>
                  <w:noWrap w:val="0"/>
                  <w:vAlign w:val="center"/>
                </w:tcPr>
                <w:p w14:paraId="1B3F4F92">
                  <w:pPr>
                    <w:pStyle w:val="38"/>
                    <w:keepNext w:val="0"/>
                    <w:keepLines w:val="0"/>
                    <w:widowControl/>
                    <w:suppressLineNumbers w:val="0"/>
                    <w:bidi w:val="0"/>
                    <w:spacing w:before="0" w:beforeAutospacing="0" w:after="0" w:afterAutospacing="0"/>
                    <w:ind w:left="0" w:right="0"/>
                    <w:rPr>
                      <w:rFonts w:hint="eastAsia"/>
                      <w:szCs w:val="22"/>
                      <w:lang w:eastAsia="zh-CN"/>
                    </w:rPr>
                  </w:pPr>
                </w:p>
              </w:tc>
            </w:tr>
            <w:tr w14:paraId="57275A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1874" w:hRule="atLeast"/>
                <w:jc w:val="center"/>
              </w:trPr>
              <w:tc>
                <w:tcPr>
                  <w:tcW w:w="1108" w:type="pct"/>
                  <w:noWrap w:val="0"/>
                  <w:vAlign w:val="center"/>
                </w:tcPr>
                <w:p w14:paraId="3869A4AF">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《关于开展福州市重点行业挥发性有机物综合治理工作（VOCs2.0）》</w:t>
                  </w:r>
                  <w:r>
                    <w:rPr>
                      <w:rFonts w:hint="eastAsia"/>
                      <w:szCs w:val="22"/>
                      <w:lang w:eastAsia="zh-CN"/>
                    </w:rPr>
                    <w:t>（</w:t>
                  </w:r>
                  <w:r>
                    <w:rPr>
                      <w:rFonts w:hint="eastAsia"/>
                      <w:szCs w:val="22"/>
                    </w:rPr>
                    <w:t>榕环保综</w:t>
                  </w:r>
                  <w:r>
                    <w:rPr>
                      <w:rFonts w:hint="eastAsia"/>
                      <w:szCs w:val="22"/>
                      <w:lang w:eastAsia="zh-CN"/>
                    </w:rPr>
                    <w:t>〔2021〕100号）</w:t>
                  </w:r>
                </w:p>
              </w:tc>
              <w:tc>
                <w:tcPr>
                  <w:tcW w:w="2143" w:type="pct"/>
                  <w:noWrap w:val="0"/>
                  <w:vAlign w:val="center"/>
                </w:tcPr>
                <w:p w14:paraId="10ABA78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（三）严格审批，加强管控</w:t>
                  </w:r>
                </w:p>
                <w:p w14:paraId="1981016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1.严格涉挥发性有机物建设项目环境影响评价审批。新、改、扩建排放挥发性有机物的建设项目实行倍量替代。鼓励使用低（无）挥发性有机物含量的原辅材料</w:t>
                  </w:r>
                </w:p>
              </w:tc>
              <w:tc>
                <w:tcPr>
                  <w:tcW w:w="1479" w:type="pct"/>
                  <w:noWrap w:val="0"/>
                  <w:vAlign w:val="center"/>
                </w:tcPr>
                <w:p w14:paraId="2F175A3F">
                  <w:pPr>
                    <w:pStyle w:val="38"/>
                    <w:keepNext w:val="0"/>
                    <w:keepLines w:val="0"/>
                    <w:widowControl/>
                    <w:suppressLineNumbers w:val="0"/>
                    <w:bidi w:val="0"/>
                    <w:spacing w:before="0" w:beforeAutospacing="0" w:after="0" w:afterAutospacing="0"/>
                    <w:ind w:left="0" w:right="0"/>
                    <w:jc w:val="both"/>
                    <w:rPr>
                      <w:rFonts w:hint="default"/>
                      <w:szCs w:val="22"/>
                      <w:lang w:val="en-US" w:eastAsia="zh-CN"/>
                    </w:rPr>
                  </w:pPr>
                  <w:r>
                    <w:rPr>
                      <w:rFonts w:hint="default"/>
                      <w:szCs w:val="22"/>
                      <w:lang w:val="en-US" w:eastAsia="zh-CN"/>
                    </w:rPr>
                    <w:t>项目使用低VOCs含量的</w:t>
                  </w:r>
                  <w:r>
                    <w:rPr>
                      <w:rFonts w:hint="eastAsia"/>
                      <w:szCs w:val="22"/>
                      <w:lang w:val="en-US" w:eastAsia="zh-CN"/>
                    </w:rPr>
                    <w:t>原辅材料</w:t>
                  </w:r>
                  <w:r>
                    <w:rPr>
                      <w:rFonts w:hint="default"/>
                      <w:szCs w:val="22"/>
                      <w:lang w:val="en-US" w:eastAsia="zh-CN"/>
                    </w:rPr>
                    <w:t>，</w:t>
                  </w:r>
                  <w:r>
                    <w:rPr>
                      <w:rFonts w:hint="eastAsia"/>
                      <w:szCs w:val="22"/>
                    </w:rPr>
                    <w:t>项目VOCs排放拟实行区域内倍量替代</w:t>
                  </w:r>
                  <w:r>
                    <w:rPr>
                      <w:rFonts w:hint="default"/>
                      <w:szCs w:val="22"/>
                      <w:lang w:val="en-US" w:eastAsia="zh-CN"/>
                    </w:rPr>
                    <w:t>。</w:t>
                  </w:r>
                </w:p>
              </w:tc>
              <w:tc>
                <w:tcPr>
                  <w:tcW w:w="268" w:type="pct"/>
                  <w:noWrap w:val="0"/>
                  <w:vAlign w:val="center"/>
                </w:tcPr>
                <w:p w14:paraId="25731073">
                  <w:pPr>
                    <w:pStyle w:val="38"/>
                    <w:keepNext w:val="0"/>
                    <w:keepLines w:val="0"/>
                    <w:widowControl/>
                    <w:suppressLineNumbers w:val="0"/>
                    <w:bidi w:val="0"/>
                    <w:spacing w:before="0" w:beforeAutospacing="0" w:after="0" w:afterAutospacing="0"/>
                    <w:ind w:left="0" w:right="0"/>
                    <w:rPr>
                      <w:rFonts w:hint="eastAsia"/>
                      <w:szCs w:val="22"/>
                      <w:lang w:eastAsia="zh-CN"/>
                    </w:rPr>
                  </w:pPr>
                </w:p>
              </w:tc>
            </w:tr>
            <w:tr w14:paraId="7B47AD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108" w:type="pct"/>
                  <w:noWrap w:val="0"/>
                  <w:vAlign w:val="center"/>
                </w:tcPr>
                <w:p w14:paraId="035E604F">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《福建省2020年挥发性有机物治理攻坚实施方案》的通知（闽环保大气〔2020〕6号）</w:t>
                  </w:r>
                </w:p>
              </w:tc>
              <w:tc>
                <w:tcPr>
                  <w:tcW w:w="2143" w:type="pct"/>
                  <w:noWrap w:val="0"/>
                  <w:vAlign w:val="center"/>
                </w:tcPr>
                <w:p w14:paraId="52D38D6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eastAsia="zh-CN"/>
                    </w:rPr>
                    <w:t>（</w:t>
                  </w:r>
                  <w:r>
                    <w:rPr>
                      <w:rFonts w:hint="eastAsia"/>
                      <w:szCs w:val="22"/>
                      <w:lang w:val="en-US" w:eastAsia="zh-CN"/>
                    </w:rPr>
                    <w:t>1</w:t>
                  </w:r>
                  <w:r>
                    <w:rPr>
                      <w:rFonts w:hint="eastAsia"/>
                      <w:szCs w:val="22"/>
                      <w:lang w:eastAsia="zh-CN"/>
                    </w:rPr>
                    <w:t>）</w:t>
                  </w:r>
                  <w:r>
                    <w:rPr>
                      <w:rFonts w:hint="eastAsia"/>
                      <w:szCs w:val="22"/>
                    </w:rPr>
                    <w:t>大力推进源头替代，有效减少VOCs产生；</w:t>
                  </w:r>
                </w:p>
                <w:p w14:paraId="7449B05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全面落实标准要求，强化无组织排放控制。加强含VOCs物料全方位、全链条、全环节密闭管理........。生产和使用环节应采用密闭设备，或在密闭空间中操作并有效收集废气，或进行局部气体收集；处置环节应将盛装过VOCs物料的包装容器、含VOCs废料（渣、液）、废吸附剂等通过加盖、封装等方式密闭，妥善存放，集中清运，交有资质的单位处置，不得随意丢弃；</w:t>
                  </w:r>
                </w:p>
                <w:p w14:paraId="21FDDFA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（3）聚焦治污设施</w:t>
                  </w:r>
                  <w:r>
                    <w:rPr>
                      <w:rFonts w:hint="eastAsia"/>
                      <w:szCs w:val="22"/>
                      <w:lang w:eastAsia="zh-CN"/>
                    </w:rPr>
                    <w:t>“</w:t>
                  </w:r>
                  <w:r>
                    <w:rPr>
                      <w:rFonts w:hint="eastAsia"/>
                      <w:szCs w:val="22"/>
                    </w:rPr>
                    <w:t>三率</w:t>
                  </w:r>
                  <w:r>
                    <w:rPr>
                      <w:rFonts w:hint="eastAsia"/>
                      <w:szCs w:val="22"/>
                      <w:lang w:eastAsia="zh-CN"/>
                    </w:rPr>
                    <w:t>”</w:t>
                  </w:r>
                  <w:r>
                    <w:rPr>
                      <w:rFonts w:hint="eastAsia"/>
                      <w:szCs w:val="22"/>
                    </w:rPr>
                    <w:t>，提升综合治理效率。......除恶臭异味治理外，一般不采用低温等离子、光催化、光氧化等技术。优先采用密闭设备、在密闭空间中操作或采用全密闭集气罩收集方式；</w:t>
                  </w:r>
                  <w:r>
                    <w:rPr>
                      <w:rFonts w:hint="eastAsia"/>
                      <w:szCs w:val="22"/>
                      <w:lang w:eastAsia="zh-CN"/>
                    </w:rPr>
                    <w:t>……</w:t>
                  </w:r>
                  <w:r>
                    <w:rPr>
                      <w:rFonts w:hint="eastAsia"/>
                      <w:szCs w:val="22"/>
                    </w:rPr>
                    <w:t>采用活性炭吸附技术的，应选择碘值不低于800毫克/克的活性炭，并按设计要求足量添加</w:t>
                  </w:r>
                  <w:r>
                    <w:rPr>
                      <w:rFonts w:hint="eastAsia"/>
                      <w:szCs w:val="22"/>
                      <w:lang w:eastAsia="zh-CN"/>
                    </w:rPr>
                    <w:t>及</w:t>
                  </w:r>
                  <w:r>
                    <w:rPr>
                      <w:rFonts w:hint="eastAsia"/>
                      <w:szCs w:val="22"/>
                    </w:rPr>
                    <w:t>时更换。</w:t>
                  </w:r>
                </w:p>
              </w:tc>
              <w:tc>
                <w:tcPr>
                  <w:tcW w:w="1479" w:type="pct"/>
                  <w:noWrap w:val="0"/>
                  <w:vAlign w:val="center"/>
                </w:tcPr>
                <w:p w14:paraId="25FAD9F6">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（1）项目使用低VOCs原辅料；常温下不产生VOCs。</w:t>
                  </w:r>
                </w:p>
                <w:p w14:paraId="63838D4B">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val="en-US" w:eastAsia="zh-CN"/>
                    </w:rPr>
                    <w:t>（2）</w:t>
                  </w:r>
                  <w:r>
                    <w:rPr>
                      <w:rFonts w:hint="default"/>
                      <w:szCs w:val="22"/>
                      <w:lang w:val="en-US" w:eastAsia="zh-CN"/>
                    </w:rPr>
                    <w:t>项目</w:t>
                  </w:r>
                  <w:r>
                    <w:rPr>
                      <w:rFonts w:hint="eastAsia"/>
                      <w:szCs w:val="22"/>
                      <w:lang w:val="en-US" w:eastAsia="zh-CN"/>
                    </w:rPr>
                    <w:t>水性漆及油性漆采</w:t>
                  </w:r>
                  <w:r>
                    <w:rPr>
                      <w:rFonts w:hint="eastAsia"/>
                      <w:szCs w:val="22"/>
                      <w:highlight w:val="none"/>
                      <w:lang w:val="en-US" w:eastAsia="zh-CN"/>
                    </w:rPr>
                    <w:t>用密闭桶装暂存</w:t>
                  </w:r>
                  <w:r>
                    <w:rPr>
                      <w:rFonts w:hint="default"/>
                      <w:szCs w:val="22"/>
                      <w:highlight w:val="none"/>
                      <w:lang w:val="en-US" w:eastAsia="zh-CN"/>
                    </w:rPr>
                    <w:t>；</w:t>
                  </w:r>
                  <w:r>
                    <w:rPr>
                      <w:rFonts w:hint="eastAsia"/>
                      <w:szCs w:val="22"/>
                      <w:highlight w:val="none"/>
                      <w:lang w:val="en-US" w:eastAsia="zh-CN"/>
                    </w:rPr>
                    <w:t>项目喷漆、烘干、加烤工序车间密闭负压收集废气，收集效率90%，拟将更换的废活性炭及过滤棉当作</w:t>
                  </w:r>
                  <w:r>
                    <w:rPr>
                      <w:rFonts w:hint="eastAsia"/>
                      <w:szCs w:val="22"/>
                      <w:lang w:val="en-US" w:eastAsia="zh-CN"/>
                    </w:rPr>
                    <w:t>危险废物，</w:t>
                  </w:r>
                  <w:r>
                    <w:rPr>
                      <w:rFonts w:hint="default"/>
                      <w:szCs w:val="22"/>
                      <w:lang w:val="en-US" w:eastAsia="zh-CN"/>
                    </w:rPr>
                    <w:t>密闭暂存于</w:t>
                  </w:r>
                  <w:r>
                    <w:rPr>
                      <w:rFonts w:hint="eastAsia"/>
                      <w:szCs w:val="22"/>
                      <w:lang w:val="en-US" w:eastAsia="zh-CN"/>
                    </w:rPr>
                    <w:t>危险废物贮存库</w:t>
                  </w:r>
                  <w:r>
                    <w:rPr>
                      <w:rFonts w:hint="default"/>
                      <w:szCs w:val="22"/>
                      <w:lang w:val="en-US" w:eastAsia="zh-CN"/>
                    </w:rPr>
                    <w:t>内</w:t>
                  </w:r>
                  <w:r>
                    <w:rPr>
                      <w:rFonts w:hint="eastAsia"/>
                      <w:szCs w:val="22"/>
                      <w:lang w:val="en-US" w:eastAsia="zh-CN"/>
                    </w:rPr>
                    <w:t>，定期委托有资质单位统一处置；（3）</w:t>
                  </w:r>
                  <w:r>
                    <w:rPr>
                      <w:rFonts w:hint="eastAsia"/>
                      <w:szCs w:val="22"/>
                      <w:highlight w:val="none"/>
                    </w:rPr>
                    <w:t>项目烘干废气及加烤废气各自经密闭管道集气收集，然后与经水帘柜净化后的喷漆废气一起并入</w:t>
                  </w:r>
                  <w:r>
                    <w:rPr>
                      <w:rFonts w:hint="eastAsia"/>
                      <w:szCs w:val="22"/>
                      <w:highlight w:val="none"/>
                      <w:lang w:eastAsia="zh-CN"/>
                    </w:rPr>
                    <w:t>“</w:t>
                  </w:r>
                  <w:r>
                    <w:rPr>
                      <w:rFonts w:hint="eastAsia"/>
                      <w:szCs w:val="22"/>
                      <w:highlight w:val="none"/>
                    </w:rPr>
                    <w:t>过滤棉+活性炭吸附装置</w:t>
                  </w:r>
                  <w:r>
                    <w:rPr>
                      <w:rFonts w:hint="eastAsia"/>
                      <w:szCs w:val="22"/>
                      <w:highlight w:val="none"/>
                      <w:lang w:eastAsia="zh-CN"/>
                    </w:rPr>
                    <w:t>”处理</w:t>
                  </w:r>
                  <w:r>
                    <w:rPr>
                      <w:rFonts w:hint="eastAsia"/>
                      <w:szCs w:val="22"/>
                      <w:highlight w:val="none"/>
                    </w:rPr>
                    <w:t>后</w:t>
                  </w:r>
                  <w:r>
                    <w:rPr>
                      <w:rFonts w:hint="eastAsia"/>
                      <w:szCs w:val="22"/>
                      <w:highlight w:val="none"/>
                      <w:lang w:eastAsia="zh-CN"/>
                    </w:rPr>
                    <w:t>达标排放</w:t>
                  </w:r>
                  <w:r>
                    <w:rPr>
                      <w:rFonts w:hint="eastAsia"/>
                      <w:szCs w:val="22"/>
                      <w:lang w:val="en-US" w:eastAsia="zh-CN"/>
                    </w:rPr>
                    <w:t>，</w:t>
                  </w:r>
                  <w:r>
                    <w:rPr>
                      <w:rFonts w:hint="eastAsia"/>
                      <w:szCs w:val="22"/>
                    </w:rPr>
                    <w:t>项目生产设备除进出料口全部密闭，</w:t>
                  </w:r>
                  <w:r>
                    <w:rPr>
                      <w:rFonts w:hint="default"/>
                      <w:szCs w:val="22"/>
                      <w:lang w:val="en-US" w:eastAsia="zh-CN"/>
                    </w:rPr>
                    <w:t>VOCs</w:t>
                  </w:r>
                  <w:r>
                    <w:rPr>
                      <w:rFonts w:hint="eastAsia"/>
                      <w:szCs w:val="22"/>
                      <w:lang w:val="en-US" w:eastAsia="zh-CN"/>
                    </w:rPr>
                    <w:t>采用集气罩收集，采用碘值不低于800毫克/克的活性炭，并定期更换</w:t>
                  </w:r>
                  <w:r>
                    <w:rPr>
                      <w:rFonts w:hint="eastAsia"/>
                      <w:szCs w:val="22"/>
                    </w:rPr>
                    <w:t>。</w:t>
                  </w:r>
                </w:p>
              </w:tc>
              <w:tc>
                <w:tcPr>
                  <w:tcW w:w="268" w:type="pct"/>
                  <w:noWrap w:val="0"/>
                  <w:vAlign w:val="center"/>
                </w:tcPr>
                <w:p w14:paraId="7BC7F956">
                  <w:pPr>
                    <w:pStyle w:val="38"/>
                    <w:keepNext w:val="0"/>
                    <w:keepLines w:val="0"/>
                    <w:widowControl/>
                    <w:suppressLineNumbers w:val="0"/>
                    <w:bidi w:val="0"/>
                    <w:spacing w:before="0" w:beforeAutospacing="0" w:after="0" w:afterAutospacing="0"/>
                    <w:ind w:left="0" w:right="0"/>
                    <w:rPr>
                      <w:rFonts w:hint="eastAsia"/>
                      <w:szCs w:val="22"/>
                      <w:lang w:eastAsia="zh-CN"/>
                    </w:rPr>
                  </w:pPr>
                </w:p>
              </w:tc>
            </w:tr>
            <w:tr w14:paraId="211B94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108" w:type="pct"/>
                  <w:noWrap w:val="0"/>
                  <w:vAlign w:val="center"/>
                </w:tcPr>
                <w:p w14:paraId="6730DFE3">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福建省重点行业挥发性有机物污染防治工作方案</w:t>
                  </w:r>
                  <w:r>
                    <w:rPr>
                      <w:rFonts w:hint="eastAsia"/>
                      <w:szCs w:val="22"/>
                      <w:lang w:val="en-US" w:eastAsia="zh-CN"/>
                    </w:rPr>
                    <w:t>（</w:t>
                  </w:r>
                  <w:r>
                    <w:rPr>
                      <w:rFonts w:hint="default"/>
                      <w:szCs w:val="22"/>
                      <w:lang w:val="en-US" w:eastAsia="zh-CN"/>
                    </w:rPr>
                    <w:t>闽环保大气〔2017〕6号</w:t>
                  </w:r>
                  <w:r>
                    <w:rPr>
                      <w:rFonts w:hint="eastAsia"/>
                      <w:szCs w:val="22"/>
                      <w:lang w:val="en-US" w:eastAsia="zh-CN"/>
                    </w:rPr>
                    <w:t>）</w:t>
                  </w:r>
                </w:p>
              </w:tc>
              <w:tc>
                <w:tcPr>
                  <w:tcW w:w="2143" w:type="pct"/>
                  <w:noWrap w:val="0"/>
                  <w:vAlign w:val="center"/>
                </w:tcPr>
                <w:p w14:paraId="5C2ED0F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二、主要任务</w:t>
                  </w:r>
                </w:p>
                <w:p w14:paraId="039C96D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（一）严格环境准入</w:t>
                  </w:r>
                </w:p>
                <w:p w14:paraId="59F0708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进一步提高行业准入门槛，严格控制新增污染物排放量。严格限制石化、化工、包装印刷、工业涂装等高VOCs排放建设项目。新改扩建项目要使用低VOCs含量原辅材料，采取密闭措施，加强废气收集，配套安装高效治理设施，减少污染排放。淘汰国家及地方明令禁止的落后工艺和设备。</w:t>
                  </w:r>
                </w:p>
                <w:p w14:paraId="6A1D34B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（二）大力推进清洁生产</w:t>
                  </w:r>
                </w:p>
                <w:p w14:paraId="3F70899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……在重点行业大力倡导环境标志产品生产及使用，尤其是水性涂料的生产和使用，从源头控制VOCs排放。</w:t>
                  </w:r>
                </w:p>
              </w:tc>
              <w:tc>
                <w:tcPr>
                  <w:tcW w:w="1479" w:type="pct"/>
                  <w:noWrap w:val="0"/>
                  <w:vAlign w:val="center"/>
                </w:tcPr>
                <w:p w14:paraId="3743EE9E">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eastAsia="zh-CN"/>
                    </w:rPr>
                    <w:t>本项目使用</w:t>
                  </w:r>
                  <w:r>
                    <w:rPr>
                      <w:rFonts w:hint="eastAsia"/>
                      <w:szCs w:val="22"/>
                    </w:rPr>
                    <w:t>低VOCs含量原</w:t>
                  </w:r>
                  <w:r>
                    <w:rPr>
                      <w:rFonts w:hint="eastAsia"/>
                      <w:szCs w:val="22"/>
                      <w:highlight w:val="none"/>
                    </w:rPr>
                    <w:t>辅材料</w:t>
                  </w:r>
                  <w:r>
                    <w:rPr>
                      <w:rFonts w:hint="eastAsia"/>
                      <w:szCs w:val="22"/>
                      <w:highlight w:val="none"/>
                      <w:lang w:eastAsia="zh-CN"/>
                    </w:rPr>
                    <w:t>且使用量较少，</w:t>
                  </w:r>
                  <w:r>
                    <w:rPr>
                      <w:rFonts w:hint="eastAsia"/>
                      <w:szCs w:val="22"/>
                      <w:highlight w:val="none"/>
                    </w:rPr>
                    <w:t>项目烘干废气及加烤废气各自经密闭管道集气收集，然后与经水帘柜净化后的喷漆废气一起并入</w:t>
                  </w:r>
                  <w:r>
                    <w:rPr>
                      <w:rFonts w:hint="eastAsia"/>
                      <w:szCs w:val="22"/>
                      <w:highlight w:val="none"/>
                      <w:lang w:eastAsia="zh-CN"/>
                    </w:rPr>
                    <w:t>“</w:t>
                  </w:r>
                  <w:r>
                    <w:rPr>
                      <w:rFonts w:hint="eastAsia"/>
                      <w:szCs w:val="22"/>
                      <w:highlight w:val="none"/>
                    </w:rPr>
                    <w:t>过滤棉+活性炭吸附装置</w:t>
                  </w:r>
                  <w:r>
                    <w:rPr>
                      <w:rFonts w:hint="eastAsia"/>
                      <w:szCs w:val="22"/>
                      <w:highlight w:val="none"/>
                      <w:lang w:eastAsia="zh-CN"/>
                    </w:rPr>
                    <w:t>”处理</w:t>
                  </w:r>
                  <w:r>
                    <w:rPr>
                      <w:rFonts w:hint="eastAsia"/>
                      <w:szCs w:val="22"/>
                      <w:highlight w:val="none"/>
                    </w:rPr>
                    <w:t>后</w:t>
                  </w:r>
                  <w:r>
                    <w:rPr>
                      <w:rFonts w:hint="eastAsia"/>
                      <w:szCs w:val="22"/>
                      <w:highlight w:val="none"/>
                      <w:lang w:eastAsia="zh-CN"/>
                    </w:rPr>
                    <w:t>达标排放。</w:t>
                  </w:r>
                </w:p>
              </w:tc>
              <w:tc>
                <w:tcPr>
                  <w:tcW w:w="268" w:type="pct"/>
                  <w:noWrap w:val="0"/>
                  <w:vAlign w:val="center"/>
                </w:tcPr>
                <w:p w14:paraId="6E529DB4">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eastAsia="zh-CN"/>
                    </w:rPr>
                    <w:t>符合</w:t>
                  </w:r>
                </w:p>
              </w:tc>
            </w:tr>
            <w:tr w14:paraId="4D25DC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108" w:type="pct"/>
                  <w:noWrap w:val="0"/>
                  <w:vAlign w:val="center"/>
                </w:tcPr>
                <w:p w14:paraId="3CF07881">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《福建省2020年挥发性有机物治理攻坚实施方案》的通知</w:t>
                  </w:r>
                  <w:r>
                    <w:rPr>
                      <w:rFonts w:hint="eastAsia"/>
                      <w:szCs w:val="22"/>
                      <w:lang w:val="en-US" w:eastAsia="zh-CN"/>
                    </w:rPr>
                    <w:t>（</w:t>
                  </w:r>
                  <w:r>
                    <w:rPr>
                      <w:rFonts w:hint="default"/>
                      <w:szCs w:val="22"/>
                      <w:lang w:val="en-US" w:eastAsia="zh-CN"/>
                    </w:rPr>
                    <w:t>闽环保大气〔2020〕6号</w:t>
                  </w:r>
                  <w:r>
                    <w:rPr>
                      <w:rFonts w:hint="eastAsia"/>
                      <w:szCs w:val="22"/>
                      <w:lang w:val="en-US" w:eastAsia="zh-CN"/>
                    </w:rPr>
                    <w:t>）</w:t>
                  </w:r>
                </w:p>
              </w:tc>
              <w:tc>
                <w:tcPr>
                  <w:tcW w:w="2143" w:type="pct"/>
                  <w:noWrap w:val="0"/>
                  <w:vAlign w:val="center"/>
                </w:tcPr>
                <w:p w14:paraId="56C8396F">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大力推进源头替代，有效减少VOCs产生；</w:t>
                  </w:r>
                </w:p>
                <w:p w14:paraId="3993F644">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全面落实标准要求，强化无组织排放控制。加强含VOCs物料全方位、全链条、全环节密闭管理........。生产和使用环节应采用密闭设备，或在密闭空间中操作并有效收集废气，或进行局部气体收集；处置环节应将盛装过VOCs物料的包装容器、含VOCs废料</w:t>
                  </w:r>
                  <w:r>
                    <w:rPr>
                      <w:rFonts w:hint="eastAsia"/>
                      <w:szCs w:val="22"/>
                      <w:lang w:val="en-US" w:eastAsia="zh-CN"/>
                    </w:rPr>
                    <w:t>（</w:t>
                  </w:r>
                  <w:r>
                    <w:rPr>
                      <w:rFonts w:hint="default"/>
                      <w:szCs w:val="22"/>
                      <w:lang w:val="en-US" w:eastAsia="zh-CN"/>
                    </w:rPr>
                    <w:t>渣、液</w:t>
                  </w:r>
                  <w:r>
                    <w:rPr>
                      <w:rFonts w:hint="eastAsia"/>
                      <w:szCs w:val="22"/>
                      <w:lang w:val="en-US" w:eastAsia="zh-CN"/>
                    </w:rPr>
                    <w:t>）</w:t>
                  </w:r>
                  <w:r>
                    <w:rPr>
                      <w:rFonts w:hint="default"/>
                      <w:szCs w:val="22"/>
                      <w:lang w:val="en-US" w:eastAsia="zh-CN"/>
                    </w:rPr>
                    <w:t>、废吸附剂等通过加盖、封装等方式密闭，妥善存放，集中清运，交有资质的单位处置，不得随意丢弃；</w:t>
                  </w:r>
                </w:p>
                <w:p w14:paraId="7D865E6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w:t>
                  </w:r>
                  <w:r>
                    <w:rPr>
                      <w:rFonts w:hint="default"/>
                      <w:szCs w:val="22"/>
                      <w:lang w:val="en-US" w:eastAsia="zh-CN"/>
                    </w:rPr>
                    <w:t>3</w:t>
                  </w:r>
                  <w:r>
                    <w:rPr>
                      <w:rFonts w:hint="eastAsia"/>
                      <w:szCs w:val="22"/>
                      <w:lang w:val="en-US" w:eastAsia="zh-CN"/>
                    </w:rPr>
                    <w:t>）</w:t>
                  </w:r>
                  <w:r>
                    <w:rPr>
                      <w:rFonts w:hint="default"/>
                      <w:szCs w:val="22"/>
                      <w:lang w:val="en-US" w:eastAsia="zh-CN"/>
                    </w:rPr>
                    <w:t>聚焦治污设施</w:t>
                  </w:r>
                  <w:r>
                    <w:rPr>
                      <w:rFonts w:hint="eastAsia"/>
                      <w:szCs w:val="22"/>
                      <w:lang w:val="en-US" w:eastAsia="zh-CN"/>
                    </w:rPr>
                    <w:t>“</w:t>
                  </w:r>
                  <w:r>
                    <w:rPr>
                      <w:rFonts w:hint="default"/>
                      <w:szCs w:val="22"/>
                      <w:lang w:val="en-US" w:eastAsia="zh-CN"/>
                    </w:rPr>
                    <w:t>三率</w:t>
                  </w:r>
                  <w:r>
                    <w:rPr>
                      <w:rFonts w:hint="eastAsia"/>
                      <w:szCs w:val="22"/>
                      <w:lang w:val="en-US" w:eastAsia="zh-CN"/>
                    </w:rPr>
                    <w:t>”</w:t>
                  </w:r>
                  <w:r>
                    <w:rPr>
                      <w:rFonts w:hint="default"/>
                      <w:szCs w:val="22"/>
                      <w:lang w:val="en-US" w:eastAsia="zh-CN"/>
                    </w:rPr>
                    <w:t>，提升综合治理效率。......除恶臭异味治理外，一般不采用低温等离子、光催化、光氧化等技术。优先采用密闭设备、在密闭空间中操作或采用全密闭集气罩收集方式；......采用活性炭吸附技术的，应选择碘值不低于800毫克/克的活性炭，并按设计要求足量添加</w:t>
                  </w:r>
                  <w:r>
                    <w:rPr>
                      <w:rFonts w:hint="eastAsia"/>
                      <w:szCs w:val="22"/>
                      <w:lang w:val="en-US" w:eastAsia="zh-CN"/>
                    </w:rPr>
                    <w:t>及</w:t>
                  </w:r>
                  <w:r>
                    <w:rPr>
                      <w:rFonts w:hint="default"/>
                      <w:szCs w:val="22"/>
                      <w:lang w:val="en-US" w:eastAsia="zh-CN"/>
                    </w:rPr>
                    <w:t>时更换。</w:t>
                  </w:r>
                </w:p>
              </w:tc>
              <w:tc>
                <w:tcPr>
                  <w:tcW w:w="1479" w:type="pct"/>
                  <w:noWrap w:val="0"/>
                  <w:vAlign w:val="center"/>
                </w:tcPr>
                <w:p w14:paraId="2CC5385E">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（1）项目使用的物料VOCs含量低；</w:t>
                  </w:r>
                </w:p>
                <w:p w14:paraId="40AA362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（2）本项目</w:t>
                  </w:r>
                  <w:r>
                    <w:rPr>
                      <w:rFonts w:hint="eastAsia"/>
                      <w:szCs w:val="22"/>
                      <w:lang w:val="en-US" w:eastAsia="zh-CN"/>
                    </w:rPr>
                    <w:t>涂料</w:t>
                  </w:r>
                  <w:r>
                    <w:rPr>
                      <w:rFonts w:hint="default"/>
                      <w:szCs w:val="22"/>
                      <w:lang w:val="en-US" w:eastAsia="zh-CN"/>
                    </w:rPr>
                    <w:t>储存于密封的桶内；将</w:t>
                  </w:r>
                  <w:r>
                    <w:rPr>
                      <w:rFonts w:hint="default"/>
                      <w:szCs w:val="22"/>
                    </w:rPr>
                    <w:t>更换的</w:t>
                  </w:r>
                  <w:r>
                    <w:rPr>
                      <w:rFonts w:hint="default"/>
                      <w:szCs w:val="22"/>
                      <w:lang w:val="en-US" w:eastAsia="zh-CN"/>
                    </w:rPr>
                    <w:t>废</w:t>
                  </w:r>
                  <w:r>
                    <w:rPr>
                      <w:rFonts w:hint="eastAsia"/>
                      <w:szCs w:val="22"/>
                      <w:lang w:val="en-US" w:eastAsia="zh-CN"/>
                    </w:rPr>
                    <w:t>活性炭当作</w:t>
                  </w:r>
                  <w:r>
                    <w:rPr>
                      <w:rFonts w:hint="default"/>
                      <w:szCs w:val="22"/>
                    </w:rPr>
                    <w:t>危险废物</w:t>
                  </w:r>
                  <w:r>
                    <w:rPr>
                      <w:rFonts w:hint="default"/>
                      <w:szCs w:val="22"/>
                      <w:lang w:eastAsia="zh-CN"/>
                    </w:rPr>
                    <w:t>，</w:t>
                  </w:r>
                  <w:r>
                    <w:rPr>
                      <w:rFonts w:hint="default"/>
                      <w:szCs w:val="22"/>
                    </w:rPr>
                    <w:t>袋装密闭暂存于</w:t>
                  </w:r>
                  <w:r>
                    <w:rPr>
                      <w:rFonts w:hint="default"/>
                      <w:szCs w:val="22"/>
                      <w:lang w:eastAsia="zh-CN"/>
                    </w:rPr>
                    <w:t>危废贮存库</w:t>
                  </w:r>
                  <w:r>
                    <w:rPr>
                      <w:rFonts w:hint="default"/>
                      <w:szCs w:val="22"/>
                    </w:rPr>
                    <w:t>内</w:t>
                  </w:r>
                  <w:r>
                    <w:rPr>
                      <w:rFonts w:hint="default"/>
                      <w:szCs w:val="22"/>
                      <w:lang w:eastAsia="zh-CN"/>
                    </w:rPr>
                    <w:t>，</w:t>
                  </w:r>
                  <w:r>
                    <w:rPr>
                      <w:rFonts w:hint="default"/>
                      <w:szCs w:val="22"/>
                      <w:lang w:val="en-US" w:eastAsia="zh-CN"/>
                    </w:rPr>
                    <w:t>定期委托有资质单位统一处置；</w:t>
                  </w:r>
                </w:p>
                <w:p w14:paraId="5897C488">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default"/>
                      <w:szCs w:val="22"/>
                      <w:lang w:val="en-US" w:eastAsia="zh-CN"/>
                    </w:rPr>
                    <w:t>（3）本项目VOCs通过采取</w:t>
                  </w:r>
                  <w:r>
                    <w:rPr>
                      <w:rFonts w:hint="eastAsia"/>
                      <w:szCs w:val="22"/>
                      <w:lang w:val="en-US" w:eastAsia="zh-CN"/>
                    </w:rPr>
                    <w:t>废气处理设施</w:t>
                  </w:r>
                  <w:r>
                    <w:rPr>
                      <w:rFonts w:hint="default"/>
                      <w:szCs w:val="22"/>
                      <w:lang w:val="en-US" w:eastAsia="zh-CN"/>
                    </w:rPr>
                    <w:t>处理后达标排放，采用</w:t>
                  </w:r>
                  <w:r>
                    <w:rPr>
                      <w:rFonts w:hint="default"/>
                      <w:szCs w:val="22"/>
                    </w:rPr>
                    <w:t>碘值不低于800毫克/克的活性炭</w:t>
                  </w:r>
                  <w:r>
                    <w:rPr>
                      <w:rFonts w:hint="default"/>
                      <w:szCs w:val="22"/>
                      <w:lang w:eastAsia="zh-CN"/>
                    </w:rPr>
                    <w:t>，</w:t>
                  </w:r>
                  <w:r>
                    <w:rPr>
                      <w:rFonts w:hint="default"/>
                      <w:szCs w:val="22"/>
                      <w:lang w:val="en-US" w:eastAsia="zh-CN"/>
                    </w:rPr>
                    <w:t>并定期更换。</w:t>
                  </w:r>
                </w:p>
              </w:tc>
              <w:tc>
                <w:tcPr>
                  <w:tcW w:w="268" w:type="pct"/>
                  <w:noWrap w:val="0"/>
                  <w:vAlign w:val="center"/>
                </w:tcPr>
                <w:p w14:paraId="3E375F0B">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default"/>
                      <w:szCs w:val="22"/>
                      <w:lang w:val="en-US" w:eastAsia="zh-CN"/>
                    </w:rPr>
                    <w:t>符合</w:t>
                  </w:r>
                </w:p>
              </w:tc>
            </w:tr>
            <w:tr w14:paraId="286211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108" w:type="pct"/>
                  <w:noWrap w:val="0"/>
                  <w:vAlign w:val="center"/>
                </w:tcPr>
                <w:p w14:paraId="093CC20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《2021年福州市提升空气质量行动计划》的通知</w:t>
                  </w:r>
                </w:p>
              </w:tc>
              <w:tc>
                <w:tcPr>
                  <w:tcW w:w="2143" w:type="pct"/>
                  <w:noWrap w:val="0"/>
                  <w:vAlign w:val="top"/>
                </w:tcPr>
                <w:p w14:paraId="4B475FF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严格涉VOCs建设项目环境影响评价审批，新、改、扩建涉VOCs排放项目，应使用低（无）VOCs涂料、粘胶剂等，实施新建项目VOCs排放区域内倍量替代。VOCs年排放量大于10吨的新建项目投运前应安装VOCs在线监控设备，并接入市生态云平台。</w:t>
                  </w:r>
                </w:p>
              </w:tc>
              <w:tc>
                <w:tcPr>
                  <w:tcW w:w="1479" w:type="pct"/>
                  <w:noWrap w:val="0"/>
                  <w:vAlign w:val="center"/>
                </w:tcPr>
                <w:p w14:paraId="08A1F0F8">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eastAsia="zh-CN"/>
                    </w:rPr>
                    <w:t>本项目使用低VOCs含量的原辅材料，</w:t>
                  </w:r>
                  <w:r>
                    <w:rPr>
                      <w:rFonts w:hint="eastAsia"/>
                      <w:szCs w:val="22"/>
                    </w:rPr>
                    <w:t>VOCs年排放量</w:t>
                  </w:r>
                  <w:r>
                    <w:rPr>
                      <w:rFonts w:hint="eastAsia"/>
                      <w:szCs w:val="22"/>
                      <w:lang w:eastAsia="zh-CN"/>
                    </w:rPr>
                    <w:t>小于</w:t>
                  </w:r>
                  <w:r>
                    <w:rPr>
                      <w:rFonts w:hint="eastAsia"/>
                      <w:szCs w:val="22"/>
                    </w:rPr>
                    <w:t>10吨</w:t>
                  </w:r>
                  <w:r>
                    <w:rPr>
                      <w:rFonts w:hint="eastAsia"/>
                      <w:szCs w:val="22"/>
                      <w:lang w:eastAsia="zh-CN"/>
                    </w:rPr>
                    <w:t>，无需安装</w:t>
                  </w:r>
                  <w:r>
                    <w:rPr>
                      <w:rFonts w:hint="eastAsia"/>
                      <w:szCs w:val="22"/>
                    </w:rPr>
                    <w:t>VOCs在线监控设备</w:t>
                  </w:r>
                  <w:r>
                    <w:rPr>
                      <w:rFonts w:hint="eastAsia"/>
                      <w:szCs w:val="22"/>
                      <w:lang w:eastAsia="zh-CN"/>
                    </w:rPr>
                    <w:t>。</w:t>
                  </w:r>
                </w:p>
              </w:tc>
              <w:tc>
                <w:tcPr>
                  <w:tcW w:w="268" w:type="pct"/>
                  <w:noWrap w:val="0"/>
                  <w:vAlign w:val="center"/>
                </w:tcPr>
                <w:p w14:paraId="63737F74">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eastAsia="zh-CN"/>
                    </w:rPr>
                    <w:t>符合</w:t>
                  </w:r>
                </w:p>
              </w:tc>
            </w:tr>
            <w:tr w14:paraId="2F3118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108" w:type="pct"/>
                  <w:noWrap w:val="0"/>
                  <w:vAlign w:val="center"/>
                </w:tcPr>
                <w:p w14:paraId="1A4C1266">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rPr>
                    <w:t>《福州市生态环境保护委员会办公室关于印发2022年度福州市蓝天碧海净土保卫战行动计划通知》</w:t>
                  </w:r>
                  <w:r>
                    <w:rPr>
                      <w:rFonts w:hint="eastAsia"/>
                      <w:szCs w:val="22"/>
                      <w:lang w:eastAsia="zh-CN"/>
                    </w:rPr>
                    <w:t>（</w:t>
                  </w:r>
                  <w:r>
                    <w:rPr>
                      <w:rFonts w:hint="eastAsia"/>
                      <w:szCs w:val="22"/>
                    </w:rPr>
                    <w:t>榕环委办[2022]49号</w:t>
                  </w:r>
                  <w:r>
                    <w:rPr>
                      <w:rFonts w:hint="eastAsia"/>
                      <w:szCs w:val="22"/>
                      <w:lang w:eastAsia="zh-CN"/>
                    </w:rPr>
                    <w:t>）</w:t>
                  </w:r>
                </w:p>
              </w:tc>
              <w:tc>
                <w:tcPr>
                  <w:tcW w:w="2143" w:type="pct"/>
                  <w:noWrap w:val="0"/>
                  <w:vAlign w:val="center"/>
                </w:tcPr>
                <w:p w14:paraId="5A4C0EA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四是严格涉VOCs建设项目环境影响评价审批。新、改、扩建涉VOCs排放项目，应使用低</w:t>
                  </w:r>
                  <w:r>
                    <w:rPr>
                      <w:rFonts w:hint="eastAsia"/>
                      <w:szCs w:val="22"/>
                      <w:lang w:eastAsia="zh-CN"/>
                    </w:rPr>
                    <w:t>（</w:t>
                  </w:r>
                  <w:r>
                    <w:rPr>
                      <w:rFonts w:hint="eastAsia"/>
                      <w:szCs w:val="22"/>
                    </w:rPr>
                    <w:t>无</w:t>
                  </w:r>
                  <w:r>
                    <w:rPr>
                      <w:rFonts w:hint="eastAsia"/>
                      <w:szCs w:val="22"/>
                      <w:lang w:eastAsia="zh-CN"/>
                    </w:rPr>
                    <w:t>）</w:t>
                  </w:r>
                  <w:r>
                    <w:rPr>
                      <w:rFonts w:hint="eastAsia"/>
                      <w:szCs w:val="22"/>
                    </w:rPr>
                    <w:t>VOCs涂料、粘胶剂等，实施新建项目VOCs排放区域内1.2及以上倍量替代。VOCs年排放量大于5吨的新建项目投运前应安装VOCs在线监控设备，并接入市生态云平台。</w:t>
                  </w:r>
                </w:p>
              </w:tc>
              <w:tc>
                <w:tcPr>
                  <w:tcW w:w="1479" w:type="pct"/>
                  <w:noWrap w:val="0"/>
                  <w:vAlign w:val="center"/>
                </w:tcPr>
                <w:p w14:paraId="20DF88BF">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rPr>
                    <w:t>项目</w:t>
                  </w:r>
                  <w:r>
                    <w:rPr>
                      <w:rFonts w:hint="eastAsia"/>
                      <w:szCs w:val="22"/>
                      <w:lang w:eastAsia="zh-CN"/>
                    </w:rPr>
                    <w:t>使用低VOCs含量的原辅材料</w:t>
                  </w:r>
                  <w:r>
                    <w:rPr>
                      <w:rFonts w:hint="eastAsia"/>
                      <w:szCs w:val="22"/>
                    </w:rPr>
                    <w:t>；项目VOCs排放拟实行区域内倍量替代，项目VOCs年排放量远小于5吨，不需安装VOCs在线监控设备。</w:t>
                  </w:r>
                </w:p>
              </w:tc>
              <w:tc>
                <w:tcPr>
                  <w:tcW w:w="268" w:type="pct"/>
                  <w:noWrap w:val="0"/>
                  <w:vAlign w:val="center"/>
                </w:tcPr>
                <w:p w14:paraId="3695A110">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rPr>
                    <w:t>符合</w:t>
                  </w:r>
                </w:p>
              </w:tc>
            </w:tr>
            <w:tr w14:paraId="10A597E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1108" w:type="pct"/>
                  <w:noWrap w:val="0"/>
                  <w:vAlign w:val="center"/>
                </w:tcPr>
                <w:p w14:paraId="4C5FD8B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福州市挥发性有机物污染整治工作方案</w:t>
                  </w:r>
                </w:p>
              </w:tc>
              <w:tc>
                <w:tcPr>
                  <w:tcW w:w="2143" w:type="pct"/>
                  <w:noWrap w:val="0"/>
                  <w:vAlign w:val="top"/>
                </w:tcPr>
                <w:p w14:paraId="0963082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（二）严格VOCs项目环境准入</w:t>
                  </w:r>
                  <w:r>
                    <w:rPr>
                      <w:rFonts w:hint="eastAsia"/>
                      <w:szCs w:val="22"/>
                      <w:lang w:eastAsia="zh-CN"/>
                    </w:rPr>
                    <w:t>，</w:t>
                  </w:r>
                  <w:r>
                    <w:rPr>
                      <w:rFonts w:hint="eastAsia"/>
                      <w:szCs w:val="22"/>
                    </w:rPr>
                    <w:t>提高行业准入门槛，鼓励支持企业通过技改减少挥发性有机物排放，严格控制新增污染物排放量，对挥发性有机物新增排放量实行现役源2倍削减量替代。</w:t>
                  </w:r>
                </w:p>
              </w:tc>
              <w:tc>
                <w:tcPr>
                  <w:tcW w:w="1479" w:type="pct"/>
                  <w:noWrap w:val="0"/>
                  <w:vAlign w:val="top"/>
                </w:tcPr>
                <w:p w14:paraId="427DC7E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项目烘干废气及加烤废气各自经密闭管道集气收集，然后与经水帘柜净化后的喷漆废气一起并入</w:t>
                  </w:r>
                  <w:r>
                    <w:rPr>
                      <w:rFonts w:hint="eastAsia"/>
                      <w:szCs w:val="22"/>
                      <w:lang w:eastAsia="zh-CN"/>
                    </w:rPr>
                    <w:t>“</w:t>
                  </w:r>
                  <w:r>
                    <w:rPr>
                      <w:rFonts w:hint="eastAsia"/>
                      <w:szCs w:val="22"/>
                    </w:rPr>
                    <w:t>过滤棉+活性炭吸附装置</w:t>
                  </w:r>
                  <w:r>
                    <w:rPr>
                      <w:rFonts w:hint="eastAsia"/>
                      <w:szCs w:val="22"/>
                      <w:lang w:eastAsia="zh-CN"/>
                    </w:rPr>
                    <w:t>”</w:t>
                  </w:r>
                  <w:r>
                    <w:rPr>
                      <w:rFonts w:hint="eastAsia"/>
                      <w:szCs w:val="22"/>
                    </w:rPr>
                    <w:t>处理达标后</w:t>
                  </w:r>
                  <w:r>
                    <w:rPr>
                      <w:rFonts w:hint="eastAsia"/>
                      <w:szCs w:val="22"/>
                      <w:lang w:val="en-US" w:eastAsia="zh-CN"/>
                    </w:rPr>
                    <w:t>排放</w:t>
                  </w:r>
                  <w:r>
                    <w:rPr>
                      <w:rFonts w:hint="eastAsia"/>
                      <w:szCs w:val="22"/>
                      <w:lang w:eastAsia="zh-CN"/>
                    </w:rPr>
                    <w:t>，</w:t>
                  </w:r>
                  <w:r>
                    <w:rPr>
                      <w:rFonts w:hint="eastAsia"/>
                      <w:szCs w:val="22"/>
                      <w:lang w:val="en-US" w:eastAsia="zh-CN"/>
                    </w:rPr>
                    <w:t>通过上述措施可有效减少污染排放。</w:t>
                  </w:r>
                  <w:r>
                    <w:rPr>
                      <w:rFonts w:hint="eastAsia"/>
                      <w:szCs w:val="22"/>
                    </w:rPr>
                    <w:t>建设单位将严格按照文件规定要求对VOCS排放实行倍量替代。</w:t>
                  </w:r>
                </w:p>
              </w:tc>
              <w:tc>
                <w:tcPr>
                  <w:tcW w:w="268" w:type="pct"/>
                  <w:noWrap w:val="0"/>
                  <w:vAlign w:val="center"/>
                </w:tcPr>
                <w:p w14:paraId="06CD9DE7">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eastAsia="zh-CN"/>
                    </w:rPr>
                    <w:t>符合</w:t>
                  </w:r>
                </w:p>
              </w:tc>
            </w:tr>
          </w:tbl>
          <w:p w14:paraId="0A9D74CB">
            <w:pPr>
              <w:keepNext w:val="0"/>
              <w:keepLines w:val="0"/>
              <w:suppressLineNumbers w:val="0"/>
              <w:bidi w:val="0"/>
              <w:spacing w:before="0" w:beforeAutospacing="0" w:after="0" w:afterAutospacing="0"/>
              <w:ind w:left="0" w:right="0"/>
              <w:rPr>
                <w:rFonts w:hint="eastAsia"/>
              </w:rPr>
            </w:pPr>
            <w:r>
              <w:rPr>
                <w:rFonts w:hint="eastAsia"/>
              </w:rPr>
              <w:t>本项目属于C2929塑料零件及其他塑料制品制造以及C3360金属表面处理及热处理加工</w:t>
            </w:r>
            <w:r>
              <w:rPr>
                <w:rFonts w:hint="eastAsia"/>
                <w:lang w:eastAsia="zh-CN"/>
              </w:rPr>
              <w:t>，</w:t>
            </w:r>
            <w:r>
              <w:rPr>
                <w:rFonts w:hint="eastAsia"/>
              </w:rPr>
              <w:t>原辅材料均不涉及高VOCs含量的物料，项目通过采取有效的治理措施后，挥发性有机物可以得到有效的控制，符合挥发性有机物污染防治相关政策的要求。</w:t>
            </w:r>
          </w:p>
          <w:p w14:paraId="56E47C02">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根据关于印发《重点行业挥发性有机物综合治理方案》的通知（环大气〔2019〕53号），项目符合性见表1.1-7。</w:t>
            </w:r>
          </w:p>
          <w:p w14:paraId="71BD0771">
            <w:pPr>
              <w:pStyle w:val="39"/>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rPr>
            </w:pPr>
            <w:r>
              <w:rPr>
                <w:rFonts w:hint="default"/>
              </w:rPr>
              <w:t>表1.1-</w:t>
            </w:r>
            <w:r>
              <w:rPr>
                <w:rFonts w:hint="eastAsia"/>
                <w:lang w:val="en-US" w:eastAsia="zh-CN"/>
              </w:rPr>
              <w:t>7</w:t>
            </w:r>
            <w:r>
              <w:rPr>
                <w:rFonts w:hint="default"/>
              </w:rPr>
              <w:t xml:space="preserve"> 与《重点行业挥发性有机物综合治理方案》符合性分析</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335"/>
              <w:gridCol w:w="4119"/>
              <w:gridCol w:w="1992"/>
              <w:gridCol w:w="674"/>
            </w:tblGrid>
            <w:tr w14:paraId="1EFA54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236" w:type="pct"/>
                  <w:noWrap w:val="0"/>
                  <w:vAlign w:val="center"/>
                </w:tcPr>
                <w:p w14:paraId="52FFFB3C">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序号</w:t>
                  </w:r>
                </w:p>
              </w:tc>
              <w:tc>
                <w:tcPr>
                  <w:tcW w:w="2891" w:type="pct"/>
                  <w:noWrap w:val="0"/>
                  <w:vAlign w:val="center"/>
                </w:tcPr>
                <w:p w14:paraId="5312C56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相关内容</w:t>
                  </w:r>
                </w:p>
              </w:tc>
              <w:tc>
                <w:tcPr>
                  <w:tcW w:w="1398" w:type="pct"/>
                  <w:noWrap w:val="0"/>
                  <w:vAlign w:val="center"/>
                </w:tcPr>
                <w:p w14:paraId="36259313">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eastAsia="zh-CN"/>
                    </w:rPr>
                    <w:t>本项目内容</w:t>
                  </w:r>
                </w:p>
              </w:tc>
              <w:tc>
                <w:tcPr>
                  <w:tcW w:w="473" w:type="pct"/>
                  <w:noWrap w:val="0"/>
                  <w:vAlign w:val="center"/>
                </w:tcPr>
                <w:p w14:paraId="0E1B5C7C">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eastAsia="zh-CN"/>
                    </w:rPr>
                    <w:t>符合性</w:t>
                  </w:r>
                </w:p>
              </w:tc>
            </w:tr>
            <w:tr w14:paraId="30EE03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236" w:type="pct"/>
                  <w:noWrap w:val="0"/>
                  <w:vAlign w:val="center"/>
                </w:tcPr>
                <w:p w14:paraId="3322880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w:t>
                  </w:r>
                </w:p>
              </w:tc>
              <w:tc>
                <w:tcPr>
                  <w:tcW w:w="2891" w:type="pct"/>
                  <w:noWrap w:val="0"/>
                  <w:vAlign w:val="top"/>
                </w:tcPr>
                <w:p w14:paraId="07FDCCC3">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eastAsia="zh-CN"/>
                    </w:rPr>
                    <w:t>（一）大力推进源头替代。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工业涂装、包装印刷等行业要加大源头替代力度；化工行业要推广使用低（无）VOCs含量、低反应活性的原辅材料，加快对芳香烃、含卤素有机化合物的绿色替代。企业应大力推广使用低VOCs含量木器涂料、车辆涂料、机械设备涂料、集装箱涂料以及建筑物和构筑物防护涂料等，在技术成熟的行业，推广使用低VOCs含量油墨和胶粘剂，重点区域到2020年年底前基本完成。鼓励加快低VOCs含量涂料、油墨、胶粘剂等研发和生产。</w:t>
                  </w:r>
                </w:p>
              </w:tc>
              <w:tc>
                <w:tcPr>
                  <w:tcW w:w="1398" w:type="pct"/>
                  <w:noWrap w:val="0"/>
                  <w:vAlign w:val="center"/>
                </w:tcPr>
                <w:p w14:paraId="5F6F014B">
                  <w:pPr>
                    <w:pStyle w:val="38"/>
                    <w:keepNext w:val="0"/>
                    <w:keepLines w:val="0"/>
                    <w:widowControl/>
                    <w:suppressLineNumbers w:val="0"/>
                    <w:bidi w:val="0"/>
                    <w:spacing w:before="0" w:beforeAutospacing="0" w:after="0" w:afterAutospacing="0"/>
                    <w:ind w:left="0" w:right="0"/>
                    <w:rPr>
                      <w:rFonts w:hint="default"/>
                      <w:szCs w:val="22"/>
                      <w:lang w:val="en-US"/>
                    </w:rPr>
                  </w:pPr>
                  <w:r>
                    <w:rPr>
                      <w:rFonts w:hint="eastAsia"/>
                      <w:szCs w:val="22"/>
                    </w:rPr>
                    <w:t>项目</w:t>
                  </w:r>
                  <w:r>
                    <w:rPr>
                      <w:rFonts w:hint="eastAsia"/>
                      <w:szCs w:val="22"/>
                      <w:lang w:eastAsia="zh-CN"/>
                    </w:rPr>
                    <w:t>使用低VOCs含量的原辅材料，从源头减少VOCs产生，</w:t>
                  </w:r>
                  <w:r>
                    <w:rPr>
                      <w:rFonts w:hint="eastAsia"/>
                      <w:szCs w:val="22"/>
                      <w:lang w:val="en-US" w:eastAsia="zh-CN"/>
                    </w:rPr>
                    <w:t>符合要求</w:t>
                  </w:r>
                </w:p>
              </w:tc>
              <w:tc>
                <w:tcPr>
                  <w:tcW w:w="473" w:type="pct"/>
                  <w:noWrap w:val="0"/>
                  <w:vAlign w:val="center"/>
                </w:tcPr>
                <w:p w14:paraId="20E32FC2">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eastAsia="zh-CN"/>
                    </w:rPr>
                    <w:t>符合</w:t>
                  </w:r>
                </w:p>
              </w:tc>
            </w:tr>
            <w:tr w14:paraId="31ED62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236" w:type="pct"/>
                  <w:noWrap w:val="0"/>
                  <w:vAlign w:val="center"/>
                </w:tcPr>
                <w:p w14:paraId="1DD67DEE">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2</w:t>
                  </w:r>
                </w:p>
              </w:tc>
              <w:tc>
                <w:tcPr>
                  <w:tcW w:w="2891" w:type="pct"/>
                  <w:noWrap w:val="0"/>
                  <w:vAlign w:val="top"/>
                </w:tcPr>
                <w:p w14:paraId="41CCDCE4">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eastAsia="zh-CN"/>
                    </w:rPr>
                    <w:t>全面加强无组织排放控制。　加强设备与场所密闭管理。含VOCs物料应储存于密闭容器、包装袋，高效密封储罐，封闭式储库、料仓等。含VOCs物料转移和输送，应采用密闭管道或密闭容器、罐车等。高VOCs含量废水（废水液面上方100毫米处VOCs检测浓度超过200ppm，其中，重点区域超过100ppm，以碳计）的集输、储存和处理过程，应加盖密闭。含VOCs物料生产和使用过程，应采取有效收集措施或在密闭空间中操作。</w:t>
                  </w:r>
                </w:p>
              </w:tc>
              <w:tc>
                <w:tcPr>
                  <w:tcW w:w="1398" w:type="pct"/>
                  <w:noWrap w:val="0"/>
                  <w:vAlign w:val="center"/>
                </w:tcPr>
                <w:p w14:paraId="678C0B93">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本项目含VOCs物料应储存于密闭容器内，采用密闭容器运输。不涉及高VOCs含量废气。</w:t>
                  </w:r>
                  <w:r>
                    <w:rPr>
                      <w:rFonts w:hint="eastAsia"/>
                      <w:szCs w:val="22"/>
                      <w:lang w:eastAsia="zh-CN"/>
                    </w:rPr>
                    <w:t>含VOCs物料在密闭空间中操作使用。</w:t>
                  </w:r>
                  <w:r>
                    <w:rPr>
                      <w:rFonts w:hint="eastAsia"/>
                      <w:szCs w:val="22"/>
                      <w:lang w:val="en-US" w:eastAsia="zh-CN"/>
                    </w:rPr>
                    <w:t>符合要求</w:t>
                  </w:r>
                </w:p>
              </w:tc>
              <w:tc>
                <w:tcPr>
                  <w:tcW w:w="473" w:type="pct"/>
                  <w:noWrap w:val="0"/>
                  <w:vAlign w:val="center"/>
                </w:tcPr>
                <w:p w14:paraId="3F741AF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符合</w:t>
                  </w:r>
                </w:p>
              </w:tc>
            </w:tr>
            <w:tr w14:paraId="15D481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236" w:type="pct"/>
                  <w:noWrap w:val="0"/>
                  <w:vAlign w:val="center"/>
                </w:tcPr>
                <w:p w14:paraId="3506E096">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3</w:t>
                  </w:r>
                </w:p>
              </w:tc>
              <w:tc>
                <w:tcPr>
                  <w:tcW w:w="2891" w:type="pct"/>
                  <w:noWrap w:val="0"/>
                  <w:vAlign w:val="top"/>
                </w:tcPr>
                <w:p w14:paraId="7AA30D4F">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eastAsia="zh-CN"/>
                    </w:rPr>
                    <w:t>（三）推进建设适宜高效的治污设施。企业新建治污设施或对现有治污设施实施改造，应依据排放废气的浓度、组分、风量，温度、湿度、压力，以及生产工况等，合理选择治理技术。鼓励企业采用多种技术的组合工艺，提高VOCs治理效率。低浓度、大风量废气，宜采用沸石转轮吸附、活性炭吸附、减风增浓等浓缩技术，提高VOCs浓度后净化处理；高浓度废气，优先进行溶剂回收，难以回收的，宜采用高温焚烧、催化燃烧等技术。油气（溶剂）回收宜采用冷凝+吸附、吸附+吸收、膜分离+吸附等技术。低温等离子、光催化、光氧化技术主要适用于恶臭异味等治理；生物法主要适用于低浓度VOCs废气治理和恶臭异味治理。非水溶性的VOCs废气禁止采用水或水溶液喷淋吸收处理。采用一次性活性炭吸附技术的，应定期更换活性炭，废旧活性炭应再生或处理处置。有条件的工业园区和产业集群等，推广集中喷涂、溶剂集中回收、活性炭集中再生等，加强资源共享，提高VOCs治理效率。</w:t>
                  </w:r>
                </w:p>
              </w:tc>
              <w:tc>
                <w:tcPr>
                  <w:tcW w:w="1398" w:type="pct"/>
                  <w:noWrap w:val="0"/>
                  <w:vAlign w:val="center"/>
                </w:tcPr>
                <w:p w14:paraId="6C4051E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项目烘干废气及加烤废气各自经密闭管道集气收集，然后与经水帘柜净化后的喷漆废气一起并入</w:t>
                  </w:r>
                  <w:r>
                    <w:rPr>
                      <w:rFonts w:hint="eastAsia"/>
                      <w:szCs w:val="22"/>
                      <w:lang w:eastAsia="zh-CN"/>
                    </w:rPr>
                    <w:t>“</w:t>
                  </w:r>
                  <w:r>
                    <w:rPr>
                      <w:rFonts w:hint="eastAsia"/>
                      <w:szCs w:val="22"/>
                    </w:rPr>
                    <w:t>过滤棉+活性炭吸附装置</w:t>
                  </w:r>
                  <w:r>
                    <w:rPr>
                      <w:rFonts w:hint="eastAsia"/>
                      <w:szCs w:val="22"/>
                      <w:lang w:eastAsia="zh-CN"/>
                    </w:rPr>
                    <w:t>”</w:t>
                  </w:r>
                  <w:r>
                    <w:rPr>
                      <w:rFonts w:hint="eastAsia"/>
                      <w:szCs w:val="22"/>
                    </w:rPr>
                    <w:t>处理达标后</w:t>
                  </w:r>
                  <w:r>
                    <w:rPr>
                      <w:rFonts w:hint="eastAsia"/>
                      <w:szCs w:val="22"/>
                      <w:lang w:val="en-US" w:eastAsia="zh-CN"/>
                    </w:rPr>
                    <w:t>排放</w:t>
                  </w:r>
                  <w:r>
                    <w:rPr>
                      <w:rFonts w:hint="eastAsia"/>
                      <w:szCs w:val="22"/>
                      <w:lang w:eastAsia="zh-CN"/>
                    </w:rPr>
                    <w:t>，</w:t>
                  </w:r>
                  <w:r>
                    <w:rPr>
                      <w:rFonts w:hint="eastAsia"/>
                      <w:szCs w:val="22"/>
                      <w:lang w:val="en-US" w:eastAsia="zh-CN"/>
                    </w:rPr>
                    <w:t>定期更换活性炭，通过上述措施可有效减少污染排放。</w:t>
                  </w:r>
                </w:p>
              </w:tc>
              <w:tc>
                <w:tcPr>
                  <w:tcW w:w="473" w:type="pct"/>
                  <w:noWrap w:val="0"/>
                  <w:vAlign w:val="center"/>
                </w:tcPr>
                <w:p w14:paraId="4045692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符合</w:t>
                  </w:r>
                </w:p>
              </w:tc>
            </w:tr>
          </w:tbl>
          <w:p w14:paraId="5619F62C">
            <w:pPr>
              <w:keepNext w:val="0"/>
              <w:keepLines w:val="0"/>
              <w:suppressLineNumbers w:val="0"/>
              <w:bidi w:val="0"/>
              <w:spacing w:before="0" w:beforeAutospacing="0" w:after="0" w:afterAutospacing="0"/>
              <w:ind w:left="0" w:leftChars="0" w:right="0" w:firstLine="0" w:firstLineChars="0"/>
              <w:rPr>
                <w:rFonts w:hint="eastAsia"/>
              </w:rPr>
            </w:pPr>
          </w:p>
        </w:tc>
      </w:tr>
    </w:tbl>
    <w:p w14:paraId="3D6B8E57">
      <w:pPr>
        <w:spacing w:line="360" w:lineRule="auto"/>
        <w:outlineLvl w:val="9"/>
        <w:rPr>
          <w:rFonts w:eastAsia="黑体"/>
          <w:color w:val="auto"/>
          <w:sz w:val="30"/>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61F7C7B3">
      <w:pPr>
        <w:pStyle w:val="2"/>
        <w:tabs>
          <w:tab w:val="left" w:pos="420"/>
          <w:tab w:val="clear" w:pos="715"/>
        </w:tabs>
        <w:bidi w:val="0"/>
      </w:pPr>
      <w:bookmarkStart w:id="14" w:name="_Toc20283"/>
      <w:bookmarkStart w:id="15" w:name="_Toc25463"/>
      <w:r>
        <w:t>建设项目工程分析</w:t>
      </w:r>
      <w:bookmarkEnd w:id="14"/>
      <w:bookmarkEnd w:id="15"/>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45"/>
        <w:gridCol w:w="8615"/>
      </w:tblGrid>
      <w:tr w14:paraId="04C346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7" w:hRule="atLeast"/>
          <w:jc w:val="center"/>
        </w:trPr>
        <w:tc>
          <w:tcPr>
            <w:tcW w:w="823" w:type="dxa"/>
            <w:noWrap w:val="0"/>
            <w:vAlign w:val="center"/>
          </w:tcPr>
          <w:p w14:paraId="08A0A080">
            <w:pPr>
              <w:pStyle w:val="40"/>
              <w:keepNext w:val="0"/>
              <w:keepLines w:val="0"/>
              <w:suppressLineNumbers w:val="0"/>
              <w:bidi w:val="0"/>
              <w:spacing w:before="0" w:beforeAutospacing="0" w:after="0" w:afterAutospacing="0"/>
              <w:ind w:left="0" w:right="0"/>
              <w:rPr>
                <w:rFonts w:hint="eastAsia"/>
              </w:rPr>
            </w:pPr>
            <w:r>
              <w:rPr>
                <w:rFonts w:hint="eastAsia"/>
              </w:rPr>
              <w:t>建设内容</w:t>
            </w:r>
          </w:p>
        </w:tc>
        <w:tc>
          <w:tcPr>
            <w:tcW w:w="8161" w:type="dxa"/>
            <w:noWrap w:val="0"/>
            <w:vAlign w:val="top"/>
          </w:tcPr>
          <w:p w14:paraId="576C021E">
            <w:pPr>
              <w:pStyle w:val="3"/>
              <w:keepNext w:val="0"/>
              <w:keepLines w:val="0"/>
              <w:suppressLineNumbers w:val="0"/>
              <w:bidi w:val="0"/>
              <w:spacing w:before="0" w:beforeAutospacing="0" w:after="0" w:afterAutospacing="0"/>
              <w:ind w:left="0" w:right="0"/>
              <w:rPr>
                <w:rFonts w:hint="eastAsia"/>
              </w:rPr>
            </w:pPr>
            <w:r>
              <w:rPr>
                <w:rFonts w:hint="eastAsia"/>
              </w:rPr>
              <w:t>项目由来</w:t>
            </w:r>
          </w:p>
          <w:p w14:paraId="551E5031">
            <w:pPr>
              <w:keepNext w:val="0"/>
              <w:keepLines w:val="0"/>
              <w:suppressLineNumbers w:val="0"/>
              <w:bidi w:val="0"/>
              <w:spacing w:before="0" w:beforeAutospacing="0" w:after="0" w:afterAutospacing="0"/>
              <w:ind w:left="0" w:right="0"/>
              <w:rPr>
                <w:rFonts w:hint="default"/>
                <w:lang w:val="en-US" w:eastAsia="zh-CN"/>
              </w:rPr>
            </w:pPr>
            <w:r>
              <w:rPr>
                <w:rFonts w:hint="eastAsia"/>
                <w:lang w:eastAsia="zh-CN"/>
              </w:rPr>
              <w:t>福清市三合电子科技有限公司</w:t>
            </w:r>
            <w:r>
              <w:rPr>
                <w:rFonts w:hint="eastAsia"/>
                <w:lang w:val="en-US" w:eastAsia="zh-CN"/>
              </w:rPr>
              <w:t>成立于2023年6月21日，经营范围主要包括软件开发、电子专业材料研发、电力电子元器件制造、塑料制品制造、金属表面处理及热处理加工及喷涂加工等（营业执照见</w:t>
            </w:r>
            <w:r>
              <w:rPr>
                <w:rFonts w:hint="eastAsia"/>
                <w:lang w:val="en-US" w:eastAsia="zh-CN"/>
              </w:rPr>
              <w:fldChar w:fldCharType="begin"/>
            </w:r>
            <w:r>
              <w:rPr>
                <w:rFonts w:hint="eastAsia"/>
                <w:lang w:val="en-US" w:eastAsia="zh-CN"/>
              </w:rPr>
              <w:instrText xml:space="preserve"> REF _Ref22130 \h </w:instrText>
            </w:r>
            <w:r>
              <w:rPr>
                <w:rFonts w:hint="eastAsia"/>
                <w:lang w:val="en-US" w:eastAsia="zh-CN"/>
              </w:rPr>
              <w:fldChar w:fldCharType="separate"/>
            </w:r>
            <w:r>
              <w:rPr>
                <w:rFonts w:hint="eastAsia"/>
              </w:rPr>
              <w:t>附件 2</w:t>
            </w:r>
            <w:r>
              <w:rPr>
                <w:rFonts w:hint="eastAsia"/>
                <w:lang w:val="en-US" w:eastAsia="zh-CN"/>
              </w:rPr>
              <w:fldChar w:fldCharType="end"/>
            </w:r>
            <w:r>
              <w:rPr>
                <w:rFonts w:hint="eastAsia"/>
                <w:lang w:val="en-US" w:eastAsia="zh-CN"/>
              </w:rPr>
              <w:t>）。原址位于福建省福州市福清融侨经济技术开发区（租赁东光精密钟表（福清）有限公司5号厂房2层），2023年7月委托福州朴诚至信环保科技有限公司编写了《</w:t>
            </w:r>
            <w:r>
              <w:rPr>
                <w:rFonts w:hint="eastAsia"/>
                <w:lang w:eastAsia="zh-CN"/>
              </w:rPr>
              <w:t>福清市三合电子科技有限公司年加工铝合金20万套、塑胶件5万套、板金件5万套项目</w:t>
            </w:r>
            <w:r>
              <w:rPr>
                <w:rFonts w:hint="eastAsia"/>
                <w:lang w:val="en-US" w:eastAsia="zh-CN"/>
              </w:rPr>
              <w:t>环境影响评价报告表》，2023年9月1日通过福清市生态环境局的审批（榕融环评〔2023〕80号），于2023年11月通过验收。</w:t>
            </w:r>
          </w:p>
          <w:p w14:paraId="0D68F43E">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现由于原厂址场地面积的限制，已无法满足生产需要，计划另行选址搬迁，并将原来的生产线全部搬迁至新厂址，同时重新调整产品方案。待本项目建成投产以后，位于福建省福州市福清融侨经济技术开发区（租赁东光精密钟表（福清）有限公司5号厂房2层）的现有项目停止生产。新厂址位于福建省福州市福清融侨经济技术开发区内（</w:t>
            </w:r>
            <w:r>
              <w:rPr>
                <w:rFonts w:hint="eastAsia"/>
                <w:lang w:eastAsia="zh-CN"/>
              </w:rPr>
              <w:t>福建省福州市福清市阳下街道玉岭村147号车间2三楼</w:t>
            </w:r>
            <w:r>
              <w:rPr>
                <w:rFonts w:hint="eastAsia"/>
                <w:lang w:val="en-US" w:eastAsia="zh-CN"/>
              </w:rPr>
              <w:t>）</w:t>
            </w:r>
            <w:r>
              <w:rPr>
                <w:rFonts w:hint="eastAsia"/>
                <w:lang w:eastAsia="zh-CN"/>
              </w:rPr>
              <w:t>，</w:t>
            </w:r>
            <w:r>
              <w:rPr>
                <w:rFonts w:hint="eastAsia"/>
                <w:lang w:val="en-US" w:eastAsia="zh-CN"/>
              </w:rPr>
              <w:t>系租赁福清洪添科技有限公司厂房作为经营场所，租赁厂房面积2212.46m</w:t>
            </w:r>
            <w:r>
              <w:rPr>
                <w:rFonts w:hint="eastAsia"/>
                <w:vertAlign w:val="superscript"/>
                <w:lang w:val="en-US" w:eastAsia="zh-CN"/>
              </w:rPr>
              <w:t>2</w:t>
            </w:r>
            <w:r>
              <w:rPr>
                <w:rFonts w:hint="eastAsia"/>
                <w:lang w:val="en-US" w:eastAsia="zh-CN"/>
              </w:rPr>
              <w:t>，</w:t>
            </w:r>
            <w:r>
              <w:rPr>
                <w:rFonts w:hint="eastAsia"/>
                <w:lang w:eastAsia="zh-CN"/>
              </w:rPr>
              <w:t>福清市三合电子科技有限公司</w:t>
            </w:r>
            <w:r>
              <w:rPr>
                <w:rFonts w:hint="eastAsia"/>
                <w:lang w:val="zh-CN"/>
              </w:rPr>
              <w:t>拟</w:t>
            </w:r>
            <w:r>
              <w:rPr>
                <w:rFonts w:hint="eastAsia"/>
              </w:rPr>
              <w:t>投资</w:t>
            </w:r>
            <w:r>
              <w:rPr>
                <w:rFonts w:hint="eastAsia"/>
                <w:lang w:val="en-US" w:eastAsia="zh-CN"/>
              </w:rPr>
              <w:t>120</w:t>
            </w:r>
            <w:r>
              <w:rPr>
                <w:rFonts w:hint="eastAsia"/>
              </w:rPr>
              <w:t>万元</w:t>
            </w:r>
            <w:r>
              <w:rPr>
                <w:rFonts w:hint="eastAsia"/>
                <w:lang w:val="en-US" w:eastAsia="zh-CN"/>
              </w:rPr>
              <w:t>主要从事</w:t>
            </w:r>
            <w:r>
              <w:rPr>
                <w:rFonts w:hint="eastAsia"/>
                <w:lang w:val="zh-CN"/>
              </w:rPr>
              <w:t>铝合金、塑胶件及钣金件加工生产</w:t>
            </w:r>
            <w:r>
              <w:rPr>
                <w:rFonts w:hint="eastAsia"/>
                <w:lang w:val="en-US" w:eastAsia="zh-CN"/>
              </w:rPr>
              <w:t>，现有生产规模</w:t>
            </w:r>
            <w:r>
              <w:rPr>
                <w:rFonts w:hint="eastAsia"/>
                <w:lang w:val="zh-CN"/>
              </w:rPr>
              <w:t>年加工铝合金20万套、塑胶件</w:t>
            </w:r>
            <w:r>
              <w:rPr>
                <w:rFonts w:hint="eastAsia"/>
                <w:lang w:val="en-US" w:eastAsia="zh-CN"/>
              </w:rPr>
              <w:t>5</w:t>
            </w:r>
            <w:r>
              <w:rPr>
                <w:rFonts w:hint="eastAsia"/>
                <w:lang w:val="zh-CN"/>
              </w:rPr>
              <w:t>万套、</w:t>
            </w:r>
            <w:r>
              <w:rPr>
                <w:rFonts w:hint="eastAsia"/>
                <w:lang w:val="en-US" w:eastAsia="zh-CN"/>
              </w:rPr>
              <w:t>钣</w:t>
            </w:r>
            <w:r>
              <w:rPr>
                <w:rFonts w:hint="eastAsia"/>
                <w:lang w:val="zh-CN"/>
              </w:rPr>
              <w:t>金件</w:t>
            </w:r>
            <w:r>
              <w:rPr>
                <w:rFonts w:hint="eastAsia"/>
                <w:lang w:val="en-US" w:eastAsia="zh-CN"/>
              </w:rPr>
              <w:t>5</w:t>
            </w:r>
            <w:r>
              <w:rPr>
                <w:rFonts w:hint="eastAsia"/>
                <w:lang w:val="zh-CN"/>
              </w:rPr>
              <w:t>万套</w:t>
            </w:r>
            <w:r>
              <w:rPr>
                <w:rFonts w:hint="eastAsia"/>
                <w:lang w:val="en-US" w:eastAsia="zh-CN"/>
              </w:rPr>
              <w:t>，新增</w:t>
            </w:r>
            <w:r>
              <w:rPr>
                <w:rFonts w:hint="eastAsia"/>
                <w:highlight w:val="none"/>
                <w:shd w:val="clear"/>
                <w:lang w:eastAsia="zh-CN"/>
              </w:rPr>
              <w:t>塑胶件25万套、钣金件5万套，</w:t>
            </w:r>
            <w:r>
              <w:rPr>
                <w:rFonts w:hint="eastAsia"/>
                <w:highlight w:val="none"/>
                <w:shd w:val="clear"/>
                <w:lang w:val="en-US" w:eastAsia="zh-CN"/>
              </w:rPr>
              <w:t>建成后全厂的总生产规模</w:t>
            </w:r>
            <w:r>
              <w:rPr>
                <w:rFonts w:hint="eastAsia"/>
                <w:lang w:val="zh-CN"/>
              </w:rPr>
              <w:t>年加工铝合金20万套、塑胶件</w:t>
            </w:r>
            <w:r>
              <w:rPr>
                <w:rFonts w:hint="eastAsia"/>
                <w:lang w:val="en-US" w:eastAsia="zh-CN"/>
              </w:rPr>
              <w:t>30</w:t>
            </w:r>
            <w:r>
              <w:rPr>
                <w:rFonts w:hint="eastAsia"/>
                <w:lang w:val="zh-CN"/>
              </w:rPr>
              <w:t>万套、</w:t>
            </w:r>
            <w:r>
              <w:rPr>
                <w:rFonts w:hint="eastAsia"/>
                <w:lang w:val="en-US" w:eastAsia="zh-CN"/>
              </w:rPr>
              <w:t>钣</w:t>
            </w:r>
            <w:r>
              <w:rPr>
                <w:rFonts w:hint="eastAsia"/>
                <w:lang w:val="zh-CN"/>
              </w:rPr>
              <w:t>金件</w:t>
            </w:r>
            <w:r>
              <w:rPr>
                <w:rFonts w:hint="eastAsia"/>
                <w:lang w:val="en-US" w:eastAsia="zh-CN"/>
              </w:rPr>
              <w:t>10</w:t>
            </w:r>
            <w:r>
              <w:rPr>
                <w:rFonts w:hint="eastAsia"/>
                <w:lang w:val="zh-CN"/>
              </w:rPr>
              <w:t>万套</w:t>
            </w:r>
            <w:r>
              <w:rPr>
                <w:rFonts w:hint="eastAsia"/>
                <w:lang w:val="en-US" w:eastAsia="zh-CN"/>
              </w:rPr>
              <w:t>。</w:t>
            </w:r>
          </w:p>
          <w:p w14:paraId="7573798C">
            <w:pPr>
              <w:keepNext w:val="0"/>
              <w:keepLines w:val="0"/>
              <w:suppressLineNumbers w:val="0"/>
              <w:bidi w:val="0"/>
              <w:spacing w:before="0" w:beforeAutospacing="0" w:after="0" w:afterAutospacing="0"/>
              <w:ind w:left="0" w:right="0"/>
              <w:rPr>
                <w:rFonts w:hint="default"/>
              </w:rPr>
            </w:pPr>
            <w:r>
              <w:rPr>
                <w:rFonts w:hint="default" w:ascii="Times New Roman" w:hAnsi="Times New Roman" w:eastAsia="宋体" w:cs="Times New Roman"/>
                <w:color w:val="auto"/>
                <w:sz w:val="24"/>
                <w:szCs w:val="24"/>
                <w:u w:val="none"/>
                <w:lang w:val="en-US" w:eastAsia="zh-CN"/>
              </w:rPr>
              <w:t>根据《中华人民共和国环境保护法》</w:t>
            </w:r>
            <w:r>
              <w:rPr>
                <w:rFonts w:hint="eastAsia"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2015年</w:t>
            </w:r>
            <w:r>
              <w:rPr>
                <w:rFonts w:hint="eastAsia"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、《中华人民共和国环境影响评价法》</w:t>
            </w:r>
            <w:r>
              <w:rPr>
                <w:rFonts w:hint="eastAsia"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2018年修正</w:t>
            </w:r>
            <w:r>
              <w:rPr>
                <w:rFonts w:hint="eastAsia"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、《建设项目环境保护管理条例》</w:t>
            </w:r>
            <w:r>
              <w:rPr>
                <w:rFonts w:hint="eastAsia"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2017年</w:t>
            </w:r>
            <w:r>
              <w:rPr>
                <w:rFonts w:hint="eastAsia"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的相关规定，项目需要办理环境影响评价手续；根据《建设项目环境影响评价分类管理名录》</w:t>
            </w:r>
            <w:r>
              <w:rPr>
                <w:rFonts w:hint="eastAsia"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2021年版</w:t>
            </w:r>
            <w:r>
              <w:rPr>
                <w:rFonts w:hint="eastAsia" w:cs="Times New Roman"/>
                <w:color w:val="auto"/>
                <w:sz w:val="24"/>
                <w:szCs w:val="24"/>
                <w:u w:val="none"/>
                <w:lang w:val="en-US" w:eastAsia="zh-CN"/>
              </w:rPr>
              <w:t>）</w:t>
            </w:r>
            <w:r>
              <w:rPr>
                <w:rFonts w:hint="default" w:ascii="Times New Roman" w:hAnsi="Times New Roman" w:eastAsia="宋体" w:cs="Times New Roman"/>
                <w:color w:val="auto"/>
                <w:sz w:val="24"/>
                <w:szCs w:val="24"/>
                <w:u w:val="none"/>
                <w:lang w:val="en-US" w:eastAsia="zh-CN"/>
              </w:rPr>
              <w:t>规定</w:t>
            </w:r>
            <w:r>
              <w:rPr>
                <w:rFonts w:hint="default"/>
                <w:lang w:eastAsia="zh-CN"/>
              </w:rPr>
              <w:t>，</w:t>
            </w:r>
            <w:r>
              <w:rPr>
                <w:rFonts w:hint="default"/>
              </w:rPr>
              <w:t>本项目环评类别为环境影响报告表，详见表2</w:t>
            </w:r>
            <w:r>
              <w:rPr>
                <w:rFonts w:hint="eastAsia"/>
                <w:lang w:val="en-US" w:eastAsia="zh-CN"/>
              </w:rPr>
              <w:t>.1</w:t>
            </w:r>
            <w:r>
              <w:rPr>
                <w:rFonts w:hint="default"/>
              </w:rPr>
              <w:t>-1。</w:t>
            </w:r>
            <w:r>
              <w:rPr>
                <w:rFonts w:hint="default"/>
                <w:lang w:eastAsia="zh-CN"/>
              </w:rPr>
              <w:t>为此，建设单位</w:t>
            </w:r>
            <w:r>
              <w:rPr>
                <w:rFonts w:hint="default"/>
              </w:rPr>
              <w:t>委托</w:t>
            </w:r>
            <w:r>
              <w:rPr>
                <w:rFonts w:hint="eastAsia"/>
                <w:lang w:val="en-US" w:eastAsia="zh-CN"/>
              </w:rPr>
              <w:t>我单位</w:t>
            </w:r>
            <w:r>
              <w:rPr>
                <w:rFonts w:hint="default"/>
              </w:rPr>
              <w:t>编制该项目的环境影响报告表</w:t>
            </w:r>
            <w:r>
              <w:rPr>
                <w:rFonts w:hint="eastAsia"/>
                <w:lang w:eastAsia="zh-CN"/>
              </w:rPr>
              <w:t>（</w:t>
            </w:r>
            <w:r>
              <w:rPr>
                <w:rFonts w:hint="default"/>
              </w:rPr>
              <w:t>委托书详见附件</w:t>
            </w:r>
            <w:r>
              <w:rPr>
                <w:rFonts w:hint="eastAsia"/>
                <w:lang w:val="en-US" w:eastAsia="zh-CN"/>
              </w:rPr>
              <w:t>1</w:t>
            </w:r>
            <w:r>
              <w:rPr>
                <w:rFonts w:hint="eastAsia"/>
                <w:lang w:eastAsia="zh-CN"/>
              </w:rPr>
              <w:t>）</w:t>
            </w:r>
            <w:r>
              <w:rPr>
                <w:rFonts w:hint="default"/>
              </w:rPr>
              <w:t>。本环评单位接受委托后，立即派技术人员踏勘现场和收集有关资料，按照</w:t>
            </w:r>
            <w:r>
              <w:rPr>
                <w:rFonts w:hint="default"/>
                <w:lang w:eastAsia="zh-CN"/>
              </w:rPr>
              <w:t>《</w:t>
            </w:r>
            <w:r>
              <w:rPr>
                <w:rFonts w:hint="default"/>
              </w:rPr>
              <w:t>建设项目环境影响报告表编制技术指南</w:t>
            </w:r>
            <w:r>
              <w:rPr>
                <w:rFonts w:hint="eastAsia"/>
                <w:lang w:val="en-US" w:eastAsia="zh-CN"/>
              </w:rPr>
              <w:t>（</w:t>
            </w:r>
            <w:r>
              <w:rPr>
                <w:rFonts w:hint="default"/>
              </w:rPr>
              <w:t>污染影响类</w:t>
            </w:r>
            <w:r>
              <w:rPr>
                <w:rFonts w:hint="eastAsia"/>
                <w:lang w:val="en-US" w:eastAsia="zh-CN"/>
              </w:rPr>
              <w:t>）（试行）》</w:t>
            </w:r>
            <w:r>
              <w:rPr>
                <w:rFonts w:hint="default"/>
              </w:rPr>
              <w:t>及相关技术规范要求，编制了本环境影响报告表，供建设单位上报</w:t>
            </w:r>
            <w:r>
              <w:rPr>
                <w:rFonts w:hint="default"/>
                <w:lang w:eastAsia="zh-CN"/>
              </w:rPr>
              <w:t>生态环境行政主管部门</w:t>
            </w:r>
            <w:r>
              <w:rPr>
                <w:rFonts w:hint="default"/>
              </w:rPr>
              <w:t>审批。</w:t>
            </w:r>
          </w:p>
          <w:p w14:paraId="651C067F">
            <w:pPr>
              <w:pStyle w:val="39"/>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rPr>
            </w:pPr>
            <w:bookmarkStart w:id="16" w:name="_Toc17739"/>
            <w:bookmarkStart w:id="17" w:name="_Toc2858"/>
            <w:bookmarkStart w:id="18" w:name="_Toc1709"/>
            <w:bookmarkStart w:id="19" w:name="_Toc21531"/>
            <w:r>
              <w:rPr>
                <w:rFonts w:hint="default"/>
              </w:rPr>
              <w:t>表2</w:t>
            </w:r>
            <w:r>
              <w:rPr>
                <w:rFonts w:hint="default"/>
                <w:lang w:val="en-US" w:eastAsia="zh-CN"/>
              </w:rPr>
              <w:t>.1</w:t>
            </w:r>
            <w:r>
              <w:rPr>
                <w:rFonts w:hint="default"/>
              </w:rPr>
              <w:t>-1  建设项目环境影响评价分类管理名录</w:t>
            </w:r>
            <w:bookmarkEnd w:id="16"/>
            <w:bookmarkEnd w:id="17"/>
            <w:bookmarkEnd w:id="18"/>
            <w:bookmarkEnd w:id="19"/>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5"/>
              <w:gridCol w:w="1461"/>
              <w:gridCol w:w="29"/>
              <w:gridCol w:w="3592"/>
              <w:gridCol w:w="1914"/>
              <w:gridCol w:w="845"/>
            </w:tblGrid>
            <w:tr w14:paraId="7DBA36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1" w:type="pct"/>
                  <w:gridSpan w:val="2"/>
                  <w:tcBorders>
                    <w:tl2br w:val="single" w:color="auto" w:sz="6" w:space="0"/>
                  </w:tcBorders>
                  <w:shd w:val="clear" w:color="auto" w:fill="auto"/>
                  <w:noWrap w:val="0"/>
                  <w:vAlign w:val="top"/>
                </w:tcPr>
                <w:p w14:paraId="16C72E04">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环评类别</w:t>
                  </w:r>
                </w:p>
                <w:p w14:paraId="1645AACF">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项目类别</w:t>
                  </w:r>
                </w:p>
              </w:tc>
              <w:tc>
                <w:tcPr>
                  <w:tcW w:w="2156" w:type="pct"/>
                  <w:gridSpan w:val="2"/>
                  <w:tcBorders>
                    <w:tl2br w:val="nil"/>
                    <w:tr2bl w:val="nil"/>
                  </w:tcBorders>
                  <w:shd w:val="clear" w:color="auto" w:fill="auto"/>
                  <w:noWrap w:val="0"/>
                  <w:vAlign w:val="center"/>
                </w:tcPr>
                <w:p w14:paraId="63E8EFB2">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报告书</w:t>
                  </w:r>
                </w:p>
              </w:tc>
              <w:tc>
                <w:tcPr>
                  <w:tcW w:w="1140" w:type="pct"/>
                  <w:tcBorders>
                    <w:tl2br w:val="nil"/>
                    <w:tr2bl w:val="nil"/>
                  </w:tcBorders>
                  <w:shd w:val="clear" w:color="auto" w:fill="BEBEBE"/>
                  <w:noWrap w:val="0"/>
                  <w:vAlign w:val="center"/>
                </w:tcPr>
                <w:p w14:paraId="097A717B">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报告表</w:t>
                  </w:r>
                </w:p>
              </w:tc>
              <w:tc>
                <w:tcPr>
                  <w:tcW w:w="501" w:type="pct"/>
                  <w:tcBorders>
                    <w:tl2br w:val="nil"/>
                    <w:tr2bl w:val="nil"/>
                  </w:tcBorders>
                  <w:noWrap w:val="0"/>
                  <w:vAlign w:val="center"/>
                </w:tcPr>
                <w:p w14:paraId="625BD5FB">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登记表</w:t>
                  </w:r>
                </w:p>
              </w:tc>
            </w:tr>
            <w:tr w14:paraId="50D764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tcBorders>
                    <w:tl2br w:val="nil"/>
                    <w:tr2bl w:val="nil"/>
                  </w:tcBorders>
                  <w:noWrap w:val="0"/>
                  <w:vAlign w:val="center"/>
                </w:tcPr>
                <w:p w14:paraId="64C6E6F0">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二十六、橡胶和塑料制品业 29</w:t>
                  </w:r>
                </w:p>
              </w:tc>
            </w:tr>
            <w:tr w14:paraId="7FB405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1" w:type="pct"/>
                  <w:tcBorders>
                    <w:tl2br w:val="nil"/>
                    <w:tr2bl w:val="nil"/>
                  </w:tcBorders>
                  <w:shd w:val="clear" w:color="auto" w:fill="auto"/>
                  <w:noWrap w:val="0"/>
                  <w:vAlign w:val="center"/>
                </w:tcPr>
                <w:p w14:paraId="5AE5EC51">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53</w:t>
                  </w:r>
                </w:p>
              </w:tc>
              <w:tc>
                <w:tcPr>
                  <w:tcW w:w="870" w:type="pct"/>
                  <w:tcBorders>
                    <w:tl2br w:val="nil"/>
                    <w:tr2bl w:val="nil"/>
                  </w:tcBorders>
                  <w:shd w:val="clear" w:color="auto" w:fill="auto"/>
                  <w:noWrap w:val="0"/>
                  <w:vAlign w:val="center"/>
                </w:tcPr>
                <w:p w14:paraId="6C29908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塑料制品业 292</w:t>
                  </w:r>
                </w:p>
              </w:tc>
              <w:tc>
                <w:tcPr>
                  <w:tcW w:w="2156" w:type="pct"/>
                  <w:gridSpan w:val="2"/>
                  <w:tcBorders>
                    <w:tl2br w:val="nil"/>
                    <w:tr2bl w:val="nil"/>
                  </w:tcBorders>
                  <w:shd w:val="clear" w:color="auto" w:fill="auto"/>
                  <w:noWrap w:val="0"/>
                  <w:vAlign w:val="center"/>
                </w:tcPr>
                <w:p w14:paraId="53C78F6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以再生塑料为原料生产的；有电镀工艺的；年用溶剂型胶粘剂10吨及以上的；年用溶剂型涂料</w:t>
                  </w:r>
                  <w:r>
                    <w:rPr>
                      <w:rFonts w:hint="eastAsia"/>
                      <w:szCs w:val="22"/>
                      <w:lang w:val="en-US" w:eastAsia="zh-CN"/>
                    </w:rPr>
                    <w:t>（</w:t>
                  </w:r>
                  <w:r>
                    <w:rPr>
                      <w:rFonts w:hint="default"/>
                      <w:szCs w:val="22"/>
                      <w:lang w:val="en-US" w:eastAsia="zh-CN"/>
                    </w:rPr>
                    <w:t>含稀释剂</w:t>
                  </w:r>
                  <w:r>
                    <w:rPr>
                      <w:rFonts w:hint="eastAsia"/>
                      <w:szCs w:val="22"/>
                      <w:lang w:val="en-US" w:eastAsia="zh-CN"/>
                    </w:rPr>
                    <w:t>）</w:t>
                  </w:r>
                  <w:r>
                    <w:rPr>
                      <w:rFonts w:hint="default"/>
                      <w:szCs w:val="22"/>
                      <w:lang w:val="en-US" w:eastAsia="zh-CN"/>
                    </w:rPr>
                    <w:t>10吨及以上的</w:t>
                  </w:r>
                </w:p>
              </w:tc>
              <w:tc>
                <w:tcPr>
                  <w:tcW w:w="1140" w:type="pct"/>
                  <w:tcBorders>
                    <w:tl2br w:val="nil"/>
                    <w:tr2bl w:val="nil"/>
                  </w:tcBorders>
                  <w:shd w:val="clear" w:color="auto" w:fill="BEBEBE"/>
                  <w:noWrap w:val="0"/>
                  <w:vAlign w:val="center"/>
                </w:tcPr>
                <w:p w14:paraId="748FF1FC">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其他</w:t>
                  </w:r>
                  <w:r>
                    <w:rPr>
                      <w:rFonts w:hint="eastAsia"/>
                      <w:szCs w:val="22"/>
                      <w:lang w:val="en-US" w:eastAsia="zh-CN"/>
                    </w:rPr>
                    <w:t>（</w:t>
                  </w:r>
                  <w:r>
                    <w:rPr>
                      <w:rFonts w:hint="default"/>
                      <w:szCs w:val="22"/>
                      <w:lang w:val="en-US" w:eastAsia="zh-CN"/>
                    </w:rPr>
                    <w:t>年用非溶剂型低VOCs含量涂料10吨以下的除外</w:t>
                  </w:r>
                  <w:r>
                    <w:rPr>
                      <w:rFonts w:hint="eastAsia"/>
                      <w:szCs w:val="22"/>
                      <w:lang w:val="en-US" w:eastAsia="zh-CN"/>
                    </w:rPr>
                    <w:t>）</w:t>
                  </w:r>
                </w:p>
              </w:tc>
              <w:tc>
                <w:tcPr>
                  <w:tcW w:w="501" w:type="pct"/>
                  <w:tcBorders>
                    <w:tl2br w:val="nil"/>
                    <w:tr2bl w:val="nil"/>
                  </w:tcBorders>
                  <w:noWrap w:val="0"/>
                  <w:vAlign w:val="center"/>
                </w:tcPr>
                <w:p w14:paraId="35A716C1">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w:t>
                  </w:r>
                </w:p>
              </w:tc>
            </w:tr>
            <w:tr w14:paraId="34A3B0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6"/>
                  <w:tcBorders>
                    <w:tl2br w:val="nil"/>
                    <w:tr2bl w:val="nil"/>
                  </w:tcBorders>
                  <w:noWrap w:val="0"/>
                  <w:vAlign w:val="top"/>
                </w:tcPr>
                <w:p w14:paraId="210B72D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三十、金属制品业 33</w:t>
                  </w:r>
                </w:p>
              </w:tc>
            </w:tr>
            <w:tr w14:paraId="2DEB92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1" w:type="pct"/>
                  <w:tcBorders>
                    <w:tl2br w:val="nil"/>
                    <w:tr2bl w:val="nil"/>
                  </w:tcBorders>
                  <w:shd w:val="clear" w:color="auto" w:fill="auto"/>
                  <w:noWrap w:val="0"/>
                  <w:vAlign w:val="center"/>
                </w:tcPr>
                <w:p w14:paraId="3C007719">
                  <w:pPr>
                    <w:pStyle w:val="38"/>
                    <w:keepNext w:val="0"/>
                    <w:keepLines w:val="0"/>
                    <w:widowControl/>
                    <w:suppressLineNumbers w:val="0"/>
                    <w:bidi w:val="0"/>
                    <w:spacing w:before="0" w:beforeAutospacing="0" w:after="0" w:afterAutospacing="0"/>
                    <w:ind w:left="0" w:right="0"/>
                    <w:rPr>
                      <w:rFonts w:hint="eastAsia"/>
                      <w:szCs w:val="22"/>
                    </w:rPr>
                  </w:pPr>
                </w:p>
                <w:p w14:paraId="7A5B9D90">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67</w:t>
                  </w:r>
                </w:p>
              </w:tc>
              <w:tc>
                <w:tcPr>
                  <w:tcW w:w="887" w:type="pct"/>
                  <w:gridSpan w:val="2"/>
                  <w:tcBorders>
                    <w:tl2br w:val="nil"/>
                    <w:tr2bl w:val="nil"/>
                  </w:tcBorders>
                  <w:shd w:val="clear" w:color="auto" w:fill="auto"/>
                  <w:noWrap w:val="0"/>
                  <w:vAlign w:val="center"/>
                </w:tcPr>
                <w:p w14:paraId="7B25050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金属表面处理及热处理加工</w:t>
                  </w:r>
                </w:p>
              </w:tc>
              <w:tc>
                <w:tcPr>
                  <w:tcW w:w="2139" w:type="pct"/>
                  <w:tcBorders>
                    <w:tl2br w:val="nil"/>
                    <w:tr2bl w:val="nil"/>
                  </w:tcBorders>
                  <w:shd w:val="clear" w:color="auto" w:fill="auto"/>
                  <w:noWrap w:val="0"/>
                  <w:vAlign w:val="center"/>
                </w:tcPr>
                <w:p w14:paraId="4EB891A0">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 xml:space="preserve">有电镀工艺的；有钝化工艺的热镀锌；使用有机涂层的（喷粉、喷塑、浸塑和电泳除外；年用溶剂型涂料（含稀释剂）10吨以下和用非溶剂型低VOCs含量涂料的除外） </w:t>
                  </w:r>
                </w:p>
              </w:tc>
              <w:tc>
                <w:tcPr>
                  <w:tcW w:w="1140" w:type="pct"/>
                  <w:tcBorders>
                    <w:tl2br w:val="nil"/>
                    <w:tr2bl w:val="nil"/>
                  </w:tcBorders>
                  <w:shd w:val="clear" w:color="auto" w:fill="BEBEBE"/>
                  <w:noWrap w:val="0"/>
                  <w:vAlign w:val="center"/>
                </w:tcPr>
                <w:p w14:paraId="4F3064C5">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其他（年用非溶剂型低VOCs含量涂料10吨以下的除外）</w:t>
                  </w:r>
                </w:p>
              </w:tc>
              <w:tc>
                <w:tcPr>
                  <w:tcW w:w="501" w:type="pct"/>
                  <w:tcBorders>
                    <w:tl2br w:val="nil"/>
                    <w:tr2bl w:val="nil"/>
                  </w:tcBorders>
                  <w:noWrap w:val="0"/>
                  <w:vAlign w:val="center"/>
                </w:tcPr>
                <w:p w14:paraId="1AAE78B5">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w:t>
                  </w:r>
                </w:p>
              </w:tc>
            </w:tr>
          </w:tbl>
          <w:p w14:paraId="0915ADB3">
            <w:pPr>
              <w:pStyle w:val="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出租方概况</w:t>
            </w:r>
          </w:p>
          <w:p w14:paraId="64C4545D">
            <w:pPr>
              <w:keepNext w:val="0"/>
              <w:keepLines w:val="0"/>
              <w:pageBreakBefore w:val="0"/>
              <w:widowControl/>
              <w:suppressLineNumbers w:val="0"/>
              <w:kinsoku/>
              <w:wordWrap/>
              <w:topLinePunct w:val="0"/>
              <w:autoSpaceDE/>
              <w:autoSpaceDN/>
              <w:bidi w:val="0"/>
              <w:adjustRightIn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000000" w:themeColor="text1"/>
                <w:kern w:val="0"/>
                <w:sz w:val="24"/>
                <w:lang w:eastAsia="zh-CN" w:bidi="ar"/>
                <w14:textFill>
                  <w14:solidFill>
                    <w14:schemeClr w14:val="tx1"/>
                  </w14:solidFill>
                </w14:textFill>
              </w:rPr>
            </w:pPr>
            <w:r>
              <w:rPr>
                <w:rFonts w:hint="default" w:ascii="Times New Roman" w:hAnsi="Times New Roman" w:cs="Times New Roman"/>
                <w:color w:val="000000" w:themeColor="text1"/>
                <w:kern w:val="0"/>
                <w:sz w:val="24"/>
                <w:lang w:bidi="ar"/>
                <w14:textFill>
                  <w14:solidFill>
                    <w14:schemeClr w14:val="tx1"/>
                  </w14:solidFill>
                </w14:textFill>
              </w:rPr>
              <w:t>本项目生产厂址位于福建省福州市福清市阳下街道洪宽工业区（租赁福清洪添科技有限公司车间</w:t>
            </w:r>
            <w:r>
              <w:rPr>
                <w:rFonts w:hint="eastAsia" w:ascii="Times New Roman" w:hAnsi="Times New Roman" w:cs="Times New Roman"/>
                <w:color w:val="000000" w:themeColor="text1"/>
                <w:kern w:val="0"/>
                <w:sz w:val="24"/>
                <w:lang w:val="en-US" w:eastAsia="zh-CN" w:bidi="ar"/>
                <w14:textFill>
                  <w14:solidFill>
                    <w14:schemeClr w14:val="tx1"/>
                  </w14:solidFill>
                </w14:textFill>
              </w:rPr>
              <w:t>2三层</w:t>
            </w:r>
            <w:r>
              <w:rPr>
                <w:rFonts w:hint="default" w:ascii="Times New Roman" w:hAnsi="Times New Roman" w:cs="Times New Roman"/>
                <w:color w:val="000000" w:themeColor="text1"/>
                <w:kern w:val="0"/>
                <w:sz w:val="24"/>
                <w:lang w:bidi="ar"/>
                <w14:textFill>
                  <w14:solidFill>
                    <w14:schemeClr w14:val="tx1"/>
                  </w14:solidFill>
                </w14:textFill>
              </w:rPr>
              <w:t>），厂房面积</w:t>
            </w:r>
            <w:r>
              <w:rPr>
                <w:rFonts w:hint="eastAsia" w:ascii="Times New Roman" w:hAnsi="Times New Roman" w:cs="Times New Roman"/>
                <w:color w:val="000000" w:themeColor="text1"/>
                <w:kern w:val="0"/>
                <w:sz w:val="24"/>
                <w:lang w:val="en-US" w:eastAsia="zh-CN" w:bidi="ar"/>
                <w14:textFill>
                  <w14:solidFill>
                    <w14:schemeClr w14:val="tx1"/>
                  </w14:solidFill>
                </w14:textFill>
              </w:rPr>
              <w:t>2212.46</w:t>
            </w:r>
            <w:r>
              <w:rPr>
                <w:rFonts w:hint="default" w:ascii="Times New Roman" w:hAnsi="Times New Roman" w:cs="Times New Roman"/>
                <w:color w:val="000000" w:themeColor="text1"/>
                <w:kern w:val="0"/>
                <w:sz w:val="24"/>
                <w:lang w:bidi="ar"/>
                <w14:textFill>
                  <w14:solidFill>
                    <w14:schemeClr w14:val="tx1"/>
                  </w14:solidFill>
                </w14:textFill>
              </w:rPr>
              <w:t>m</w:t>
            </w:r>
            <w:r>
              <w:rPr>
                <w:rFonts w:hint="default" w:ascii="Times New Roman" w:hAnsi="Times New Roman" w:cs="Times New Roman"/>
                <w:color w:val="000000" w:themeColor="text1"/>
                <w:kern w:val="0"/>
                <w:sz w:val="24"/>
                <w:vertAlign w:val="superscript"/>
                <w:lang w:bidi="ar"/>
                <w14:textFill>
                  <w14:solidFill>
                    <w14:schemeClr w14:val="tx1"/>
                  </w14:solidFill>
                </w14:textFill>
              </w:rPr>
              <w:t>2</w:t>
            </w:r>
            <w:r>
              <w:rPr>
                <w:rFonts w:hint="eastAsia" w:cs="Times New Roman"/>
                <w:color w:val="000000" w:themeColor="text1"/>
                <w:kern w:val="0"/>
                <w:sz w:val="24"/>
                <w:vertAlign w:val="superscript"/>
                <w:lang w:eastAsia="zh-CN" w:bidi="ar"/>
                <w14:textFill>
                  <w14:solidFill>
                    <w14:schemeClr w14:val="tx1"/>
                  </w14:solidFill>
                </w14:textFill>
              </w:rPr>
              <w:t>。</w:t>
            </w:r>
          </w:p>
          <w:p w14:paraId="37CFC1CE">
            <w:pPr>
              <w:keepNext w:val="0"/>
              <w:keepLines w:val="0"/>
              <w:pageBreakBefore w:val="0"/>
              <w:widowControl/>
              <w:suppressLineNumbers w:val="0"/>
              <w:kinsoku/>
              <w:wordWrap/>
              <w:topLinePunct w:val="0"/>
              <w:autoSpaceDE/>
              <w:autoSpaceDN/>
              <w:bidi w:val="0"/>
              <w:adjustRightInd/>
              <w:spacing w:before="0" w:beforeAutospacing="0" w:after="0" w:afterAutospacing="0" w:line="360" w:lineRule="auto"/>
              <w:ind w:left="0" w:right="0" w:firstLine="480" w:firstLineChars="200"/>
              <w:jc w:val="left"/>
              <w:textAlignment w:val="auto"/>
              <w:rPr>
                <w:rFonts w:hint="default"/>
                <w:lang w:val="en-US" w:eastAsia="zh-CN"/>
              </w:rPr>
            </w:pPr>
            <w:r>
              <w:rPr>
                <w:rFonts w:hint="eastAsia" w:cs="Times New Roman" w:eastAsiaTheme="minorEastAsia"/>
                <w:b w:val="0"/>
                <w:bCs w:val="0"/>
                <w:color w:val="000000" w:themeColor="text1"/>
                <w:kern w:val="2"/>
                <w:sz w:val="24"/>
                <w:szCs w:val="24"/>
                <w:lang w:val="en-US" w:eastAsia="zh-CN"/>
                <w14:textFill>
                  <w14:solidFill>
                    <w14:schemeClr w14:val="tx1"/>
                  </w14:solidFill>
                </w14:textFill>
              </w:rPr>
              <w:t>福清洪添科技有限公司</w:t>
            </w:r>
            <w:r>
              <w:rPr>
                <w:rFonts w:hint="default" w:ascii="Times New Roman" w:hAnsi="Times New Roman" w:cs="Times New Roman" w:eastAsiaTheme="minorEastAsia"/>
                <w:b w:val="0"/>
                <w:bCs w:val="0"/>
                <w:color w:val="000000" w:themeColor="text1"/>
                <w:kern w:val="2"/>
                <w:sz w:val="24"/>
                <w:szCs w:val="24"/>
                <w:lang w:eastAsia="zh-CN"/>
                <w14:textFill>
                  <w14:solidFill>
                    <w14:schemeClr w14:val="tx1"/>
                  </w14:solidFill>
                </w14:textFill>
              </w:rPr>
              <w:t>是一家从事技术服务</w:t>
            </w:r>
            <w:r>
              <w:rPr>
                <w:rFonts w:hint="eastAsia" w:cs="Times New Roman" w:eastAsiaTheme="minorEastAsia"/>
                <w:b w:val="0"/>
                <w:bCs w:val="0"/>
                <w:color w:val="000000" w:themeColor="text1"/>
                <w:kern w:val="2"/>
                <w:sz w:val="24"/>
                <w:szCs w:val="24"/>
                <w:lang w:eastAsia="zh-CN"/>
                <w14:textFill>
                  <w14:solidFill>
                    <w14:schemeClr w14:val="tx1"/>
                  </w14:solidFill>
                </w14:textFill>
              </w:rPr>
              <w:t>，</w:t>
            </w:r>
            <w:r>
              <w:rPr>
                <w:rFonts w:hint="default" w:ascii="Times New Roman" w:hAnsi="Times New Roman" w:cs="Times New Roman" w:eastAsiaTheme="minorEastAsia"/>
                <w:b w:val="0"/>
                <w:bCs w:val="0"/>
                <w:color w:val="000000" w:themeColor="text1"/>
                <w:kern w:val="2"/>
                <w:sz w:val="24"/>
                <w:szCs w:val="24"/>
                <w:lang w:eastAsia="zh-CN"/>
                <w14:textFill>
                  <w14:solidFill>
                    <w14:schemeClr w14:val="tx1"/>
                  </w14:solidFill>
                </w14:textFill>
              </w:rPr>
              <w:t>技术开发</w:t>
            </w:r>
            <w:r>
              <w:rPr>
                <w:rFonts w:hint="eastAsia" w:cs="Times New Roman" w:eastAsiaTheme="minorEastAsia"/>
                <w:b w:val="0"/>
                <w:bCs w:val="0"/>
                <w:color w:val="000000" w:themeColor="text1"/>
                <w:kern w:val="2"/>
                <w:sz w:val="24"/>
                <w:szCs w:val="24"/>
                <w:lang w:eastAsia="zh-CN"/>
                <w14:textFill>
                  <w14:solidFill>
                    <w14:schemeClr w14:val="tx1"/>
                  </w14:solidFill>
                </w14:textFill>
              </w:rPr>
              <w:t>，</w:t>
            </w:r>
            <w:r>
              <w:rPr>
                <w:rFonts w:hint="default" w:ascii="Times New Roman" w:hAnsi="Times New Roman" w:cs="Times New Roman" w:eastAsiaTheme="minorEastAsia"/>
                <w:b w:val="0"/>
                <w:bCs w:val="0"/>
                <w:color w:val="000000" w:themeColor="text1"/>
                <w:kern w:val="2"/>
                <w:sz w:val="24"/>
                <w:szCs w:val="24"/>
                <w:lang w:eastAsia="zh-CN"/>
                <w14:textFill>
                  <w14:solidFill>
                    <w14:schemeClr w14:val="tx1"/>
                  </w14:solidFill>
                </w14:textFill>
              </w:rPr>
              <w:t>技术咨询等业务的公司</w:t>
            </w:r>
            <w:r>
              <w:rPr>
                <w:rFonts w:hint="eastAsia" w:cs="Times New Roman" w:eastAsiaTheme="minorEastAsia"/>
                <w:b w:val="0"/>
                <w:bCs w:val="0"/>
                <w:color w:val="000000" w:themeColor="text1"/>
                <w:kern w:val="2"/>
                <w:sz w:val="24"/>
                <w:szCs w:val="24"/>
                <w:lang w:eastAsia="zh-CN"/>
                <w14:textFill>
                  <w14:solidFill>
                    <w14:schemeClr w14:val="tx1"/>
                  </w14:solidFill>
                </w14:textFill>
              </w:rPr>
              <w:t>，</w:t>
            </w:r>
            <w:r>
              <w:rPr>
                <w:rFonts w:hint="eastAsia" w:cs="Times New Roman" w:eastAsiaTheme="minorEastAsia"/>
                <w:b w:val="0"/>
                <w:bCs w:val="0"/>
                <w:color w:val="000000" w:themeColor="text1"/>
                <w:kern w:val="2"/>
                <w:sz w:val="24"/>
                <w:szCs w:val="24"/>
                <w:lang w:val="en-US" w:eastAsia="zh-CN"/>
                <w14:textFill>
                  <w14:solidFill>
                    <w14:schemeClr w14:val="tx1"/>
                  </w14:solidFill>
                </w14:textFill>
              </w:rPr>
              <w:t>于2025年8月11日公司名称由福清洪添制刀有限公司变更为福清洪添科技有限公司，主要</w:t>
            </w:r>
            <w:r>
              <w:rPr>
                <w:rFonts w:hint="eastAsia" w:cs="Times New Roman" w:eastAsiaTheme="minorEastAsia"/>
                <w:b w:val="0"/>
                <w:bCs w:val="0"/>
                <w:color w:val="000000" w:themeColor="text1"/>
                <w:kern w:val="2"/>
                <w:sz w:val="24"/>
                <w:szCs w:val="24"/>
                <w:lang w:eastAsia="zh-CN"/>
                <w14:textFill>
                  <w14:solidFill>
                    <w14:schemeClr w14:val="tx1"/>
                  </w14:solidFill>
                </w14:textFill>
              </w:rPr>
              <w:t>生产各种家庭用刀及农具、各种钢材及各种制刀叠层板热轧冷轧，</w:t>
            </w:r>
            <w:r>
              <w:rPr>
                <w:rFonts w:hint="eastAsia" w:ascii="Times New Roman" w:hAnsi="Times New Roman" w:cs="Times New Roman" w:eastAsiaTheme="minorEastAsia"/>
                <w:b w:val="0"/>
                <w:bCs w:val="0"/>
                <w:color w:val="000000" w:themeColor="text1"/>
                <w:kern w:val="2"/>
                <w:sz w:val="24"/>
                <w:szCs w:val="24"/>
                <w:lang w:val="en-US" w:eastAsia="zh-CN"/>
                <w14:textFill>
                  <w14:solidFill>
                    <w14:schemeClr w14:val="tx1"/>
                  </w14:solidFill>
                </w14:textFill>
              </w:rPr>
              <w:t>建设</w:t>
            </w:r>
            <w:r>
              <w:rPr>
                <w:rFonts w:hint="eastAsia" w:cs="Times New Roman" w:eastAsiaTheme="minorEastAsia"/>
                <w:b w:val="0"/>
                <w:bCs w:val="0"/>
                <w:color w:val="000000" w:themeColor="text1"/>
                <w:kern w:val="2"/>
                <w:sz w:val="24"/>
                <w:szCs w:val="24"/>
                <w:lang w:val="en-US" w:eastAsia="zh-CN"/>
                <w14:textFill>
                  <w14:solidFill>
                    <w14:schemeClr w14:val="tx1"/>
                  </w14:solidFill>
                </w14:textFill>
              </w:rPr>
              <w:t>有</w:t>
            </w:r>
            <w:r>
              <w:rPr>
                <w:rFonts w:hint="eastAsia" w:ascii="Times New Roman" w:hAnsi="Times New Roman" w:cs="Times New Roman" w:eastAsiaTheme="minorEastAsia"/>
                <w:b w:val="0"/>
                <w:bCs w:val="0"/>
                <w:color w:val="000000" w:themeColor="text1"/>
                <w:kern w:val="2"/>
                <w:sz w:val="24"/>
                <w:szCs w:val="24"/>
                <w:lang w:val="en-US" w:eastAsia="zh-CN"/>
                <w14:textFill>
                  <w14:solidFill>
                    <w14:schemeClr w14:val="tx1"/>
                  </w14:solidFill>
                </w14:textFill>
              </w:rPr>
              <w:t>4栋厂房（分别为1号楼、2号楼、车间1、车间2）（产权证见</w:t>
            </w:r>
            <w:r>
              <w:rPr>
                <w:rFonts w:hint="eastAsia" w:ascii="Times New Roman" w:hAnsi="Times New Roman" w:cs="Times New Roman" w:eastAsiaTheme="minorEastAsia"/>
                <w:b w:val="0"/>
                <w:bCs w:val="0"/>
                <w:color w:val="000000" w:themeColor="text1"/>
                <w:kern w:val="2"/>
                <w:sz w:val="24"/>
                <w:szCs w:val="24"/>
                <w:lang w:val="en-US" w:eastAsia="zh-CN"/>
                <w14:textFill>
                  <w14:solidFill>
                    <w14:schemeClr w14:val="tx1"/>
                  </w14:solidFill>
                </w14:textFill>
              </w:rPr>
              <w:fldChar w:fldCharType="begin"/>
            </w:r>
            <w:r>
              <w:rPr>
                <w:rFonts w:hint="eastAsia" w:ascii="Times New Roman" w:hAnsi="Times New Roman" w:cs="Times New Roman" w:eastAsiaTheme="minorEastAsia"/>
                <w:b w:val="0"/>
                <w:bCs w:val="0"/>
                <w:color w:val="000000" w:themeColor="text1"/>
                <w:kern w:val="2"/>
                <w:sz w:val="24"/>
                <w:szCs w:val="24"/>
                <w:lang w:val="en-US" w:eastAsia="zh-CN"/>
                <w14:textFill>
                  <w14:solidFill>
                    <w14:schemeClr w14:val="tx1"/>
                  </w14:solidFill>
                </w14:textFill>
              </w:rPr>
              <w:instrText xml:space="preserve"> REF _Ref5002 \h </w:instrText>
            </w:r>
            <w:r>
              <w:rPr>
                <w:rFonts w:hint="eastAsia" w:ascii="Times New Roman" w:hAnsi="Times New Roman" w:cs="Times New Roman" w:eastAsiaTheme="minorEastAsia"/>
                <w:b w:val="0"/>
                <w:bCs w:val="0"/>
                <w:color w:val="000000" w:themeColor="text1"/>
                <w:kern w:val="2"/>
                <w:sz w:val="24"/>
                <w:szCs w:val="24"/>
                <w:lang w:val="en-US" w:eastAsia="zh-CN"/>
                <w14:textFill>
                  <w14:solidFill>
                    <w14:schemeClr w14:val="tx1"/>
                  </w14:solidFill>
                </w14:textFill>
              </w:rPr>
              <w:fldChar w:fldCharType="separate"/>
            </w:r>
            <w:r>
              <w:rPr>
                <w:rFonts w:hint="eastAsia"/>
              </w:rPr>
              <w:t>附件 6</w:t>
            </w:r>
            <w:r>
              <w:rPr>
                <w:rFonts w:hint="eastAsia" w:ascii="Times New Roman" w:hAnsi="Times New Roman" w:cs="Times New Roman" w:eastAsiaTheme="minorEastAsia"/>
                <w:b w:val="0"/>
                <w:bCs w:val="0"/>
                <w:color w:val="000000" w:themeColor="text1"/>
                <w:kern w:val="2"/>
                <w:sz w:val="24"/>
                <w:szCs w:val="24"/>
                <w:lang w:val="en-US" w:eastAsia="zh-CN"/>
                <w14:textFill>
                  <w14:solidFill>
                    <w14:schemeClr w14:val="tx1"/>
                  </w14:solidFill>
                </w14:textFill>
              </w:rPr>
              <w:fldChar w:fldCharType="end"/>
            </w:r>
            <w:r>
              <w:rPr>
                <w:rFonts w:hint="eastAsia" w:ascii="Times New Roman" w:hAnsi="Times New Roman" w:cs="Times New Roman" w:eastAsiaTheme="minorEastAsia"/>
                <w:b w:val="0"/>
                <w:bCs w:val="0"/>
                <w:color w:val="000000" w:themeColor="text1"/>
                <w:kern w:val="2"/>
                <w:sz w:val="24"/>
                <w:szCs w:val="24"/>
                <w:lang w:val="en-US" w:eastAsia="zh-CN"/>
                <w14:textFill>
                  <w14:solidFill>
                    <w14:schemeClr w14:val="tx1"/>
                  </w14:solidFill>
                </w14:textFill>
              </w:rPr>
              <w:t>）。</w:t>
            </w:r>
            <w:r>
              <w:rPr>
                <w:rFonts w:hint="eastAsia" w:cs="Times New Roman"/>
                <w:color w:val="000000" w:themeColor="text1"/>
                <w:kern w:val="0"/>
                <w:sz w:val="24"/>
                <w:lang w:val="en-US" w:eastAsia="zh-CN" w:bidi="ar"/>
                <w14:textFill>
                  <w14:solidFill>
                    <w14:schemeClr w14:val="tx1"/>
                  </w14:solidFill>
                </w14:textFill>
              </w:rPr>
              <w:t>2025年12月福清洪添科技有限公司</w:t>
            </w:r>
            <w:r>
              <w:rPr>
                <w:rFonts w:hint="eastAsia" w:cs="Times New Roman" w:eastAsiaTheme="minorEastAsia"/>
                <w:b w:val="0"/>
                <w:bCs w:val="0"/>
                <w:color w:val="000000" w:themeColor="text1"/>
                <w:kern w:val="2"/>
                <w:sz w:val="24"/>
                <w:szCs w:val="24"/>
                <w:lang w:val="en-US" w:eastAsia="zh-CN"/>
                <w14:textFill>
                  <w14:solidFill>
                    <w14:schemeClr w14:val="tx1"/>
                  </w14:solidFill>
                </w14:textFill>
              </w:rPr>
              <w:t>将</w:t>
            </w:r>
            <w:r>
              <w:rPr>
                <w:rFonts w:hint="default" w:ascii="Times New Roman" w:hAnsi="Times New Roman" w:cs="Times New Roman"/>
                <w:color w:val="000000" w:themeColor="text1"/>
                <w:kern w:val="0"/>
                <w:sz w:val="24"/>
                <w:lang w:bidi="ar"/>
                <w14:textFill>
                  <w14:solidFill>
                    <w14:schemeClr w14:val="tx1"/>
                  </w14:solidFill>
                </w14:textFill>
              </w:rPr>
              <w:t>车间</w:t>
            </w:r>
            <w:r>
              <w:rPr>
                <w:rFonts w:hint="eastAsia" w:ascii="Times New Roman" w:hAnsi="Times New Roman" w:cs="Times New Roman"/>
                <w:color w:val="000000" w:themeColor="text1"/>
                <w:kern w:val="0"/>
                <w:sz w:val="24"/>
                <w:lang w:val="en-US" w:eastAsia="zh-CN" w:bidi="ar"/>
                <w14:textFill>
                  <w14:solidFill>
                    <w14:schemeClr w14:val="tx1"/>
                  </w14:solidFill>
                </w14:textFill>
              </w:rPr>
              <w:t>2</w:t>
            </w:r>
            <w:r>
              <w:rPr>
                <w:rFonts w:hint="eastAsia" w:cs="Times New Roman"/>
                <w:color w:val="000000" w:themeColor="text1"/>
                <w:kern w:val="0"/>
                <w:sz w:val="24"/>
                <w:lang w:val="en-US" w:eastAsia="zh-CN" w:bidi="ar"/>
                <w14:textFill>
                  <w14:solidFill>
                    <w14:schemeClr w14:val="tx1"/>
                  </w14:solidFill>
                </w14:textFill>
              </w:rPr>
              <w:t>厂房</w:t>
            </w:r>
            <w:r>
              <w:rPr>
                <w:rFonts w:hint="default" w:ascii="Times New Roman" w:hAnsi="Times New Roman" w:cs="Times New Roman"/>
                <w:color w:val="000000" w:themeColor="text1"/>
                <w:kern w:val="0"/>
                <w:sz w:val="24"/>
                <w:lang w:bidi="ar"/>
                <w14:textFill>
                  <w14:solidFill>
                    <w14:schemeClr w14:val="tx1"/>
                  </w14:solidFill>
                </w14:textFill>
              </w:rPr>
              <w:t>第</w:t>
            </w:r>
            <w:r>
              <w:rPr>
                <w:rFonts w:hint="eastAsia" w:cs="Times New Roman"/>
                <w:color w:val="000000" w:themeColor="text1"/>
                <w:kern w:val="0"/>
                <w:sz w:val="24"/>
                <w:lang w:val="en-US" w:eastAsia="zh-CN" w:bidi="ar"/>
                <w14:textFill>
                  <w14:solidFill>
                    <w14:schemeClr w14:val="tx1"/>
                  </w14:solidFill>
                </w14:textFill>
              </w:rPr>
              <w:t>3</w:t>
            </w:r>
            <w:r>
              <w:rPr>
                <w:rFonts w:hint="default" w:ascii="Times New Roman" w:hAnsi="Times New Roman" w:cs="Times New Roman"/>
                <w:color w:val="000000" w:themeColor="text1"/>
                <w:kern w:val="0"/>
                <w:sz w:val="24"/>
                <w:lang w:bidi="ar"/>
                <w14:textFill>
                  <w14:solidFill>
                    <w14:schemeClr w14:val="tx1"/>
                  </w14:solidFill>
                </w14:textFill>
              </w:rPr>
              <w:t>层</w:t>
            </w:r>
            <w:r>
              <w:rPr>
                <w:rFonts w:hint="eastAsia" w:ascii="Times New Roman" w:hAnsi="Times New Roman" w:cs="Times New Roman" w:eastAsiaTheme="minorEastAsia"/>
                <w:b w:val="0"/>
                <w:bCs w:val="0"/>
                <w:color w:val="000000" w:themeColor="text1"/>
                <w:kern w:val="2"/>
                <w:sz w:val="24"/>
                <w:szCs w:val="24"/>
                <w:lang w:val="en-US" w:eastAsia="zh-CN"/>
                <w14:textFill>
                  <w14:solidFill>
                    <w14:schemeClr w14:val="tx1"/>
                  </w14:solidFill>
                </w14:textFill>
              </w:rPr>
              <w:t>（房屋租赁合同见</w:t>
            </w:r>
            <w:r>
              <w:rPr>
                <w:rFonts w:hint="eastAsia" w:ascii="Times New Roman" w:hAnsi="Times New Roman" w:cs="Times New Roman" w:eastAsiaTheme="minorEastAsia"/>
                <w:b w:val="0"/>
                <w:bCs w:val="0"/>
                <w:color w:val="000000" w:themeColor="text1"/>
                <w:kern w:val="2"/>
                <w:sz w:val="24"/>
                <w:szCs w:val="24"/>
                <w:lang w:val="en-US" w:eastAsia="zh-CN"/>
                <w14:textFill>
                  <w14:solidFill>
                    <w14:schemeClr w14:val="tx1"/>
                  </w14:solidFill>
                </w14:textFill>
              </w:rPr>
              <w:fldChar w:fldCharType="begin"/>
            </w:r>
            <w:r>
              <w:rPr>
                <w:rFonts w:hint="eastAsia" w:ascii="Times New Roman" w:hAnsi="Times New Roman" w:cs="Times New Roman" w:eastAsiaTheme="minorEastAsia"/>
                <w:b w:val="0"/>
                <w:bCs w:val="0"/>
                <w:color w:val="000000" w:themeColor="text1"/>
                <w:kern w:val="2"/>
                <w:sz w:val="24"/>
                <w:szCs w:val="24"/>
                <w:lang w:val="en-US" w:eastAsia="zh-CN"/>
                <w14:textFill>
                  <w14:solidFill>
                    <w14:schemeClr w14:val="tx1"/>
                  </w14:solidFill>
                </w14:textFill>
              </w:rPr>
              <w:instrText xml:space="preserve"> REF _Ref4970 \h </w:instrText>
            </w:r>
            <w:r>
              <w:rPr>
                <w:rFonts w:hint="eastAsia" w:ascii="Times New Roman" w:hAnsi="Times New Roman" w:cs="Times New Roman" w:eastAsiaTheme="minorEastAsia"/>
                <w:b w:val="0"/>
                <w:bCs w:val="0"/>
                <w:color w:val="000000" w:themeColor="text1"/>
                <w:kern w:val="2"/>
                <w:sz w:val="24"/>
                <w:szCs w:val="24"/>
                <w:lang w:val="en-US" w:eastAsia="zh-CN"/>
                <w14:textFill>
                  <w14:solidFill>
                    <w14:schemeClr w14:val="tx1"/>
                  </w14:solidFill>
                </w14:textFill>
              </w:rPr>
              <w:fldChar w:fldCharType="separate"/>
            </w:r>
            <w:r>
              <w:rPr>
                <w:rFonts w:hint="eastAsia"/>
              </w:rPr>
              <w:t>附件 7</w:t>
            </w:r>
            <w:r>
              <w:rPr>
                <w:rFonts w:hint="eastAsia" w:ascii="Times New Roman" w:hAnsi="Times New Roman" w:cs="Times New Roman" w:eastAsiaTheme="minorEastAsia"/>
                <w:b w:val="0"/>
                <w:bCs w:val="0"/>
                <w:color w:val="000000" w:themeColor="text1"/>
                <w:kern w:val="2"/>
                <w:sz w:val="24"/>
                <w:szCs w:val="24"/>
                <w:lang w:val="en-US" w:eastAsia="zh-CN"/>
                <w14:textFill>
                  <w14:solidFill>
                    <w14:schemeClr w14:val="tx1"/>
                  </w14:solidFill>
                </w14:textFill>
              </w:rPr>
              <w:fldChar w:fldCharType="end"/>
            </w:r>
            <w:r>
              <w:rPr>
                <w:rFonts w:hint="eastAsia" w:ascii="Times New Roman" w:hAnsi="Times New Roman" w:cs="Times New Roman" w:eastAsiaTheme="minorEastAsia"/>
                <w:b w:val="0"/>
                <w:bCs w:val="0"/>
                <w:color w:val="000000" w:themeColor="text1"/>
                <w:kern w:val="2"/>
                <w:sz w:val="24"/>
                <w:szCs w:val="24"/>
                <w:lang w:val="en-US" w:eastAsia="zh-CN"/>
                <w14:textFill>
                  <w14:solidFill>
                    <w14:schemeClr w14:val="tx1"/>
                  </w14:solidFill>
                </w14:textFill>
              </w:rPr>
              <w:t>）</w:t>
            </w:r>
            <w:r>
              <w:rPr>
                <w:rFonts w:hint="default" w:ascii="Times New Roman" w:hAnsi="Times New Roman" w:cs="Times New Roman"/>
                <w:color w:val="000000" w:themeColor="text1"/>
                <w:kern w:val="0"/>
                <w:sz w:val="24"/>
                <w:lang w:bidi="ar"/>
                <w14:textFill>
                  <w14:solidFill>
                    <w14:schemeClr w14:val="tx1"/>
                  </w14:solidFill>
                </w14:textFill>
              </w:rPr>
              <w:t>出租给</w:t>
            </w:r>
            <w:r>
              <w:rPr>
                <w:rFonts w:hint="eastAsia" w:ascii="Times New Roman" w:hAnsi="Times New Roman" w:cs="Times New Roman"/>
                <w:color w:val="000000" w:themeColor="text1"/>
                <w:kern w:val="0"/>
                <w:sz w:val="24"/>
                <w:lang w:val="en-US" w:eastAsia="zh-CN" w:bidi="ar"/>
                <w14:textFill>
                  <w14:solidFill>
                    <w14:schemeClr w14:val="tx1"/>
                  </w14:solidFill>
                </w14:textFill>
              </w:rPr>
              <w:t>福清市三合电子科技有限公司</w:t>
            </w:r>
            <w:r>
              <w:rPr>
                <w:rFonts w:hint="eastAsia"/>
                <w:lang w:eastAsia="zh-CN"/>
              </w:rPr>
              <w:t>年新增塑胶件25万套、钣金件5万套项目</w:t>
            </w:r>
            <w:r>
              <w:rPr>
                <w:rFonts w:hint="eastAsia" w:cs="Times New Roman" w:eastAsiaTheme="minorEastAsia"/>
                <w:b w:val="0"/>
                <w:bCs w:val="0"/>
                <w:color w:val="000000" w:themeColor="text1"/>
                <w:kern w:val="2"/>
                <w:sz w:val="24"/>
                <w:szCs w:val="24"/>
                <w:highlight w:val="none"/>
                <w:lang w:val="en-US" w:eastAsia="zh-CN"/>
                <w14:textFill>
                  <w14:solidFill>
                    <w14:schemeClr w14:val="tx1"/>
                  </w14:solidFill>
                </w14:textFill>
              </w:rPr>
              <w:t>建设使用</w:t>
            </w:r>
            <w:r>
              <w:rPr>
                <w:rFonts w:hint="default" w:ascii="Times New Roman" w:hAnsi="Times New Roman" w:cs="Times New Roman"/>
                <w:color w:val="000000" w:themeColor="text1"/>
                <w:kern w:val="0"/>
                <w:sz w:val="24"/>
                <w:lang w:val="en-US" w:eastAsia="zh-CN" w:bidi="ar"/>
                <w14:textFill>
                  <w14:solidFill>
                    <w14:schemeClr w14:val="tx1"/>
                  </w14:solidFill>
                </w14:textFill>
              </w:rPr>
              <w:t>。</w:t>
            </w:r>
          </w:p>
          <w:p w14:paraId="304A0C13">
            <w:pPr>
              <w:keepNext w:val="0"/>
              <w:keepLines w:val="0"/>
              <w:suppressLineNumbers w:val="0"/>
              <w:spacing w:before="0" w:beforeAutospacing="0" w:after="0" w:afterAutospacing="0"/>
              <w:ind w:left="0" w:right="0"/>
              <w:rPr>
                <w:rFonts w:hint="eastAsia"/>
                <w:lang w:val="en-US" w:eastAsia="zh-CN"/>
              </w:rPr>
            </w:pPr>
            <w:r>
              <w:rPr>
                <w:rFonts w:hint="default" w:ascii="Times New Roman" w:hAnsi="Times New Roman" w:cs="Times New Roman"/>
                <w:color w:val="000000" w:themeColor="text1"/>
                <w:kern w:val="0"/>
                <w:sz w:val="24"/>
                <w:lang w:bidi="ar"/>
                <w14:textFill>
                  <w14:solidFill>
                    <w14:schemeClr w14:val="tx1"/>
                  </w14:solidFill>
                </w14:textFill>
              </w:rPr>
              <w:t>根据现场勘查，该区域属于福清市融元污水处理厂服务范围内，目前生活污水经厂区内现有化粪池处理后接入</w:t>
            </w:r>
            <w:r>
              <w:rPr>
                <w:rFonts w:hint="eastAsia" w:cs="Times New Roman"/>
                <w:color w:val="000000" w:themeColor="text1"/>
                <w:kern w:val="0"/>
                <w:sz w:val="24"/>
                <w:lang w:eastAsia="zh-CN" w:bidi="ar"/>
                <w14:textFill>
                  <w14:solidFill>
                    <w14:schemeClr w14:val="tx1"/>
                  </w14:solidFill>
                </w14:textFill>
              </w:rPr>
              <w:t>市政污水管网</w:t>
            </w:r>
            <w:r>
              <w:rPr>
                <w:rFonts w:hint="default" w:ascii="Times New Roman" w:hAnsi="Times New Roman" w:cs="Times New Roman"/>
                <w:color w:val="000000" w:themeColor="text1"/>
                <w:kern w:val="0"/>
                <w:sz w:val="24"/>
                <w:lang w:bidi="ar"/>
                <w14:textFill>
                  <w14:solidFill>
                    <w14:schemeClr w14:val="tx1"/>
                  </w14:solidFill>
                </w14:textFill>
              </w:rPr>
              <w:t>送往福清市融元污水处理厂集中处理后排放。本项目可依托的设施主要为厂房内的给水管网、排水管网、供电管网及给水消防等公用工程设施</w:t>
            </w:r>
            <w:r>
              <w:rPr>
                <w:rFonts w:hint="default" w:ascii="Times New Roman" w:hAnsi="Times New Roman" w:cs="Times New Roman"/>
                <w:color w:val="000000" w:themeColor="text1"/>
                <w:kern w:val="0"/>
                <w:sz w:val="24"/>
                <w:lang w:val="en-US" w:eastAsia="zh-CN" w:bidi="ar"/>
                <w14:textFill>
                  <w14:solidFill>
                    <w14:schemeClr w14:val="tx1"/>
                  </w14:solidFill>
                </w14:textFill>
              </w:rPr>
              <w:t>。</w:t>
            </w:r>
          </w:p>
          <w:p w14:paraId="0CFA990B">
            <w:pPr>
              <w:pStyle w:val="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工程概况</w:t>
            </w:r>
          </w:p>
          <w:p w14:paraId="1FE5A6BB">
            <w:pPr>
              <w:pStyle w:val="4"/>
              <w:suppressLineNumbers w:val="0"/>
              <w:bidi w:val="0"/>
              <w:spacing w:before="0" w:beforeAutospacing="0" w:after="0" w:afterAutospacing="0"/>
              <w:ind w:left="0" w:right="0"/>
              <w:rPr>
                <w:rFonts w:hint="eastAsia"/>
                <w:lang w:val="en-US" w:eastAsia="zh-CN"/>
              </w:rPr>
            </w:pPr>
            <w:r>
              <w:rPr>
                <w:rFonts w:hint="eastAsia"/>
                <w:lang w:val="en-US" w:eastAsia="zh-CN"/>
              </w:rPr>
              <w:t>项目基本情况</w:t>
            </w:r>
          </w:p>
          <w:p w14:paraId="72BAF634">
            <w:pPr>
              <w:keepNext w:val="0"/>
              <w:keepLines w:val="0"/>
              <w:suppressLineNumbers w:val="0"/>
              <w:bidi w:val="0"/>
              <w:spacing w:before="0" w:beforeAutospacing="0" w:after="0" w:afterAutospacing="0"/>
              <w:ind w:left="0" w:right="0"/>
              <w:rPr>
                <w:rFonts w:hint="eastAsia"/>
                <w:highlight w:val="none"/>
                <w:shd w:val="clear"/>
                <w:lang w:eastAsia="zh-CN"/>
              </w:rPr>
            </w:pPr>
            <w:r>
              <w:rPr>
                <w:rFonts w:hint="eastAsia"/>
                <w:lang w:eastAsia="zh-CN"/>
              </w:rPr>
              <w:t>（</w:t>
            </w:r>
            <w:r>
              <w:rPr>
                <w:rFonts w:hint="eastAsia"/>
                <w:lang w:val="en-US" w:eastAsia="zh-CN"/>
              </w:rPr>
              <w:t>1</w:t>
            </w:r>
            <w:r>
              <w:rPr>
                <w:rFonts w:hint="eastAsia"/>
                <w:lang w:eastAsia="zh-CN"/>
              </w:rPr>
              <w:t>）</w:t>
            </w:r>
            <w:r>
              <w:rPr>
                <w:rFonts w:hint="eastAsia"/>
              </w:rPr>
              <w:t>项目名称</w:t>
            </w:r>
            <w:r>
              <w:rPr>
                <w:rFonts w:hint="eastAsia"/>
                <w:highlight w:val="none"/>
                <w:shd w:val="clear"/>
              </w:rPr>
              <w:t>：</w:t>
            </w:r>
            <w:r>
              <w:rPr>
                <w:rFonts w:hint="eastAsia"/>
                <w:highlight w:val="none"/>
                <w:shd w:val="clear"/>
                <w:lang w:eastAsia="zh-CN"/>
              </w:rPr>
              <w:t>福清市三合电子科技有限公司年新增塑胶件25万套、钣金件5万套项目</w:t>
            </w:r>
          </w:p>
          <w:p w14:paraId="08EBFDB5">
            <w:pPr>
              <w:keepNext w:val="0"/>
              <w:keepLines w:val="0"/>
              <w:suppressLineNumbers w:val="0"/>
              <w:bidi w:val="0"/>
              <w:spacing w:before="0" w:beforeAutospacing="0" w:after="0" w:afterAutospacing="0"/>
              <w:ind w:left="0" w:right="0"/>
              <w:rPr>
                <w:rFonts w:hint="eastAsia"/>
              </w:rPr>
            </w:pPr>
            <w:r>
              <w:rPr>
                <w:rFonts w:hint="eastAsia"/>
              </w:rPr>
              <w:t>（2）建设单位：</w:t>
            </w:r>
            <w:r>
              <w:rPr>
                <w:rFonts w:hint="eastAsia"/>
                <w:lang w:eastAsia="zh-CN"/>
              </w:rPr>
              <w:t>福清市三合电子科技有限公司</w:t>
            </w:r>
          </w:p>
          <w:p w14:paraId="0623E9FF">
            <w:pPr>
              <w:keepNext w:val="0"/>
              <w:keepLines w:val="0"/>
              <w:suppressLineNumbers w:val="0"/>
              <w:bidi w:val="0"/>
              <w:spacing w:before="0" w:beforeAutospacing="0" w:after="0" w:afterAutospacing="0"/>
              <w:ind w:left="0" w:right="0"/>
              <w:rPr>
                <w:rFonts w:hint="eastAsia"/>
                <w:lang w:eastAsia="zh-CN"/>
              </w:rPr>
            </w:pPr>
            <w:r>
              <w:rPr>
                <w:rFonts w:hint="eastAsia"/>
              </w:rPr>
              <w:t>（3）建设地点：</w:t>
            </w:r>
            <w:r>
              <w:rPr>
                <w:rFonts w:hint="eastAsia"/>
                <w:lang w:eastAsia="zh-CN"/>
              </w:rPr>
              <w:t>福建省福州市福清市阳下街道玉岭村147号车间2三楼</w:t>
            </w:r>
          </w:p>
          <w:p w14:paraId="20EDA8CA">
            <w:pPr>
              <w:keepNext w:val="0"/>
              <w:keepLines w:val="0"/>
              <w:suppressLineNumbers w:val="0"/>
              <w:bidi w:val="0"/>
              <w:spacing w:before="0" w:beforeAutospacing="0" w:after="0" w:afterAutospacing="0"/>
              <w:ind w:left="0" w:right="0"/>
              <w:rPr>
                <w:rFonts w:hint="eastAsia" w:eastAsia="宋体"/>
                <w:lang w:val="en-US" w:eastAsia="zh-CN"/>
              </w:rPr>
            </w:pPr>
            <w:r>
              <w:rPr>
                <w:rFonts w:hint="eastAsia"/>
              </w:rPr>
              <w:t>（4）建设性质：</w:t>
            </w:r>
            <w:r>
              <w:rPr>
                <w:rFonts w:hint="eastAsia"/>
                <w:lang w:val="en-US" w:eastAsia="zh-CN"/>
              </w:rPr>
              <w:t>迁扩建</w:t>
            </w:r>
          </w:p>
          <w:p w14:paraId="1753CC75">
            <w:pPr>
              <w:keepNext w:val="0"/>
              <w:keepLines w:val="0"/>
              <w:suppressLineNumbers w:val="0"/>
              <w:bidi w:val="0"/>
              <w:spacing w:before="0" w:beforeAutospacing="0" w:after="0" w:afterAutospacing="0"/>
              <w:ind w:left="0" w:right="0"/>
              <w:rPr>
                <w:rFonts w:hint="eastAsia"/>
              </w:rPr>
            </w:pPr>
            <w:r>
              <w:rPr>
                <w:rFonts w:hint="eastAsia"/>
              </w:rPr>
              <w:t>（5）总 投 资：</w:t>
            </w:r>
            <w:r>
              <w:rPr>
                <w:rFonts w:hint="eastAsia"/>
                <w:lang w:val="en-US" w:eastAsia="zh-CN"/>
              </w:rPr>
              <w:t>120</w:t>
            </w:r>
            <w:r>
              <w:rPr>
                <w:rFonts w:hint="eastAsia"/>
              </w:rPr>
              <w:t>万元</w:t>
            </w:r>
          </w:p>
          <w:p w14:paraId="661B4DAE">
            <w:pPr>
              <w:keepNext w:val="0"/>
              <w:keepLines w:val="0"/>
              <w:suppressLineNumbers w:val="0"/>
              <w:bidi w:val="0"/>
              <w:spacing w:before="0" w:beforeAutospacing="0" w:after="0" w:afterAutospacing="0"/>
              <w:ind w:left="0" w:right="0"/>
              <w:rPr>
                <w:rFonts w:hint="eastAsia"/>
              </w:rPr>
            </w:pPr>
            <w:r>
              <w:rPr>
                <w:rFonts w:hint="eastAsia"/>
              </w:rPr>
              <w:t>（6）工程规模：主要建筑面积</w:t>
            </w:r>
            <w:r>
              <w:rPr>
                <w:rFonts w:hint="eastAsia"/>
                <w:lang w:val="en-US" w:eastAsia="zh-CN"/>
              </w:rPr>
              <w:t>2212.46</w:t>
            </w:r>
            <w:r>
              <w:rPr>
                <w:rFonts w:hint="eastAsia"/>
              </w:rPr>
              <w:t>m</w:t>
            </w:r>
            <w:r>
              <w:rPr>
                <w:rFonts w:hint="eastAsia"/>
                <w:vertAlign w:val="superscript"/>
              </w:rPr>
              <w:t>2</w:t>
            </w:r>
          </w:p>
          <w:p w14:paraId="36D6708B">
            <w:pPr>
              <w:keepNext w:val="0"/>
              <w:keepLines w:val="0"/>
              <w:suppressLineNumbers w:val="0"/>
              <w:bidi w:val="0"/>
              <w:spacing w:before="0" w:beforeAutospacing="0" w:after="0" w:afterAutospacing="0"/>
              <w:ind w:left="0" w:right="0"/>
              <w:rPr>
                <w:rFonts w:hint="default"/>
                <w:lang w:val="en-US" w:eastAsia="zh-CN"/>
              </w:rPr>
            </w:pPr>
            <w:r>
              <w:rPr>
                <w:rFonts w:hint="eastAsia"/>
              </w:rPr>
              <w:t>（7）生产规模：</w:t>
            </w:r>
            <w:r>
              <w:rPr>
                <w:rFonts w:hint="eastAsia"/>
                <w:lang w:val="en-US" w:eastAsia="zh-CN"/>
              </w:rPr>
              <w:t>现有生产规模</w:t>
            </w:r>
            <w:r>
              <w:rPr>
                <w:rFonts w:hint="eastAsia"/>
                <w:lang w:val="zh-CN"/>
              </w:rPr>
              <w:t>年加工铝合金20万套、塑胶件</w:t>
            </w:r>
            <w:r>
              <w:rPr>
                <w:rFonts w:hint="eastAsia"/>
                <w:lang w:val="en-US" w:eastAsia="zh-CN"/>
              </w:rPr>
              <w:t>5</w:t>
            </w:r>
            <w:r>
              <w:rPr>
                <w:rFonts w:hint="eastAsia"/>
                <w:lang w:val="zh-CN"/>
              </w:rPr>
              <w:t>万套、</w:t>
            </w:r>
            <w:r>
              <w:rPr>
                <w:rFonts w:hint="eastAsia"/>
                <w:lang w:val="en-US" w:eastAsia="zh-CN"/>
              </w:rPr>
              <w:t>钣</w:t>
            </w:r>
            <w:r>
              <w:rPr>
                <w:rFonts w:hint="eastAsia"/>
                <w:lang w:val="zh-CN"/>
              </w:rPr>
              <w:t>金件</w:t>
            </w:r>
            <w:r>
              <w:rPr>
                <w:rFonts w:hint="eastAsia"/>
                <w:lang w:val="en-US" w:eastAsia="zh-CN"/>
              </w:rPr>
              <w:t>5</w:t>
            </w:r>
            <w:r>
              <w:rPr>
                <w:rFonts w:hint="eastAsia"/>
                <w:lang w:val="zh-CN"/>
              </w:rPr>
              <w:t>万套</w:t>
            </w:r>
            <w:r>
              <w:rPr>
                <w:rFonts w:hint="eastAsia"/>
                <w:lang w:val="en-US" w:eastAsia="zh-CN"/>
              </w:rPr>
              <w:t>，新增</w:t>
            </w:r>
            <w:r>
              <w:rPr>
                <w:rFonts w:hint="eastAsia"/>
                <w:highlight w:val="none"/>
                <w:shd w:val="clear"/>
                <w:lang w:eastAsia="zh-CN"/>
              </w:rPr>
              <w:t>塑胶件25万套、钣金件5万套，</w:t>
            </w:r>
            <w:r>
              <w:rPr>
                <w:rFonts w:hint="eastAsia"/>
                <w:highlight w:val="none"/>
                <w:shd w:val="clear"/>
                <w:lang w:val="en-US" w:eastAsia="zh-CN"/>
              </w:rPr>
              <w:t>建成后全厂的总生产规模</w:t>
            </w:r>
            <w:r>
              <w:rPr>
                <w:rFonts w:hint="eastAsia"/>
                <w:lang w:val="zh-CN"/>
              </w:rPr>
              <w:t>年加工铝合金20万套、塑胶件</w:t>
            </w:r>
            <w:r>
              <w:rPr>
                <w:rFonts w:hint="eastAsia"/>
                <w:lang w:val="en-US" w:eastAsia="zh-CN"/>
              </w:rPr>
              <w:t>30</w:t>
            </w:r>
            <w:r>
              <w:rPr>
                <w:rFonts w:hint="eastAsia"/>
                <w:lang w:val="zh-CN"/>
              </w:rPr>
              <w:t>万套、</w:t>
            </w:r>
            <w:r>
              <w:rPr>
                <w:rFonts w:hint="eastAsia"/>
                <w:lang w:val="en-US" w:eastAsia="zh-CN"/>
              </w:rPr>
              <w:t>钣</w:t>
            </w:r>
            <w:r>
              <w:rPr>
                <w:rFonts w:hint="eastAsia"/>
                <w:lang w:val="zh-CN"/>
              </w:rPr>
              <w:t>金件</w:t>
            </w:r>
            <w:r>
              <w:rPr>
                <w:rFonts w:hint="eastAsia"/>
                <w:lang w:val="en-US" w:eastAsia="zh-CN"/>
              </w:rPr>
              <w:t>10</w:t>
            </w:r>
            <w:r>
              <w:rPr>
                <w:rFonts w:hint="eastAsia"/>
                <w:lang w:val="zh-CN"/>
              </w:rPr>
              <w:t>万套</w:t>
            </w:r>
            <w:r>
              <w:rPr>
                <w:rFonts w:hint="eastAsia"/>
                <w:lang w:val="en-US" w:eastAsia="zh-CN"/>
              </w:rPr>
              <w:t>。</w:t>
            </w:r>
          </w:p>
          <w:p w14:paraId="3D8AAE4C">
            <w:pPr>
              <w:keepNext w:val="0"/>
              <w:keepLines w:val="0"/>
              <w:suppressLineNumbers w:val="0"/>
              <w:bidi w:val="0"/>
              <w:spacing w:before="0" w:beforeAutospacing="0" w:after="0" w:afterAutospacing="0"/>
              <w:ind w:left="0" w:right="0"/>
              <w:rPr>
                <w:rFonts w:hint="eastAsia"/>
              </w:rPr>
            </w:pPr>
            <w:r>
              <w:rPr>
                <w:rFonts w:hint="eastAsia"/>
              </w:rPr>
              <w:t>（8）生产定员：员工</w:t>
            </w:r>
            <w:r>
              <w:rPr>
                <w:rFonts w:hint="eastAsia"/>
                <w:lang w:val="en-US" w:eastAsia="zh-CN"/>
              </w:rPr>
              <w:t>13</w:t>
            </w:r>
            <w:r>
              <w:rPr>
                <w:rFonts w:hint="eastAsia"/>
              </w:rPr>
              <w:t>人（均</w:t>
            </w:r>
            <w:r>
              <w:rPr>
                <w:rFonts w:hint="eastAsia"/>
                <w:lang w:eastAsia="zh-CN"/>
              </w:rPr>
              <w:t>不</w:t>
            </w:r>
            <w:r>
              <w:rPr>
                <w:rFonts w:hint="eastAsia"/>
              </w:rPr>
              <w:t>住厂）</w:t>
            </w:r>
          </w:p>
          <w:p w14:paraId="5EB67917">
            <w:pPr>
              <w:keepNext w:val="0"/>
              <w:keepLines w:val="0"/>
              <w:suppressLineNumbers w:val="0"/>
              <w:bidi w:val="0"/>
              <w:spacing w:before="0" w:beforeAutospacing="0" w:after="0" w:afterAutospacing="0"/>
              <w:ind w:left="0" w:right="0"/>
              <w:rPr>
                <w:rFonts w:hint="eastAsia"/>
              </w:rPr>
            </w:pPr>
            <w:r>
              <w:rPr>
                <w:rFonts w:hint="eastAsia"/>
              </w:rPr>
              <w:t>（9）工作制度：</w:t>
            </w:r>
            <w:r>
              <w:rPr>
                <w:rFonts w:hint="default"/>
              </w:rPr>
              <w:t>年工作日</w:t>
            </w:r>
            <w:r>
              <w:rPr>
                <w:rFonts w:hint="default"/>
                <w:lang w:val="en-US" w:eastAsia="zh-CN"/>
              </w:rPr>
              <w:t>3</w:t>
            </w:r>
            <w:r>
              <w:rPr>
                <w:rFonts w:hint="eastAsia"/>
                <w:lang w:val="en-US" w:eastAsia="zh-CN"/>
              </w:rPr>
              <w:t>0</w:t>
            </w:r>
            <w:r>
              <w:rPr>
                <w:rFonts w:hint="default"/>
                <w:lang w:val="en-US" w:eastAsia="zh-CN"/>
              </w:rPr>
              <w:t>0</w:t>
            </w:r>
            <w:r>
              <w:rPr>
                <w:rFonts w:hint="default"/>
              </w:rPr>
              <w:t>天，实行</w:t>
            </w:r>
            <w:r>
              <w:rPr>
                <w:rFonts w:hint="eastAsia"/>
                <w:lang w:val="en-US" w:eastAsia="zh-CN"/>
              </w:rPr>
              <w:t>两</w:t>
            </w:r>
            <w:r>
              <w:rPr>
                <w:rFonts w:hint="default"/>
              </w:rPr>
              <w:t>班制，工作时间</w:t>
            </w:r>
            <w:r>
              <w:rPr>
                <w:rFonts w:hint="eastAsia"/>
                <w:lang w:val="en-US" w:eastAsia="zh-CN"/>
              </w:rPr>
              <w:t>12</w:t>
            </w:r>
            <w:r>
              <w:rPr>
                <w:rFonts w:hint="default"/>
              </w:rPr>
              <w:t>小时</w:t>
            </w:r>
            <w:r>
              <w:rPr>
                <w:rFonts w:hint="eastAsia"/>
                <w:lang w:val="en-US" w:eastAsia="zh-CN"/>
              </w:rPr>
              <w:t>/天。</w:t>
            </w:r>
          </w:p>
          <w:p w14:paraId="14E40D2E">
            <w:pPr>
              <w:pStyle w:val="4"/>
              <w:suppressLineNumbers w:val="0"/>
              <w:bidi w:val="0"/>
              <w:spacing w:before="0" w:beforeAutospacing="0" w:after="0" w:afterAutospacing="0"/>
              <w:ind w:left="0" w:right="0"/>
              <w:rPr>
                <w:rFonts w:hint="default"/>
              </w:rPr>
            </w:pPr>
            <w:r>
              <w:rPr>
                <w:rFonts w:hint="default"/>
              </w:rPr>
              <w:t>工程主要建设内容</w:t>
            </w:r>
          </w:p>
          <w:p w14:paraId="1289B590">
            <w:pPr>
              <w:keepNext w:val="0"/>
              <w:keepLines w:val="0"/>
              <w:suppressLineNumbers w:val="0"/>
              <w:shd w:val="clear"/>
              <w:spacing w:before="0" w:beforeAutospacing="0" w:after="0" w:afterAutospacing="0"/>
              <w:ind w:left="0" w:right="0" w:firstLine="480"/>
              <w:rPr>
                <w:rFonts w:hint="eastAsia"/>
                <w:color w:val="auto"/>
                <w:highlight w:val="none"/>
              </w:rPr>
            </w:pPr>
            <w:r>
              <w:rPr>
                <w:rFonts w:hint="eastAsia"/>
                <w:color w:val="auto"/>
              </w:rPr>
              <w:t>工程</w:t>
            </w:r>
            <w:r>
              <w:rPr>
                <w:rFonts w:hint="eastAsia"/>
                <w:color w:val="auto"/>
                <w:highlight w:val="none"/>
              </w:rPr>
              <w:t>主要建设内容见表2.</w:t>
            </w:r>
            <w:r>
              <w:rPr>
                <w:rFonts w:hint="eastAsia"/>
                <w:color w:val="auto"/>
                <w:highlight w:val="none"/>
                <w:lang w:val="en-US" w:eastAsia="zh-CN"/>
              </w:rPr>
              <w:t>3</w:t>
            </w:r>
            <w:r>
              <w:rPr>
                <w:rFonts w:hint="eastAsia"/>
                <w:color w:val="auto"/>
                <w:highlight w:val="none"/>
              </w:rPr>
              <w:t>-1。</w:t>
            </w:r>
          </w:p>
          <w:p w14:paraId="190E0F19">
            <w:pPr>
              <w:pStyle w:val="39"/>
              <w:keepNext w:val="0"/>
              <w:keepLines w:val="0"/>
              <w:suppressLineNumbers w:val="0"/>
              <w:shd w:val="clear"/>
              <w:bidi w:val="0"/>
              <w:spacing w:before="0" w:beforeAutospacing="0" w:after="0" w:afterAutospacing="0"/>
              <w:ind w:left="0" w:right="0"/>
              <w:rPr>
                <w:rFonts w:hint="default"/>
                <w:highlight w:val="none"/>
                <w:lang w:eastAsia="zh-CN"/>
              </w:rPr>
            </w:pPr>
            <w:r>
              <w:rPr>
                <w:rFonts w:hint="default"/>
                <w:highlight w:val="none"/>
                <w:lang w:eastAsia="zh-CN"/>
              </w:rPr>
              <w:t>表2.</w:t>
            </w:r>
            <w:r>
              <w:rPr>
                <w:rFonts w:hint="eastAsia"/>
                <w:highlight w:val="none"/>
                <w:lang w:val="en-US" w:eastAsia="zh-CN"/>
              </w:rPr>
              <w:t>3</w:t>
            </w:r>
            <w:r>
              <w:rPr>
                <w:rFonts w:hint="default"/>
                <w:highlight w:val="none"/>
                <w:lang w:eastAsia="zh-CN"/>
              </w:rPr>
              <w:t>-1 工程主要建设内容一览表</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361"/>
              <w:gridCol w:w="361"/>
              <w:gridCol w:w="424"/>
              <w:gridCol w:w="2684"/>
              <w:gridCol w:w="3527"/>
              <w:gridCol w:w="1012"/>
            </w:tblGrid>
            <w:tr w14:paraId="7A004E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0" w:type="auto"/>
                  <w:gridSpan w:val="3"/>
                  <w:tcBorders>
                    <w:left w:val="nil"/>
                  </w:tcBorders>
                  <w:noWrap w:val="0"/>
                  <w:vAlign w:val="center"/>
                </w:tcPr>
                <w:p w14:paraId="747730E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项目名称</w:t>
                  </w:r>
                </w:p>
              </w:tc>
              <w:tc>
                <w:tcPr>
                  <w:tcW w:w="0" w:type="auto"/>
                  <w:tcBorders>
                    <w:right w:val="nil"/>
                  </w:tcBorders>
                  <w:noWrap w:val="0"/>
                  <w:vAlign w:val="center"/>
                </w:tcPr>
                <w:p w14:paraId="31F1CA52">
                  <w:pPr>
                    <w:pStyle w:val="38"/>
                    <w:keepNext w:val="0"/>
                    <w:keepLines w:val="0"/>
                    <w:widowControl/>
                    <w:suppressLineNumbers w:val="0"/>
                    <w:bidi w:val="0"/>
                    <w:spacing w:before="0" w:beforeAutospacing="0" w:after="0" w:afterAutospacing="0"/>
                    <w:ind w:left="0" w:right="0"/>
                    <w:rPr>
                      <w:rFonts w:hint="default" w:eastAsia="宋体"/>
                      <w:szCs w:val="22"/>
                      <w:lang w:val="en-US" w:eastAsia="zh-CN"/>
                    </w:rPr>
                  </w:pPr>
                  <w:r>
                    <w:rPr>
                      <w:rFonts w:hint="eastAsia"/>
                      <w:szCs w:val="22"/>
                      <w:lang w:val="en-US" w:eastAsia="zh-CN"/>
                    </w:rPr>
                    <w:t>现有项目主要建设内容</w:t>
                  </w:r>
                </w:p>
              </w:tc>
              <w:tc>
                <w:tcPr>
                  <w:tcW w:w="0" w:type="auto"/>
                  <w:tcBorders>
                    <w:right w:val="nil"/>
                  </w:tcBorders>
                  <w:noWrap w:val="0"/>
                  <w:vAlign w:val="center"/>
                </w:tcPr>
                <w:p w14:paraId="5852382A">
                  <w:pPr>
                    <w:pStyle w:val="38"/>
                    <w:keepNext w:val="0"/>
                    <w:keepLines w:val="0"/>
                    <w:widowControl/>
                    <w:suppressLineNumbers w:val="0"/>
                    <w:bidi w:val="0"/>
                    <w:spacing w:before="0" w:beforeAutospacing="0" w:after="0" w:afterAutospacing="0"/>
                    <w:ind w:left="0" w:right="0"/>
                    <w:rPr>
                      <w:rFonts w:hint="default" w:eastAsia="宋体"/>
                      <w:szCs w:val="22"/>
                      <w:lang w:val="en-US" w:eastAsia="zh-CN"/>
                    </w:rPr>
                  </w:pPr>
                  <w:r>
                    <w:rPr>
                      <w:rFonts w:hint="eastAsia"/>
                      <w:szCs w:val="22"/>
                      <w:lang w:val="en-US" w:eastAsia="zh-CN"/>
                    </w:rPr>
                    <w:t>迁扩建项目主要建设内容</w:t>
                  </w:r>
                </w:p>
              </w:tc>
              <w:tc>
                <w:tcPr>
                  <w:tcW w:w="0" w:type="auto"/>
                  <w:tcBorders>
                    <w:right w:val="nil"/>
                  </w:tcBorders>
                  <w:noWrap w:val="0"/>
                  <w:vAlign w:val="center"/>
                </w:tcPr>
                <w:p w14:paraId="316DD612">
                  <w:pPr>
                    <w:pStyle w:val="38"/>
                    <w:keepNext w:val="0"/>
                    <w:keepLines w:val="0"/>
                    <w:widowControl/>
                    <w:suppressLineNumbers w:val="0"/>
                    <w:bidi w:val="0"/>
                    <w:spacing w:before="0" w:beforeAutospacing="0" w:after="0" w:afterAutospacing="0"/>
                    <w:ind w:left="0" w:right="0"/>
                    <w:rPr>
                      <w:rFonts w:hint="eastAsia" w:eastAsia="宋体"/>
                      <w:szCs w:val="22"/>
                      <w:lang w:val="en-US" w:eastAsia="zh-CN"/>
                    </w:rPr>
                  </w:pPr>
                  <w:r>
                    <w:rPr>
                      <w:rFonts w:hint="eastAsia"/>
                      <w:szCs w:val="22"/>
                      <w:lang w:val="en-US" w:eastAsia="zh-CN"/>
                    </w:rPr>
                    <w:t>变化情况</w:t>
                  </w:r>
                </w:p>
              </w:tc>
            </w:tr>
            <w:tr w14:paraId="313702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0" w:type="auto"/>
                  <w:tcBorders>
                    <w:left w:val="nil"/>
                  </w:tcBorders>
                  <w:noWrap w:val="0"/>
                  <w:vAlign w:val="center"/>
                </w:tcPr>
                <w:p w14:paraId="62C4C23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主体工程</w:t>
                  </w:r>
                </w:p>
              </w:tc>
              <w:tc>
                <w:tcPr>
                  <w:tcW w:w="0" w:type="auto"/>
                  <w:gridSpan w:val="2"/>
                  <w:noWrap w:val="0"/>
                  <w:vAlign w:val="center"/>
                </w:tcPr>
                <w:p w14:paraId="3AF572BE">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生产区</w:t>
                  </w:r>
                </w:p>
              </w:tc>
              <w:tc>
                <w:tcPr>
                  <w:tcW w:w="0" w:type="auto"/>
                  <w:tcBorders>
                    <w:right w:val="nil"/>
                  </w:tcBorders>
                  <w:noWrap w:val="0"/>
                  <w:vAlign w:val="center"/>
                </w:tcPr>
                <w:p w14:paraId="3B101CE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主要包括投料区、收货区、检验区、打磨房、喷漆烘干房、加烤区</w:t>
                  </w:r>
                </w:p>
              </w:tc>
              <w:tc>
                <w:tcPr>
                  <w:tcW w:w="0" w:type="auto"/>
                  <w:tcBorders>
                    <w:right w:val="nil"/>
                  </w:tcBorders>
                  <w:noWrap w:val="0"/>
                  <w:vAlign w:val="center"/>
                </w:tcPr>
                <w:p w14:paraId="79D1E934">
                  <w:pPr>
                    <w:pStyle w:val="38"/>
                    <w:keepNext w:val="0"/>
                    <w:keepLines w:val="0"/>
                    <w:widowControl/>
                    <w:suppressLineNumbers w:val="0"/>
                    <w:bidi w:val="0"/>
                    <w:spacing w:before="0" w:beforeAutospacing="0" w:after="0" w:afterAutospacing="0"/>
                    <w:ind w:left="0" w:leftChars="0" w:right="0" w:rightChars="0"/>
                    <w:rPr>
                      <w:rFonts w:hint="eastAsia"/>
                      <w:szCs w:val="22"/>
                      <w:lang w:val="en-US" w:eastAsia="zh-CN"/>
                    </w:rPr>
                  </w:pPr>
                  <w:r>
                    <w:rPr>
                      <w:rFonts w:hint="eastAsia"/>
                      <w:szCs w:val="22"/>
                      <w:lang w:val="en-US" w:eastAsia="zh-CN"/>
                    </w:rPr>
                    <w:t>主要包括投料区、检验区、打磨房、喷漆烘干房、加烤区</w:t>
                  </w:r>
                </w:p>
              </w:tc>
              <w:tc>
                <w:tcPr>
                  <w:tcW w:w="0" w:type="auto"/>
                  <w:tcBorders>
                    <w:right w:val="nil"/>
                  </w:tcBorders>
                  <w:noWrap w:val="0"/>
                  <w:vAlign w:val="center"/>
                </w:tcPr>
                <w:p w14:paraId="474780D5">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新建</w:t>
                  </w:r>
                </w:p>
              </w:tc>
            </w:tr>
            <w:tr w14:paraId="3DAE3C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50" w:hRule="atLeast"/>
                <w:jc w:val="center"/>
              </w:trPr>
              <w:tc>
                <w:tcPr>
                  <w:tcW w:w="0" w:type="auto"/>
                  <w:vMerge w:val="restart"/>
                  <w:tcBorders>
                    <w:left w:val="nil"/>
                  </w:tcBorders>
                  <w:noWrap w:val="0"/>
                  <w:vAlign w:val="center"/>
                </w:tcPr>
                <w:p w14:paraId="18C3751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辅助工程</w:t>
                  </w:r>
                </w:p>
              </w:tc>
              <w:tc>
                <w:tcPr>
                  <w:tcW w:w="0" w:type="auto"/>
                  <w:gridSpan w:val="2"/>
                  <w:noWrap w:val="0"/>
                  <w:vAlign w:val="center"/>
                </w:tcPr>
                <w:p w14:paraId="459C276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原料区</w:t>
                  </w:r>
                </w:p>
              </w:tc>
              <w:tc>
                <w:tcPr>
                  <w:tcW w:w="0" w:type="auto"/>
                  <w:tcBorders>
                    <w:right w:val="nil"/>
                  </w:tcBorders>
                  <w:noWrap w:val="0"/>
                  <w:vAlign w:val="center"/>
                </w:tcPr>
                <w:p w14:paraId="0E163C3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eastAsia="zh-CN"/>
                    </w:rPr>
                    <w:t>位于厂房</w:t>
                  </w:r>
                  <w:r>
                    <w:rPr>
                      <w:rFonts w:hint="eastAsia"/>
                      <w:szCs w:val="22"/>
                      <w:lang w:val="en-US" w:eastAsia="zh-CN"/>
                    </w:rPr>
                    <w:t>西侧，用于原料堆放</w:t>
                  </w:r>
                </w:p>
              </w:tc>
              <w:tc>
                <w:tcPr>
                  <w:tcW w:w="0" w:type="auto"/>
                  <w:tcBorders>
                    <w:right w:val="nil"/>
                  </w:tcBorders>
                  <w:noWrap w:val="0"/>
                  <w:vAlign w:val="center"/>
                </w:tcPr>
                <w:p w14:paraId="483E7778">
                  <w:pPr>
                    <w:pStyle w:val="38"/>
                    <w:keepNext w:val="0"/>
                    <w:keepLines w:val="0"/>
                    <w:widowControl/>
                    <w:suppressLineNumbers w:val="0"/>
                    <w:bidi w:val="0"/>
                    <w:spacing w:before="0" w:beforeAutospacing="0" w:after="0" w:afterAutospacing="0"/>
                    <w:ind w:left="0" w:leftChars="0" w:right="0" w:rightChars="0"/>
                    <w:rPr>
                      <w:rFonts w:hint="eastAsia"/>
                      <w:szCs w:val="22"/>
                      <w:lang w:eastAsia="zh-CN"/>
                    </w:rPr>
                  </w:pPr>
                  <w:r>
                    <w:rPr>
                      <w:rFonts w:hint="eastAsia"/>
                      <w:szCs w:val="22"/>
                      <w:lang w:eastAsia="zh-CN"/>
                    </w:rPr>
                    <w:t>位于厂房</w:t>
                  </w:r>
                  <w:r>
                    <w:rPr>
                      <w:rFonts w:hint="eastAsia"/>
                      <w:szCs w:val="22"/>
                      <w:lang w:val="en-US" w:eastAsia="zh-CN"/>
                    </w:rPr>
                    <w:t>东南侧，用于原料堆放</w:t>
                  </w:r>
                </w:p>
              </w:tc>
              <w:tc>
                <w:tcPr>
                  <w:tcW w:w="0" w:type="auto"/>
                  <w:tcBorders>
                    <w:right w:val="nil"/>
                  </w:tcBorders>
                  <w:noWrap w:val="0"/>
                  <w:vAlign w:val="center"/>
                </w:tcPr>
                <w:p w14:paraId="3FCD7175">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val="en-US" w:eastAsia="zh-CN"/>
                    </w:rPr>
                    <w:t>新建</w:t>
                  </w:r>
                </w:p>
              </w:tc>
            </w:tr>
            <w:tr w14:paraId="37992E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1" w:hRule="atLeast"/>
                <w:jc w:val="center"/>
              </w:trPr>
              <w:tc>
                <w:tcPr>
                  <w:tcW w:w="0" w:type="auto"/>
                  <w:vMerge w:val="continue"/>
                  <w:tcBorders>
                    <w:left w:val="nil"/>
                  </w:tcBorders>
                  <w:noWrap w:val="0"/>
                  <w:vAlign w:val="center"/>
                </w:tcPr>
                <w:p w14:paraId="391A6502">
                  <w:pPr>
                    <w:pStyle w:val="38"/>
                    <w:keepNext w:val="0"/>
                    <w:keepLines w:val="0"/>
                    <w:widowControl/>
                    <w:suppressLineNumbers w:val="0"/>
                    <w:bidi w:val="0"/>
                    <w:spacing w:before="0" w:beforeAutospacing="0" w:after="0" w:afterAutospacing="0"/>
                    <w:ind w:left="0" w:right="0"/>
                    <w:rPr>
                      <w:rFonts w:hint="eastAsia"/>
                      <w:szCs w:val="22"/>
                    </w:rPr>
                  </w:pPr>
                </w:p>
              </w:tc>
              <w:tc>
                <w:tcPr>
                  <w:tcW w:w="0" w:type="auto"/>
                  <w:gridSpan w:val="2"/>
                  <w:noWrap w:val="0"/>
                  <w:vAlign w:val="center"/>
                </w:tcPr>
                <w:p w14:paraId="7AF404A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成品区</w:t>
                  </w:r>
                </w:p>
              </w:tc>
              <w:tc>
                <w:tcPr>
                  <w:tcW w:w="0" w:type="auto"/>
                  <w:tcBorders>
                    <w:right w:val="nil"/>
                  </w:tcBorders>
                  <w:noWrap w:val="0"/>
                  <w:vAlign w:val="center"/>
                </w:tcPr>
                <w:p w14:paraId="12B4D108">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eastAsia="zh-CN"/>
                    </w:rPr>
                    <w:t>位于厂房</w:t>
                  </w:r>
                  <w:r>
                    <w:rPr>
                      <w:rFonts w:hint="eastAsia"/>
                      <w:szCs w:val="22"/>
                      <w:lang w:val="en-US" w:eastAsia="zh-CN"/>
                    </w:rPr>
                    <w:t>西侧，用于成品临时贮存</w:t>
                  </w:r>
                </w:p>
              </w:tc>
              <w:tc>
                <w:tcPr>
                  <w:tcW w:w="0" w:type="auto"/>
                  <w:tcBorders>
                    <w:right w:val="nil"/>
                  </w:tcBorders>
                  <w:noWrap w:val="0"/>
                  <w:vAlign w:val="center"/>
                </w:tcPr>
                <w:p w14:paraId="66061421">
                  <w:pPr>
                    <w:pStyle w:val="38"/>
                    <w:keepNext w:val="0"/>
                    <w:keepLines w:val="0"/>
                    <w:widowControl/>
                    <w:suppressLineNumbers w:val="0"/>
                    <w:bidi w:val="0"/>
                    <w:spacing w:before="0" w:beforeAutospacing="0" w:after="0" w:afterAutospacing="0"/>
                    <w:ind w:left="0" w:leftChars="0" w:right="0" w:rightChars="0"/>
                    <w:rPr>
                      <w:rFonts w:hint="eastAsia"/>
                      <w:szCs w:val="22"/>
                      <w:lang w:eastAsia="zh-CN"/>
                    </w:rPr>
                  </w:pPr>
                  <w:r>
                    <w:rPr>
                      <w:rFonts w:hint="eastAsia"/>
                      <w:szCs w:val="22"/>
                      <w:lang w:eastAsia="zh-CN"/>
                    </w:rPr>
                    <w:t>位于厂房</w:t>
                  </w:r>
                  <w:r>
                    <w:rPr>
                      <w:rFonts w:hint="eastAsia"/>
                      <w:szCs w:val="22"/>
                      <w:lang w:val="en-US" w:eastAsia="zh-CN"/>
                    </w:rPr>
                    <w:t>东北侧，用于成品临时贮存</w:t>
                  </w:r>
                </w:p>
              </w:tc>
              <w:tc>
                <w:tcPr>
                  <w:tcW w:w="0" w:type="auto"/>
                  <w:tcBorders>
                    <w:right w:val="nil"/>
                  </w:tcBorders>
                  <w:noWrap w:val="0"/>
                  <w:vAlign w:val="center"/>
                </w:tcPr>
                <w:p w14:paraId="3D5281C3">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val="en-US" w:eastAsia="zh-CN"/>
                    </w:rPr>
                    <w:t>新建</w:t>
                  </w:r>
                </w:p>
              </w:tc>
            </w:tr>
            <w:tr w14:paraId="682B86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8" w:hRule="atLeast"/>
                <w:jc w:val="center"/>
              </w:trPr>
              <w:tc>
                <w:tcPr>
                  <w:tcW w:w="0" w:type="auto"/>
                  <w:vMerge w:val="restart"/>
                  <w:tcBorders>
                    <w:left w:val="nil"/>
                  </w:tcBorders>
                  <w:noWrap w:val="0"/>
                  <w:vAlign w:val="center"/>
                </w:tcPr>
                <w:p w14:paraId="597E82E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公用工程</w:t>
                  </w:r>
                </w:p>
              </w:tc>
              <w:tc>
                <w:tcPr>
                  <w:tcW w:w="0" w:type="auto"/>
                  <w:gridSpan w:val="2"/>
                  <w:noWrap w:val="0"/>
                  <w:vAlign w:val="center"/>
                </w:tcPr>
                <w:p w14:paraId="0DD49C5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供电系统</w:t>
                  </w:r>
                </w:p>
              </w:tc>
              <w:tc>
                <w:tcPr>
                  <w:tcW w:w="0" w:type="auto"/>
                  <w:tcBorders>
                    <w:right w:val="nil"/>
                  </w:tcBorders>
                  <w:noWrap w:val="0"/>
                  <w:vAlign w:val="center"/>
                </w:tcPr>
                <w:p w14:paraId="6E165AB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接市政供电系统，依托东光精密钟表</w:t>
                  </w:r>
                  <w:r>
                    <w:rPr>
                      <w:rFonts w:hint="eastAsia"/>
                      <w:szCs w:val="22"/>
                      <w:lang w:eastAsia="zh-CN"/>
                    </w:rPr>
                    <w:t>（</w:t>
                  </w:r>
                  <w:r>
                    <w:rPr>
                      <w:rFonts w:hint="eastAsia"/>
                      <w:szCs w:val="22"/>
                    </w:rPr>
                    <w:t>福清</w:t>
                  </w:r>
                  <w:r>
                    <w:rPr>
                      <w:rFonts w:hint="eastAsia"/>
                      <w:szCs w:val="22"/>
                      <w:lang w:eastAsia="zh-CN"/>
                    </w:rPr>
                    <w:t>）</w:t>
                  </w:r>
                  <w:r>
                    <w:rPr>
                      <w:rFonts w:hint="eastAsia"/>
                      <w:szCs w:val="22"/>
                    </w:rPr>
                    <w:t>有限公司厂区供电</w:t>
                  </w:r>
                </w:p>
              </w:tc>
              <w:tc>
                <w:tcPr>
                  <w:tcW w:w="0" w:type="auto"/>
                  <w:tcBorders>
                    <w:right w:val="nil"/>
                  </w:tcBorders>
                  <w:noWrap w:val="0"/>
                  <w:vAlign w:val="center"/>
                </w:tcPr>
                <w:p w14:paraId="308C133D">
                  <w:pPr>
                    <w:pStyle w:val="38"/>
                    <w:keepNext w:val="0"/>
                    <w:keepLines w:val="0"/>
                    <w:widowControl/>
                    <w:suppressLineNumbers w:val="0"/>
                    <w:bidi w:val="0"/>
                    <w:spacing w:before="0" w:beforeAutospacing="0" w:after="0" w:afterAutospacing="0"/>
                    <w:ind w:left="0" w:leftChars="0" w:right="0" w:rightChars="0"/>
                    <w:rPr>
                      <w:rFonts w:hint="eastAsia"/>
                      <w:szCs w:val="22"/>
                    </w:rPr>
                  </w:pPr>
                  <w:r>
                    <w:rPr>
                      <w:rFonts w:hint="eastAsia"/>
                      <w:szCs w:val="22"/>
                    </w:rPr>
                    <w:t>接市政供电系统，依托</w:t>
                  </w:r>
                  <w:r>
                    <w:rPr>
                      <w:rFonts w:hint="eastAsia"/>
                      <w:szCs w:val="22"/>
                      <w:lang w:eastAsia="zh-CN"/>
                    </w:rPr>
                    <w:t>福清洪添科技有限公司</w:t>
                  </w:r>
                  <w:r>
                    <w:rPr>
                      <w:rFonts w:hint="eastAsia"/>
                      <w:szCs w:val="22"/>
                    </w:rPr>
                    <w:t>厂区供电</w:t>
                  </w:r>
                </w:p>
              </w:tc>
              <w:tc>
                <w:tcPr>
                  <w:tcW w:w="0" w:type="auto"/>
                  <w:tcBorders>
                    <w:right w:val="nil"/>
                  </w:tcBorders>
                  <w:noWrap w:val="0"/>
                  <w:vAlign w:val="center"/>
                </w:tcPr>
                <w:p w14:paraId="42510FF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新建</w:t>
                  </w:r>
                </w:p>
              </w:tc>
            </w:tr>
            <w:tr w14:paraId="64C450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8" w:hRule="atLeast"/>
                <w:jc w:val="center"/>
              </w:trPr>
              <w:tc>
                <w:tcPr>
                  <w:tcW w:w="0" w:type="auto"/>
                  <w:vMerge w:val="continue"/>
                  <w:tcBorders>
                    <w:left w:val="nil"/>
                  </w:tcBorders>
                  <w:noWrap w:val="0"/>
                  <w:vAlign w:val="center"/>
                </w:tcPr>
                <w:p w14:paraId="226C45C7">
                  <w:pPr>
                    <w:pStyle w:val="38"/>
                    <w:keepNext w:val="0"/>
                    <w:keepLines w:val="0"/>
                    <w:widowControl/>
                    <w:suppressLineNumbers w:val="0"/>
                    <w:bidi w:val="0"/>
                    <w:spacing w:before="0" w:beforeAutospacing="0" w:after="0" w:afterAutospacing="0"/>
                    <w:ind w:left="0" w:right="0"/>
                    <w:rPr>
                      <w:rFonts w:hint="eastAsia"/>
                      <w:szCs w:val="22"/>
                    </w:rPr>
                  </w:pPr>
                </w:p>
              </w:tc>
              <w:tc>
                <w:tcPr>
                  <w:tcW w:w="0" w:type="auto"/>
                  <w:gridSpan w:val="2"/>
                  <w:noWrap w:val="0"/>
                  <w:vAlign w:val="center"/>
                </w:tcPr>
                <w:p w14:paraId="0683284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给水系统</w:t>
                  </w:r>
                </w:p>
              </w:tc>
              <w:tc>
                <w:tcPr>
                  <w:tcW w:w="0" w:type="auto"/>
                  <w:tcBorders>
                    <w:right w:val="nil"/>
                  </w:tcBorders>
                  <w:noWrap w:val="0"/>
                  <w:vAlign w:val="center"/>
                </w:tcPr>
                <w:p w14:paraId="475C031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接市政供水管网，依托东光精密钟表</w:t>
                  </w:r>
                  <w:r>
                    <w:rPr>
                      <w:rFonts w:hint="eastAsia"/>
                      <w:szCs w:val="22"/>
                      <w:lang w:eastAsia="zh-CN"/>
                    </w:rPr>
                    <w:t>（</w:t>
                  </w:r>
                  <w:r>
                    <w:rPr>
                      <w:rFonts w:hint="eastAsia"/>
                      <w:szCs w:val="22"/>
                    </w:rPr>
                    <w:t>福清</w:t>
                  </w:r>
                  <w:r>
                    <w:rPr>
                      <w:rFonts w:hint="eastAsia"/>
                      <w:szCs w:val="22"/>
                      <w:lang w:eastAsia="zh-CN"/>
                    </w:rPr>
                    <w:t>）</w:t>
                  </w:r>
                  <w:r>
                    <w:rPr>
                      <w:rFonts w:hint="eastAsia"/>
                      <w:szCs w:val="22"/>
                    </w:rPr>
                    <w:t>有限公司厂区供水</w:t>
                  </w:r>
                </w:p>
              </w:tc>
              <w:tc>
                <w:tcPr>
                  <w:tcW w:w="0" w:type="auto"/>
                  <w:tcBorders>
                    <w:right w:val="nil"/>
                  </w:tcBorders>
                  <w:noWrap w:val="0"/>
                  <w:vAlign w:val="center"/>
                </w:tcPr>
                <w:p w14:paraId="59896A44">
                  <w:pPr>
                    <w:pStyle w:val="38"/>
                    <w:keepNext w:val="0"/>
                    <w:keepLines w:val="0"/>
                    <w:widowControl/>
                    <w:suppressLineNumbers w:val="0"/>
                    <w:bidi w:val="0"/>
                    <w:spacing w:before="0" w:beforeAutospacing="0" w:after="0" w:afterAutospacing="0"/>
                    <w:ind w:left="0" w:leftChars="0" w:right="0" w:rightChars="0"/>
                    <w:rPr>
                      <w:rFonts w:hint="eastAsia"/>
                      <w:szCs w:val="22"/>
                    </w:rPr>
                  </w:pPr>
                  <w:r>
                    <w:rPr>
                      <w:rFonts w:hint="eastAsia"/>
                      <w:szCs w:val="22"/>
                    </w:rPr>
                    <w:t>接市政供水管网，依托</w:t>
                  </w:r>
                  <w:r>
                    <w:rPr>
                      <w:rFonts w:hint="eastAsia"/>
                      <w:szCs w:val="22"/>
                      <w:lang w:eastAsia="zh-CN"/>
                    </w:rPr>
                    <w:t>福清洪添科技有限公司</w:t>
                  </w:r>
                  <w:r>
                    <w:rPr>
                      <w:rFonts w:hint="eastAsia"/>
                      <w:szCs w:val="22"/>
                    </w:rPr>
                    <w:t>厂区供水</w:t>
                  </w:r>
                </w:p>
              </w:tc>
              <w:tc>
                <w:tcPr>
                  <w:tcW w:w="0" w:type="auto"/>
                  <w:tcBorders>
                    <w:right w:val="nil"/>
                  </w:tcBorders>
                  <w:noWrap w:val="0"/>
                  <w:vAlign w:val="center"/>
                </w:tcPr>
                <w:p w14:paraId="2F4ABE2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新建</w:t>
                  </w:r>
                </w:p>
              </w:tc>
            </w:tr>
            <w:tr w14:paraId="0DF2C6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8" w:hRule="atLeast"/>
                <w:jc w:val="center"/>
              </w:trPr>
              <w:tc>
                <w:tcPr>
                  <w:tcW w:w="0" w:type="auto"/>
                  <w:vMerge w:val="continue"/>
                  <w:tcBorders>
                    <w:left w:val="nil"/>
                  </w:tcBorders>
                  <w:noWrap w:val="0"/>
                  <w:vAlign w:val="center"/>
                </w:tcPr>
                <w:p w14:paraId="4D9CBCD3">
                  <w:pPr>
                    <w:pStyle w:val="38"/>
                    <w:keepNext w:val="0"/>
                    <w:keepLines w:val="0"/>
                    <w:widowControl/>
                    <w:suppressLineNumbers w:val="0"/>
                    <w:bidi w:val="0"/>
                    <w:spacing w:before="0" w:beforeAutospacing="0" w:after="0" w:afterAutospacing="0"/>
                    <w:ind w:left="0" w:right="0"/>
                    <w:rPr>
                      <w:rFonts w:hint="eastAsia"/>
                      <w:szCs w:val="22"/>
                    </w:rPr>
                  </w:pPr>
                </w:p>
              </w:tc>
              <w:tc>
                <w:tcPr>
                  <w:tcW w:w="0" w:type="auto"/>
                  <w:gridSpan w:val="2"/>
                  <w:noWrap w:val="0"/>
                  <w:vAlign w:val="center"/>
                </w:tcPr>
                <w:p w14:paraId="6FE2E8B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排水系统</w:t>
                  </w:r>
                </w:p>
              </w:tc>
              <w:tc>
                <w:tcPr>
                  <w:tcW w:w="0" w:type="auto"/>
                  <w:tcBorders>
                    <w:right w:val="nil"/>
                  </w:tcBorders>
                  <w:noWrap w:val="0"/>
                  <w:vAlign w:val="center"/>
                </w:tcPr>
                <w:p w14:paraId="5CB354C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雨污分流，雨水经雨水管收集后直接排入市政雨水管网；污水经污水管收集后排入市政污水管网</w:t>
                  </w:r>
                </w:p>
              </w:tc>
              <w:tc>
                <w:tcPr>
                  <w:tcW w:w="0" w:type="auto"/>
                  <w:tcBorders>
                    <w:right w:val="nil"/>
                  </w:tcBorders>
                  <w:noWrap w:val="0"/>
                  <w:vAlign w:val="center"/>
                </w:tcPr>
                <w:p w14:paraId="59FD3C75">
                  <w:pPr>
                    <w:pStyle w:val="38"/>
                    <w:keepNext w:val="0"/>
                    <w:keepLines w:val="0"/>
                    <w:widowControl/>
                    <w:suppressLineNumbers w:val="0"/>
                    <w:bidi w:val="0"/>
                    <w:spacing w:before="0" w:beforeAutospacing="0" w:after="0" w:afterAutospacing="0"/>
                    <w:ind w:left="0" w:leftChars="0" w:right="0" w:rightChars="0"/>
                    <w:rPr>
                      <w:rFonts w:hint="eastAsia"/>
                      <w:szCs w:val="22"/>
                    </w:rPr>
                  </w:pPr>
                  <w:r>
                    <w:rPr>
                      <w:rFonts w:hint="eastAsia"/>
                      <w:szCs w:val="22"/>
                    </w:rPr>
                    <w:t>雨污分流，雨水经雨水管收集后直接排入市政雨水管网；污水经污水管收集后排入市政污水管网</w:t>
                  </w:r>
                </w:p>
              </w:tc>
              <w:tc>
                <w:tcPr>
                  <w:tcW w:w="0" w:type="auto"/>
                  <w:tcBorders>
                    <w:right w:val="nil"/>
                  </w:tcBorders>
                  <w:noWrap w:val="0"/>
                  <w:vAlign w:val="center"/>
                </w:tcPr>
                <w:p w14:paraId="376AC25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新建</w:t>
                  </w:r>
                </w:p>
              </w:tc>
            </w:tr>
            <w:tr w14:paraId="06BE86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83" w:hRule="atLeast"/>
                <w:jc w:val="center"/>
              </w:trPr>
              <w:tc>
                <w:tcPr>
                  <w:tcW w:w="0" w:type="auto"/>
                  <w:vMerge w:val="restart"/>
                  <w:tcBorders>
                    <w:left w:val="nil"/>
                  </w:tcBorders>
                  <w:noWrap w:val="0"/>
                  <w:vAlign w:val="center"/>
                </w:tcPr>
                <w:p w14:paraId="1A5CB0F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环保工程</w:t>
                  </w:r>
                </w:p>
              </w:tc>
              <w:tc>
                <w:tcPr>
                  <w:tcW w:w="0" w:type="auto"/>
                  <w:gridSpan w:val="2"/>
                  <w:noWrap w:val="0"/>
                  <w:vAlign w:val="center"/>
                </w:tcPr>
                <w:p w14:paraId="4D080ED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废水治理</w:t>
                  </w:r>
                </w:p>
              </w:tc>
              <w:tc>
                <w:tcPr>
                  <w:tcW w:w="0" w:type="auto"/>
                  <w:tcBorders>
                    <w:right w:val="nil"/>
                  </w:tcBorders>
                  <w:noWrap w:val="0"/>
                  <w:vAlign w:val="center"/>
                </w:tcPr>
                <w:p w14:paraId="1630370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水帘喷漆用水循环使用，待浓度过高时按危废委托有资质的危废处置单清运处置；</w:t>
                  </w:r>
                  <w:r>
                    <w:rPr>
                      <w:rFonts w:hint="eastAsia"/>
                      <w:szCs w:val="22"/>
                    </w:rPr>
                    <w:t>生活污水经厂区内已建化粪池预处理后排入市政管网，纳入福清市融元污水处理厂</w:t>
                  </w:r>
                </w:p>
              </w:tc>
              <w:tc>
                <w:tcPr>
                  <w:tcW w:w="0" w:type="auto"/>
                  <w:tcBorders>
                    <w:right w:val="nil"/>
                  </w:tcBorders>
                  <w:noWrap w:val="0"/>
                  <w:vAlign w:val="center"/>
                </w:tcPr>
                <w:p w14:paraId="3C616480">
                  <w:pPr>
                    <w:pStyle w:val="38"/>
                    <w:keepNext w:val="0"/>
                    <w:keepLines w:val="0"/>
                    <w:widowControl/>
                    <w:suppressLineNumbers w:val="0"/>
                    <w:bidi w:val="0"/>
                    <w:spacing w:before="0" w:beforeAutospacing="0" w:after="0" w:afterAutospacing="0"/>
                    <w:ind w:left="0" w:leftChars="0" w:right="0" w:rightChars="0"/>
                    <w:rPr>
                      <w:rFonts w:hint="eastAsia"/>
                      <w:szCs w:val="22"/>
                      <w:lang w:val="en-US" w:eastAsia="zh-CN"/>
                    </w:rPr>
                  </w:pPr>
                  <w:r>
                    <w:rPr>
                      <w:rFonts w:hint="eastAsia"/>
                      <w:szCs w:val="22"/>
                      <w:lang w:val="en-US" w:eastAsia="zh-CN"/>
                    </w:rPr>
                    <w:t>水帘喷漆用水循环使用，待浓度过高时按危废委托有资质的危废处置单清运处置；</w:t>
                  </w:r>
                  <w:r>
                    <w:rPr>
                      <w:rFonts w:hint="eastAsia"/>
                      <w:szCs w:val="22"/>
                    </w:rPr>
                    <w:t>生活污水经厂区内已建化粪池预处理后排入</w:t>
                  </w:r>
                  <w:r>
                    <w:rPr>
                      <w:rFonts w:hint="eastAsia"/>
                      <w:szCs w:val="22"/>
                      <w:lang w:eastAsia="zh-CN"/>
                    </w:rPr>
                    <w:t>市政污水管网</w:t>
                  </w:r>
                  <w:r>
                    <w:rPr>
                      <w:rFonts w:hint="eastAsia"/>
                      <w:szCs w:val="22"/>
                    </w:rPr>
                    <w:t>，纳入福清市融元污水处理厂</w:t>
                  </w:r>
                </w:p>
              </w:tc>
              <w:tc>
                <w:tcPr>
                  <w:tcW w:w="0" w:type="auto"/>
                  <w:tcBorders>
                    <w:right w:val="nil"/>
                  </w:tcBorders>
                  <w:noWrap w:val="0"/>
                  <w:vAlign w:val="center"/>
                </w:tcPr>
                <w:p w14:paraId="2774E676">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新建</w:t>
                  </w:r>
                </w:p>
              </w:tc>
            </w:tr>
            <w:tr w14:paraId="2D8B0C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85" w:hRule="atLeast"/>
                <w:jc w:val="center"/>
              </w:trPr>
              <w:tc>
                <w:tcPr>
                  <w:tcW w:w="0" w:type="auto"/>
                  <w:vMerge w:val="continue"/>
                  <w:tcBorders>
                    <w:left w:val="nil"/>
                  </w:tcBorders>
                  <w:noWrap w:val="0"/>
                  <w:vAlign w:val="center"/>
                </w:tcPr>
                <w:p w14:paraId="3F5113CC">
                  <w:pPr>
                    <w:pStyle w:val="38"/>
                    <w:keepNext w:val="0"/>
                    <w:keepLines w:val="0"/>
                    <w:widowControl/>
                    <w:suppressLineNumbers w:val="0"/>
                    <w:bidi w:val="0"/>
                    <w:spacing w:before="0" w:beforeAutospacing="0" w:after="0" w:afterAutospacing="0"/>
                    <w:ind w:left="0" w:right="0"/>
                    <w:rPr>
                      <w:rFonts w:hint="eastAsia"/>
                      <w:szCs w:val="22"/>
                    </w:rPr>
                  </w:pPr>
                </w:p>
              </w:tc>
              <w:tc>
                <w:tcPr>
                  <w:tcW w:w="0" w:type="auto"/>
                  <w:gridSpan w:val="2"/>
                  <w:noWrap w:val="0"/>
                  <w:vAlign w:val="center"/>
                </w:tcPr>
                <w:p w14:paraId="59FE7B3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废气治理</w:t>
                  </w:r>
                </w:p>
              </w:tc>
              <w:tc>
                <w:tcPr>
                  <w:tcW w:w="0" w:type="auto"/>
                  <w:tcBorders>
                    <w:right w:val="nil"/>
                  </w:tcBorders>
                  <w:noWrap w:val="0"/>
                  <w:vAlign w:val="center"/>
                </w:tcPr>
                <w:p w14:paraId="72BF9287">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烘干</w:t>
                  </w:r>
                  <w:r>
                    <w:rPr>
                      <w:rFonts w:hint="eastAsia"/>
                      <w:szCs w:val="22"/>
                      <w:lang w:val="en-US" w:eastAsia="zh-CN"/>
                    </w:rPr>
                    <w:t>废气及加烤废气各自经密闭管道集气收集，然后与经水帘柜净化后的喷漆废气一起并入</w:t>
                  </w:r>
                  <w:r>
                    <w:rPr>
                      <w:rFonts w:hint="eastAsia"/>
                      <w:szCs w:val="22"/>
                    </w:rPr>
                    <w:t>“过滤棉+活性炭吸附装置”</w:t>
                  </w:r>
                  <w:r>
                    <w:rPr>
                      <w:rFonts w:hint="eastAsia"/>
                      <w:szCs w:val="22"/>
                      <w:lang w:val="en-US" w:eastAsia="zh-CN"/>
                    </w:rPr>
                    <w:t>处理达标后通过一根</w:t>
                  </w:r>
                  <w:r>
                    <w:rPr>
                      <w:rFonts w:hint="default"/>
                      <w:szCs w:val="22"/>
                      <w:lang w:val="en-US" w:eastAsia="zh-CN"/>
                    </w:rPr>
                    <w:t>15m高排气筒</w:t>
                  </w:r>
                  <w:r>
                    <w:rPr>
                      <w:rFonts w:hint="eastAsia"/>
                      <w:szCs w:val="22"/>
                      <w:lang w:val="en-US" w:eastAsia="zh-CN"/>
                    </w:rPr>
                    <w:t>排放</w:t>
                  </w:r>
                </w:p>
              </w:tc>
              <w:tc>
                <w:tcPr>
                  <w:tcW w:w="0" w:type="auto"/>
                  <w:tcBorders>
                    <w:right w:val="nil"/>
                  </w:tcBorders>
                  <w:noWrap w:val="0"/>
                  <w:vAlign w:val="center"/>
                </w:tcPr>
                <w:p w14:paraId="497C973B">
                  <w:pPr>
                    <w:pStyle w:val="38"/>
                    <w:keepNext w:val="0"/>
                    <w:keepLines w:val="0"/>
                    <w:widowControl/>
                    <w:suppressLineNumbers w:val="0"/>
                    <w:bidi w:val="0"/>
                    <w:spacing w:before="0" w:beforeAutospacing="0" w:after="0" w:afterAutospacing="0"/>
                    <w:ind w:left="0" w:right="0"/>
                    <w:jc w:val="both"/>
                    <w:rPr>
                      <w:rFonts w:hint="eastAsia"/>
                      <w:szCs w:val="22"/>
                      <w:lang w:val="en-US" w:eastAsia="zh-CN"/>
                    </w:rPr>
                  </w:pPr>
                  <w:r>
                    <w:rPr>
                      <w:rFonts w:hint="eastAsia"/>
                      <w:szCs w:val="22"/>
                      <w:lang w:val="en-US" w:eastAsia="zh-CN"/>
                    </w:rPr>
                    <w:t>生产线1#：</w:t>
                  </w:r>
                  <w:r>
                    <w:rPr>
                      <w:rFonts w:hint="eastAsia"/>
                      <w:szCs w:val="22"/>
                    </w:rPr>
                    <w:t>烘干</w:t>
                  </w:r>
                  <w:r>
                    <w:rPr>
                      <w:rFonts w:hint="eastAsia"/>
                      <w:szCs w:val="22"/>
                      <w:lang w:val="en-US" w:eastAsia="zh-CN"/>
                    </w:rPr>
                    <w:t>废气及加烤废气各自经密闭管道集气收集，然后与经水帘柜净化后的喷漆废气一起并入</w:t>
                  </w:r>
                  <w:r>
                    <w:rPr>
                      <w:rFonts w:hint="eastAsia"/>
                      <w:szCs w:val="22"/>
                      <w:lang w:eastAsia="zh-CN"/>
                    </w:rPr>
                    <w:t>“</w:t>
                  </w:r>
                  <w:r>
                    <w:rPr>
                      <w:rFonts w:hint="eastAsia"/>
                      <w:szCs w:val="22"/>
                    </w:rPr>
                    <w:t>过滤棉+活性炭吸附装置</w:t>
                  </w:r>
                  <w:r>
                    <w:rPr>
                      <w:rFonts w:hint="eastAsia"/>
                      <w:szCs w:val="22"/>
                      <w:lang w:val="en-US" w:eastAsia="zh-CN"/>
                    </w:rPr>
                    <w:t>”1#处理达标后通过一根</w:t>
                  </w:r>
                  <w:r>
                    <w:rPr>
                      <w:rFonts w:hint="default"/>
                      <w:szCs w:val="22"/>
                      <w:lang w:val="en-US" w:eastAsia="zh-CN"/>
                    </w:rPr>
                    <w:t>15m高排气筒</w:t>
                  </w:r>
                  <w:r>
                    <w:rPr>
                      <w:rFonts w:hint="eastAsia"/>
                      <w:szCs w:val="22"/>
                      <w:lang w:val="en-US" w:eastAsia="zh-CN"/>
                    </w:rPr>
                    <w:t>（DA001）排放；</w:t>
                  </w:r>
                </w:p>
                <w:p w14:paraId="1E642443">
                  <w:pPr>
                    <w:pStyle w:val="38"/>
                    <w:keepNext w:val="0"/>
                    <w:keepLines w:val="0"/>
                    <w:widowControl/>
                    <w:suppressLineNumbers w:val="0"/>
                    <w:bidi w:val="0"/>
                    <w:spacing w:before="0" w:beforeAutospacing="0" w:after="0" w:afterAutospacing="0"/>
                    <w:ind w:left="0" w:right="0"/>
                    <w:jc w:val="both"/>
                    <w:rPr>
                      <w:rFonts w:hint="eastAsia"/>
                      <w:szCs w:val="22"/>
                      <w:lang w:val="en-US" w:eastAsia="zh-CN"/>
                    </w:rPr>
                  </w:pPr>
                  <w:r>
                    <w:rPr>
                      <w:rFonts w:hint="eastAsia"/>
                      <w:szCs w:val="22"/>
                      <w:lang w:val="en-US" w:eastAsia="zh-CN"/>
                    </w:rPr>
                    <w:t>生产线2#：</w:t>
                  </w:r>
                  <w:r>
                    <w:rPr>
                      <w:rFonts w:hint="eastAsia"/>
                      <w:szCs w:val="22"/>
                    </w:rPr>
                    <w:t>烘干</w:t>
                  </w:r>
                  <w:r>
                    <w:rPr>
                      <w:rFonts w:hint="eastAsia"/>
                      <w:szCs w:val="22"/>
                      <w:lang w:val="en-US" w:eastAsia="zh-CN"/>
                    </w:rPr>
                    <w:t>废气、加烤废气各自经密闭管道集气收集，然后与经水帘柜净化后的喷漆废气一起并入</w:t>
                  </w:r>
                  <w:r>
                    <w:rPr>
                      <w:rFonts w:hint="eastAsia"/>
                      <w:szCs w:val="22"/>
                      <w:lang w:eastAsia="zh-CN"/>
                    </w:rPr>
                    <w:t>“</w:t>
                  </w:r>
                  <w:r>
                    <w:rPr>
                      <w:rFonts w:hint="eastAsia"/>
                      <w:szCs w:val="22"/>
                    </w:rPr>
                    <w:t>过滤棉+活性炭吸附装置</w:t>
                  </w:r>
                  <w:r>
                    <w:rPr>
                      <w:rFonts w:hint="eastAsia"/>
                      <w:szCs w:val="22"/>
                      <w:lang w:val="en-US" w:eastAsia="zh-CN"/>
                    </w:rPr>
                    <w:t>”2#处理达标后通过一根</w:t>
                  </w:r>
                  <w:r>
                    <w:rPr>
                      <w:rFonts w:hint="default"/>
                      <w:szCs w:val="22"/>
                      <w:lang w:val="en-US" w:eastAsia="zh-CN"/>
                    </w:rPr>
                    <w:t>15m高排气筒</w:t>
                  </w:r>
                  <w:r>
                    <w:rPr>
                      <w:rFonts w:hint="eastAsia"/>
                      <w:szCs w:val="22"/>
                      <w:lang w:val="en-US" w:eastAsia="zh-CN"/>
                    </w:rPr>
                    <w:t>（DA002）排放；</w:t>
                  </w:r>
                </w:p>
                <w:p w14:paraId="3535D5D8">
                  <w:pPr>
                    <w:pStyle w:val="38"/>
                    <w:keepNext w:val="0"/>
                    <w:keepLines w:val="0"/>
                    <w:widowControl/>
                    <w:suppressLineNumbers w:val="0"/>
                    <w:bidi w:val="0"/>
                    <w:spacing w:before="0" w:beforeAutospacing="0" w:after="0" w:afterAutospacing="0"/>
                    <w:ind w:left="0" w:leftChars="0" w:right="0" w:rightChars="0"/>
                    <w:jc w:val="both"/>
                    <w:rPr>
                      <w:rFonts w:hint="eastAsia"/>
                      <w:szCs w:val="22"/>
                      <w:lang w:val="en-US" w:eastAsia="zh-CN"/>
                    </w:rPr>
                  </w:pPr>
                  <w:r>
                    <w:rPr>
                      <w:rFonts w:hint="eastAsia"/>
                      <w:szCs w:val="22"/>
                      <w:lang w:val="en-US" w:eastAsia="zh-CN"/>
                    </w:rPr>
                    <w:t>生产线3#：</w:t>
                  </w:r>
                  <w:r>
                    <w:rPr>
                      <w:rFonts w:hint="eastAsia"/>
                      <w:szCs w:val="22"/>
                    </w:rPr>
                    <w:t>烘干</w:t>
                  </w:r>
                  <w:r>
                    <w:rPr>
                      <w:rFonts w:hint="eastAsia"/>
                      <w:szCs w:val="22"/>
                      <w:lang w:val="en-US" w:eastAsia="zh-CN"/>
                    </w:rPr>
                    <w:t>废气、加烤废气各自经密闭管道集气收集，然后与经水帘柜净化后的喷漆废气一起并入</w:t>
                  </w:r>
                  <w:r>
                    <w:rPr>
                      <w:rFonts w:hint="eastAsia"/>
                      <w:szCs w:val="22"/>
                      <w:lang w:eastAsia="zh-CN"/>
                    </w:rPr>
                    <w:t>“</w:t>
                  </w:r>
                  <w:r>
                    <w:rPr>
                      <w:rFonts w:hint="eastAsia"/>
                      <w:szCs w:val="22"/>
                    </w:rPr>
                    <w:t>过滤棉+活性炭吸附装置</w:t>
                  </w:r>
                  <w:r>
                    <w:rPr>
                      <w:rFonts w:hint="eastAsia"/>
                      <w:szCs w:val="22"/>
                      <w:lang w:val="en-US" w:eastAsia="zh-CN"/>
                    </w:rPr>
                    <w:t>”3#处理达标后通过一根</w:t>
                  </w:r>
                  <w:r>
                    <w:rPr>
                      <w:rFonts w:hint="default"/>
                      <w:szCs w:val="22"/>
                      <w:lang w:val="en-US" w:eastAsia="zh-CN"/>
                    </w:rPr>
                    <w:t>15m高排气筒</w:t>
                  </w:r>
                  <w:r>
                    <w:rPr>
                      <w:rFonts w:hint="eastAsia"/>
                      <w:szCs w:val="22"/>
                      <w:lang w:val="en-US" w:eastAsia="zh-CN"/>
                    </w:rPr>
                    <w:t>（DA003）排放；</w:t>
                  </w:r>
                </w:p>
              </w:tc>
              <w:tc>
                <w:tcPr>
                  <w:tcW w:w="0" w:type="auto"/>
                  <w:tcBorders>
                    <w:right w:val="nil"/>
                  </w:tcBorders>
                  <w:noWrap w:val="0"/>
                  <w:vAlign w:val="center"/>
                </w:tcPr>
                <w:p w14:paraId="7867EB30">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新增两条生产线及配套废气治理设施，新建</w:t>
                  </w:r>
                </w:p>
              </w:tc>
            </w:tr>
            <w:tr w14:paraId="3B3FB1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4" w:hRule="atLeast"/>
                <w:jc w:val="center"/>
              </w:trPr>
              <w:tc>
                <w:tcPr>
                  <w:tcW w:w="0" w:type="auto"/>
                  <w:vMerge w:val="continue"/>
                  <w:tcBorders>
                    <w:left w:val="nil"/>
                  </w:tcBorders>
                  <w:noWrap w:val="0"/>
                  <w:vAlign w:val="center"/>
                </w:tcPr>
                <w:p w14:paraId="0AADD3CF">
                  <w:pPr>
                    <w:pStyle w:val="38"/>
                    <w:keepNext w:val="0"/>
                    <w:keepLines w:val="0"/>
                    <w:widowControl/>
                    <w:suppressLineNumbers w:val="0"/>
                    <w:bidi w:val="0"/>
                    <w:spacing w:before="0" w:beforeAutospacing="0" w:after="0" w:afterAutospacing="0"/>
                    <w:ind w:left="0" w:right="0"/>
                    <w:rPr>
                      <w:rFonts w:hint="eastAsia"/>
                      <w:szCs w:val="22"/>
                    </w:rPr>
                  </w:pPr>
                </w:p>
              </w:tc>
              <w:tc>
                <w:tcPr>
                  <w:tcW w:w="0" w:type="auto"/>
                  <w:gridSpan w:val="2"/>
                  <w:noWrap w:val="0"/>
                  <w:vAlign w:val="center"/>
                </w:tcPr>
                <w:p w14:paraId="529AD76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噪声治理</w:t>
                  </w:r>
                </w:p>
              </w:tc>
              <w:tc>
                <w:tcPr>
                  <w:tcW w:w="0" w:type="auto"/>
                  <w:tcBorders>
                    <w:right w:val="nil"/>
                  </w:tcBorders>
                  <w:noWrap w:val="0"/>
                  <w:vAlign w:val="center"/>
                </w:tcPr>
                <w:p w14:paraId="7B236B2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选用低噪声设备，加强设备的维护管理；对高噪声设备进行基础减振、通过厂房墙体隔声等综合降噪措施</w:t>
                  </w:r>
                </w:p>
              </w:tc>
              <w:tc>
                <w:tcPr>
                  <w:tcW w:w="0" w:type="auto"/>
                  <w:tcBorders>
                    <w:right w:val="nil"/>
                  </w:tcBorders>
                  <w:noWrap w:val="0"/>
                  <w:vAlign w:val="center"/>
                </w:tcPr>
                <w:p w14:paraId="30B661A8">
                  <w:pPr>
                    <w:pStyle w:val="38"/>
                    <w:keepNext w:val="0"/>
                    <w:keepLines w:val="0"/>
                    <w:widowControl/>
                    <w:suppressLineNumbers w:val="0"/>
                    <w:bidi w:val="0"/>
                    <w:spacing w:before="0" w:beforeAutospacing="0" w:after="0" w:afterAutospacing="0"/>
                    <w:ind w:left="0" w:leftChars="0" w:right="0" w:rightChars="0"/>
                    <w:rPr>
                      <w:rFonts w:hint="eastAsia"/>
                      <w:szCs w:val="22"/>
                    </w:rPr>
                  </w:pPr>
                  <w:r>
                    <w:rPr>
                      <w:rFonts w:hint="eastAsia"/>
                      <w:szCs w:val="22"/>
                    </w:rPr>
                    <w:t>选用低噪声设备，加强设备的维护管理；对高噪声设备进行基础减振、通过厂房墙体隔声等综合降噪措施</w:t>
                  </w:r>
                </w:p>
              </w:tc>
              <w:tc>
                <w:tcPr>
                  <w:tcW w:w="0" w:type="auto"/>
                  <w:tcBorders>
                    <w:right w:val="nil"/>
                  </w:tcBorders>
                  <w:noWrap w:val="0"/>
                  <w:vAlign w:val="center"/>
                </w:tcPr>
                <w:p w14:paraId="5EC464B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新建</w:t>
                  </w:r>
                </w:p>
              </w:tc>
            </w:tr>
            <w:tr w14:paraId="055491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11" w:hRule="atLeast"/>
                <w:jc w:val="center"/>
              </w:trPr>
              <w:tc>
                <w:tcPr>
                  <w:tcW w:w="0" w:type="auto"/>
                  <w:vMerge w:val="continue"/>
                  <w:tcBorders>
                    <w:left w:val="nil"/>
                  </w:tcBorders>
                  <w:noWrap w:val="0"/>
                  <w:vAlign w:val="center"/>
                </w:tcPr>
                <w:p w14:paraId="0EDA6FBE">
                  <w:pPr>
                    <w:pStyle w:val="38"/>
                    <w:keepNext w:val="0"/>
                    <w:keepLines w:val="0"/>
                    <w:widowControl/>
                    <w:suppressLineNumbers w:val="0"/>
                    <w:bidi w:val="0"/>
                    <w:spacing w:before="0" w:beforeAutospacing="0" w:after="0" w:afterAutospacing="0"/>
                    <w:ind w:left="0" w:right="0"/>
                    <w:rPr>
                      <w:rFonts w:hint="eastAsia"/>
                      <w:szCs w:val="22"/>
                    </w:rPr>
                  </w:pPr>
                </w:p>
              </w:tc>
              <w:tc>
                <w:tcPr>
                  <w:tcW w:w="0" w:type="auto"/>
                  <w:vMerge w:val="restart"/>
                  <w:noWrap w:val="0"/>
                  <w:vAlign w:val="center"/>
                </w:tcPr>
                <w:p w14:paraId="53886F8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固废治理</w:t>
                  </w:r>
                </w:p>
              </w:tc>
              <w:tc>
                <w:tcPr>
                  <w:tcW w:w="0" w:type="auto"/>
                  <w:noWrap w:val="0"/>
                  <w:vAlign w:val="center"/>
                </w:tcPr>
                <w:p w14:paraId="405E1F8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生活垃圾</w:t>
                  </w:r>
                </w:p>
              </w:tc>
              <w:tc>
                <w:tcPr>
                  <w:tcW w:w="0" w:type="auto"/>
                  <w:tcBorders>
                    <w:right w:val="nil"/>
                  </w:tcBorders>
                  <w:noWrap w:val="0"/>
                  <w:vAlign w:val="center"/>
                </w:tcPr>
                <w:p w14:paraId="78966ED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厂区内设置生活垃圾收集桶，分类收集后，委托环卫部门清运处置</w:t>
                  </w:r>
                </w:p>
              </w:tc>
              <w:tc>
                <w:tcPr>
                  <w:tcW w:w="0" w:type="auto"/>
                  <w:tcBorders>
                    <w:right w:val="nil"/>
                  </w:tcBorders>
                  <w:noWrap w:val="0"/>
                  <w:vAlign w:val="center"/>
                </w:tcPr>
                <w:p w14:paraId="7C42411F">
                  <w:pPr>
                    <w:pStyle w:val="38"/>
                    <w:keepNext w:val="0"/>
                    <w:keepLines w:val="0"/>
                    <w:widowControl/>
                    <w:suppressLineNumbers w:val="0"/>
                    <w:bidi w:val="0"/>
                    <w:spacing w:before="0" w:beforeAutospacing="0" w:after="0" w:afterAutospacing="0"/>
                    <w:ind w:left="0" w:leftChars="0" w:right="0" w:rightChars="0"/>
                    <w:rPr>
                      <w:rFonts w:hint="eastAsia"/>
                      <w:szCs w:val="22"/>
                    </w:rPr>
                  </w:pPr>
                  <w:r>
                    <w:rPr>
                      <w:rFonts w:hint="eastAsia"/>
                      <w:szCs w:val="22"/>
                    </w:rPr>
                    <w:t>厂区内设置生活垃圾收集桶，分类收集后，委托环卫部门清运处置</w:t>
                  </w:r>
                </w:p>
              </w:tc>
              <w:tc>
                <w:tcPr>
                  <w:tcW w:w="0" w:type="auto"/>
                  <w:tcBorders>
                    <w:right w:val="nil"/>
                  </w:tcBorders>
                  <w:noWrap w:val="0"/>
                  <w:vAlign w:val="center"/>
                </w:tcPr>
                <w:p w14:paraId="04C9FEA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新建</w:t>
                  </w:r>
                </w:p>
              </w:tc>
            </w:tr>
            <w:tr w14:paraId="26545A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11" w:hRule="atLeast"/>
                <w:jc w:val="center"/>
              </w:trPr>
              <w:tc>
                <w:tcPr>
                  <w:tcW w:w="0" w:type="auto"/>
                  <w:vMerge w:val="continue"/>
                  <w:tcBorders>
                    <w:left w:val="nil"/>
                  </w:tcBorders>
                  <w:noWrap w:val="0"/>
                  <w:vAlign w:val="center"/>
                </w:tcPr>
                <w:p w14:paraId="5CCC1B71">
                  <w:pPr>
                    <w:pStyle w:val="38"/>
                    <w:keepNext w:val="0"/>
                    <w:keepLines w:val="0"/>
                    <w:widowControl/>
                    <w:suppressLineNumbers w:val="0"/>
                    <w:bidi w:val="0"/>
                    <w:spacing w:before="0" w:beforeAutospacing="0" w:after="0" w:afterAutospacing="0"/>
                    <w:ind w:left="0" w:right="0"/>
                    <w:rPr>
                      <w:rFonts w:hint="eastAsia"/>
                      <w:szCs w:val="22"/>
                    </w:rPr>
                  </w:pPr>
                </w:p>
              </w:tc>
              <w:tc>
                <w:tcPr>
                  <w:tcW w:w="0" w:type="auto"/>
                  <w:vMerge w:val="continue"/>
                  <w:noWrap w:val="0"/>
                  <w:vAlign w:val="center"/>
                </w:tcPr>
                <w:p w14:paraId="5916EBEB">
                  <w:pPr>
                    <w:pStyle w:val="38"/>
                    <w:keepNext w:val="0"/>
                    <w:keepLines w:val="0"/>
                    <w:widowControl/>
                    <w:suppressLineNumbers w:val="0"/>
                    <w:bidi w:val="0"/>
                    <w:spacing w:before="0" w:beforeAutospacing="0" w:after="0" w:afterAutospacing="0"/>
                    <w:ind w:left="0" w:right="0"/>
                    <w:rPr>
                      <w:rFonts w:hint="eastAsia"/>
                      <w:szCs w:val="22"/>
                    </w:rPr>
                  </w:pPr>
                </w:p>
              </w:tc>
              <w:tc>
                <w:tcPr>
                  <w:tcW w:w="0" w:type="auto"/>
                  <w:noWrap w:val="0"/>
                  <w:vAlign w:val="center"/>
                </w:tcPr>
                <w:p w14:paraId="0B69C4C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危险废物</w:t>
                  </w:r>
                </w:p>
              </w:tc>
              <w:tc>
                <w:tcPr>
                  <w:tcW w:w="0" w:type="auto"/>
                  <w:tcBorders>
                    <w:right w:val="nil"/>
                  </w:tcBorders>
                  <w:noWrap w:val="0"/>
                  <w:vAlign w:val="center"/>
                </w:tcPr>
                <w:p w14:paraId="0F2FEC4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设置危险废物暂存间，妥善分类收集后定期委托有资质单位统一处置</w:t>
                  </w:r>
                </w:p>
              </w:tc>
              <w:tc>
                <w:tcPr>
                  <w:tcW w:w="0" w:type="auto"/>
                  <w:tcBorders>
                    <w:right w:val="nil"/>
                  </w:tcBorders>
                  <w:noWrap w:val="0"/>
                  <w:vAlign w:val="center"/>
                </w:tcPr>
                <w:p w14:paraId="38A546B7">
                  <w:pPr>
                    <w:pStyle w:val="38"/>
                    <w:keepNext w:val="0"/>
                    <w:keepLines w:val="0"/>
                    <w:widowControl/>
                    <w:suppressLineNumbers w:val="0"/>
                    <w:bidi w:val="0"/>
                    <w:spacing w:before="0" w:beforeAutospacing="0" w:after="0" w:afterAutospacing="0"/>
                    <w:ind w:left="0" w:leftChars="0" w:right="0" w:rightChars="0"/>
                    <w:rPr>
                      <w:rFonts w:hint="eastAsia"/>
                      <w:szCs w:val="22"/>
                    </w:rPr>
                  </w:pPr>
                  <w:r>
                    <w:rPr>
                      <w:rFonts w:hint="eastAsia"/>
                      <w:szCs w:val="22"/>
                    </w:rPr>
                    <w:t>设置</w:t>
                  </w:r>
                  <w:r>
                    <w:rPr>
                      <w:rFonts w:hint="eastAsia"/>
                      <w:szCs w:val="22"/>
                      <w:lang w:eastAsia="zh-CN"/>
                    </w:rPr>
                    <w:t>危废贮存库</w:t>
                  </w:r>
                  <w:r>
                    <w:rPr>
                      <w:rFonts w:hint="eastAsia"/>
                      <w:szCs w:val="22"/>
                    </w:rPr>
                    <w:t>，妥善分类收集后定期委托有资质单位统一处置</w:t>
                  </w:r>
                </w:p>
              </w:tc>
              <w:tc>
                <w:tcPr>
                  <w:tcW w:w="0" w:type="auto"/>
                  <w:tcBorders>
                    <w:right w:val="nil"/>
                  </w:tcBorders>
                  <w:noWrap w:val="0"/>
                  <w:vAlign w:val="center"/>
                </w:tcPr>
                <w:p w14:paraId="207E750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新建</w:t>
                  </w:r>
                </w:p>
              </w:tc>
            </w:tr>
            <w:tr w14:paraId="4E8A6F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11" w:hRule="atLeast"/>
                <w:jc w:val="center"/>
              </w:trPr>
              <w:tc>
                <w:tcPr>
                  <w:tcW w:w="0" w:type="auto"/>
                  <w:vMerge w:val="continue"/>
                  <w:tcBorders>
                    <w:left w:val="nil"/>
                  </w:tcBorders>
                  <w:noWrap w:val="0"/>
                  <w:vAlign w:val="center"/>
                </w:tcPr>
                <w:p w14:paraId="65D91F71">
                  <w:pPr>
                    <w:pStyle w:val="38"/>
                    <w:keepNext w:val="0"/>
                    <w:keepLines w:val="0"/>
                    <w:widowControl/>
                    <w:suppressLineNumbers w:val="0"/>
                    <w:bidi w:val="0"/>
                    <w:spacing w:before="0" w:beforeAutospacing="0" w:after="0" w:afterAutospacing="0"/>
                    <w:ind w:left="0" w:right="0"/>
                    <w:rPr>
                      <w:rFonts w:hint="eastAsia"/>
                      <w:szCs w:val="22"/>
                    </w:rPr>
                  </w:pPr>
                </w:p>
              </w:tc>
              <w:tc>
                <w:tcPr>
                  <w:tcW w:w="0" w:type="auto"/>
                  <w:vMerge w:val="continue"/>
                  <w:noWrap w:val="0"/>
                  <w:vAlign w:val="center"/>
                </w:tcPr>
                <w:p w14:paraId="74E86AE3">
                  <w:pPr>
                    <w:pStyle w:val="38"/>
                    <w:keepNext w:val="0"/>
                    <w:keepLines w:val="0"/>
                    <w:widowControl/>
                    <w:suppressLineNumbers w:val="0"/>
                    <w:bidi w:val="0"/>
                    <w:spacing w:before="0" w:beforeAutospacing="0" w:after="0" w:afterAutospacing="0"/>
                    <w:ind w:left="0" w:right="0"/>
                    <w:rPr>
                      <w:rFonts w:hint="eastAsia"/>
                      <w:szCs w:val="22"/>
                    </w:rPr>
                  </w:pPr>
                </w:p>
              </w:tc>
              <w:tc>
                <w:tcPr>
                  <w:tcW w:w="0" w:type="auto"/>
                  <w:noWrap w:val="0"/>
                  <w:vAlign w:val="center"/>
                </w:tcPr>
                <w:p w14:paraId="0CEFCC0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 xml:space="preserve">一般固体废物 </w:t>
                  </w:r>
                </w:p>
              </w:tc>
              <w:tc>
                <w:tcPr>
                  <w:tcW w:w="0" w:type="auto"/>
                  <w:tcBorders>
                    <w:right w:val="nil"/>
                  </w:tcBorders>
                  <w:noWrap w:val="0"/>
                  <w:vAlign w:val="center"/>
                </w:tcPr>
                <w:p w14:paraId="12ABC52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设置一般固废暂存区，一般工业固废分类收集、暂存后综合利用</w:t>
                  </w:r>
                </w:p>
              </w:tc>
              <w:tc>
                <w:tcPr>
                  <w:tcW w:w="0" w:type="auto"/>
                  <w:tcBorders>
                    <w:right w:val="nil"/>
                  </w:tcBorders>
                  <w:noWrap w:val="0"/>
                  <w:vAlign w:val="center"/>
                </w:tcPr>
                <w:p w14:paraId="50209F4A">
                  <w:pPr>
                    <w:pStyle w:val="38"/>
                    <w:keepNext w:val="0"/>
                    <w:keepLines w:val="0"/>
                    <w:widowControl/>
                    <w:suppressLineNumbers w:val="0"/>
                    <w:bidi w:val="0"/>
                    <w:spacing w:before="0" w:beforeAutospacing="0" w:after="0" w:afterAutospacing="0"/>
                    <w:ind w:left="0" w:leftChars="0" w:right="0" w:rightChars="0"/>
                    <w:rPr>
                      <w:rFonts w:hint="eastAsia"/>
                      <w:szCs w:val="22"/>
                    </w:rPr>
                  </w:pPr>
                  <w:r>
                    <w:rPr>
                      <w:rFonts w:hint="eastAsia"/>
                      <w:szCs w:val="22"/>
                    </w:rPr>
                    <w:t>设置一般固废暂存区，一般工业固废分类收集、暂存后综合利用</w:t>
                  </w:r>
                </w:p>
              </w:tc>
              <w:tc>
                <w:tcPr>
                  <w:tcW w:w="0" w:type="auto"/>
                  <w:tcBorders>
                    <w:right w:val="nil"/>
                  </w:tcBorders>
                  <w:noWrap w:val="0"/>
                  <w:vAlign w:val="center"/>
                </w:tcPr>
                <w:p w14:paraId="14957C0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新建</w:t>
                  </w:r>
                </w:p>
              </w:tc>
            </w:tr>
          </w:tbl>
          <w:p w14:paraId="4C49142E">
            <w:pPr>
              <w:pStyle w:val="4"/>
              <w:suppressLineNumbers w:val="0"/>
              <w:bidi w:val="0"/>
              <w:spacing w:before="0" w:beforeAutospacing="0" w:after="0" w:afterAutospacing="0"/>
              <w:ind w:left="0" w:right="0"/>
              <w:rPr>
                <w:rFonts w:hint="default"/>
              </w:rPr>
            </w:pPr>
            <w:r>
              <w:rPr>
                <w:rFonts w:hint="default"/>
              </w:rPr>
              <w:t>产品方案和主要原辅材料、能源消耗</w:t>
            </w:r>
          </w:p>
          <w:p w14:paraId="4F62DB55">
            <w:pPr>
              <w:keepNext w:val="0"/>
              <w:keepLines w:val="0"/>
              <w:suppressLineNumbers w:val="0"/>
              <w:bidi w:val="0"/>
              <w:spacing w:before="0" w:beforeAutospacing="0" w:after="0" w:afterAutospacing="0"/>
              <w:ind w:left="0" w:right="0"/>
              <w:rPr>
                <w:rFonts w:hint="eastAsia"/>
              </w:rPr>
            </w:pPr>
            <w:r>
              <w:rPr>
                <w:rFonts w:hint="eastAsia"/>
              </w:rPr>
              <w:t>（1）产品方案</w:t>
            </w:r>
          </w:p>
          <w:p w14:paraId="2222A340">
            <w:pPr>
              <w:keepNext w:val="0"/>
              <w:keepLines w:val="0"/>
              <w:suppressLineNumbers w:val="0"/>
              <w:bidi w:val="0"/>
              <w:spacing w:before="0" w:beforeAutospacing="0" w:after="0" w:afterAutospacing="0"/>
              <w:ind w:left="0" w:right="0"/>
              <w:rPr>
                <w:rFonts w:hint="eastAsia"/>
              </w:rPr>
            </w:pPr>
            <w:r>
              <w:rPr>
                <w:rFonts w:hint="eastAsia"/>
                <w:lang w:val="en-US" w:eastAsia="zh-CN"/>
              </w:rPr>
              <w:t>本项目主要生产内容为：将待加工厂提供的半成品加工至所需的最终成品，然后检验合格后包装运回待加工厂。</w:t>
            </w:r>
            <w:r>
              <w:rPr>
                <w:rFonts w:hint="eastAsia"/>
              </w:rPr>
              <w:t>项目具体产品方案及产量情况详见表2.</w:t>
            </w:r>
            <w:r>
              <w:rPr>
                <w:rFonts w:hint="eastAsia"/>
                <w:lang w:val="en-US" w:eastAsia="zh-CN"/>
              </w:rPr>
              <w:t>4</w:t>
            </w:r>
            <w:r>
              <w:rPr>
                <w:rFonts w:hint="eastAsia"/>
              </w:rPr>
              <w:t>-1。</w:t>
            </w:r>
          </w:p>
          <w:p w14:paraId="1E26538A">
            <w:pPr>
              <w:pStyle w:val="39"/>
              <w:keepNext w:val="0"/>
              <w:keepLines w:val="0"/>
              <w:suppressLineNumbers w:val="0"/>
              <w:bidi w:val="0"/>
              <w:spacing w:before="0" w:beforeAutospacing="0" w:after="0" w:afterAutospacing="0"/>
              <w:ind w:left="0" w:right="0"/>
              <w:rPr>
                <w:rFonts w:hint="eastAsia"/>
                <w:lang w:eastAsia="zh-CN"/>
              </w:rPr>
            </w:pPr>
            <w:r>
              <w:rPr>
                <w:rFonts w:hint="eastAsia"/>
                <w:lang w:eastAsia="zh-CN"/>
              </w:rPr>
              <w:t>表2.</w:t>
            </w:r>
            <w:r>
              <w:rPr>
                <w:rFonts w:hint="eastAsia"/>
                <w:lang w:val="en-US" w:eastAsia="zh-CN"/>
              </w:rPr>
              <w:t>4</w:t>
            </w:r>
            <w:r>
              <w:rPr>
                <w:rFonts w:hint="eastAsia"/>
                <w:lang w:eastAsia="zh-CN"/>
              </w:rPr>
              <w:t>-1 项目产品方案情况一览表</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28" w:type="dxa"/>
                <w:bottom w:w="0" w:type="dxa"/>
                <w:right w:w="28" w:type="dxa"/>
              </w:tblCellMar>
            </w:tblPr>
            <w:tblGrid>
              <w:gridCol w:w="896"/>
              <w:gridCol w:w="1526"/>
              <w:gridCol w:w="1736"/>
              <w:gridCol w:w="2996"/>
              <w:gridCol w:w="896"/>
            </w:tblGrid>
            <w:tr w14:paraId="3B7CE9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28" w:type="dxa"/>
                  <w:bottom w:w="0" w:type="dxa"/>
                  <w:right w:w="28" w:type="dxa"/>
                </w:tblCellMar>
              </w:tblPrEx>
              <w:trPr>
                <w:trHeight w:val="6" w:hRule="atLeast"/>
                <w:jc w:val="center"/>
              </w:trPr>
              <w:tc>
                <w:tcPr>
                  <w:tcW w:w="896" w:type="dxa"/>
                  <w:tcBorders>
                    <w:top w:val="single" w:color="000000" w:sz="12" w:space="0"/>
                    <w:left w:val="nil"/>
                    <w:tl2br w:val="nil"/>
                  </w:tcBorders>
                  <w:shd w:val="clear" w:color="auto" w:fill="auto"/>
                  <w:noWrap/>
                  <w:vAlign w:val="center"/>
                </w:tcPr>
                <w:p w14:paraId="72A2233C">
                  <w:pPr>
                    <w:pStyle w:val="38"/>
                    <w:keepNext w:val="0"/>
                    <w:keepLines w:val="0"/>
                    <w:widowControl/>
                    <w:suppressLineNumbers w:val="0"/>
                    <w:bidi w:val="0"/>
                    <w:spacing w:before="0" w:beforeAutospacing="0" w:after="0" w:afterAutospacing="0"/>
                    <w:ind w:left="0" w:right="0"/>
                    <w:rPr>
                      <w:rFonts w:hint="eastAsia"/>
                      <w:b w:val="0"/>
                      <w:color w:val="000000"/>
                      <w:szCs w:val="22"/>
                      <w:lang w:eastAsia="zh-CN"/>
                    </w:rPr>
                  </w:pPr>
                  <w:r>
                    <w:rPr>
                      <w:rFonts w:hint="eastAsia"/>
                      <w:b w:val="0"/>
                      <w:color w:val="000000"/>
                      <w:szCs w:val="22"/>
                    </w:rPr>
                    <w:t>产品</w:t>
                  </w:r>
                  <w:r>
                    <w:rPr>
                      <w:rFonts w:hint="eastAsia"/>
                      <w:b w:val="0"/>
                      <w:color w:val="000000"/>
                      <w:szCs w:val="22"/>
                      <w:lang w:val="en-US" w:eastAsia="zh-CN"/>
                    </w:rPr>
                    <w:t>名称</w:t>
                  </w:r>
                </w:p>
              </w:tc>
              <w:tc>
                <w:tcPr>
                  <w:tcW w:w="1526" w:type="dxa"/>
                  <w:tcBorders>
                    <w:top w:val="single" w:color="000000" w:sz="12" w:space="0"/>
                  </w:tcBorders>
                  <w:shd w:val="clear" w:color="auto" w:fill="auto"/>
                  <w:noWrap/>
                  <w:vAlign w:val="center"/>
                </w:tcPr>
                <w:p w14:paraId="0D889A56">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eastAsia"/>
                      <w:b w:val="0"/>
                      <w:color w:val="000000"/>
                      <w:szCs w:val="22"/>
                      <w:lang w:val="en-US" w:eastAsia="zh-CN"/>
                    </w:rPr>
                    <w:t>现有项目年产量</w:t>
                  </w:r>
                </w:p>
              </w:tc>
              <w:tc>
                <w:tcPr>
                  <w:tcW w:w="1736" w:type="dxa"/>
                  <w:tcBorders>
                    <w:top w:val="single" w:color="000000" w:sz="12" w:space="0"/>
                  </w:tcBorders>
                  <w:shd w:val="clear" w:color="auto" w:fill="auto"/>
                  <w:noWrap/>
                  <w:vAlign w:val="center"/>
                </w:tcPr>
                <w:p w14:paraId="23A70A22">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eastAsia"/>
                      <w:b w:val="0"/>
                      <w:color w:val="000000"/>
                      <w:szCs w:val="22"/>
                      <w:lang w:val="en-US" w:eastAsia="zh-CN"/>
                    </w:rPr>
                    <w:t>迁扩建项目年产量</w:t>
                  </w:r>
                </w:p>
              </w:tc>
              <w:tc>
                <w:tcPr>
                  <w:tcW w:w="2996" w:type="dxa"/>
                  <w:tcBorders>
                    <w:top w:val="single" w:color="000000" w:sz="12" w:space="0"/>
                  </w:tcBorders>
                  <w:shd w:val="clear" w:color="auto" w:fill="auto"/>
                  <w:noWrap/>
                  <w:vAlign w:val="center"/>
                </w:tcPr>
                <w:p w14:paraId="5CA71D2C">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eastAsia"/>
                      <w:b w:val="0"/>
                      <w:color w:val="000000"/>
                      <w:szCs w:val="22"/>
                      <w:lang w:val="en-US" w:eastAsia="zh-CN"/>
                    </w:rPr>
                    <w:t>去向及包装</w:t>
                  </w:r>
                </w:p>
              </w:tc>
              <w:tc>
                <w:tcPr>
                  <w:tcW w:w="896" w:type="dxa"/>
                  <w:tcBorders>
                    <w:top w:val="single" w:color="000000" w:sz="12" w:space="0"/>
                    <w:right w:val="nil"/>
                  </w:tcBorders>
                  <w:shd w:val="clear" w:color="auto" w:fill="auto"/>
                  <w:noWrap/>
                  <w:vAlign w:val="center"/>
                </w:tcPr>
                <w:p w14:paraId="7A7AF444">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eastAsia"/>
                      <w:b w:val="0"/>
                      <w:color w:val="000000"/>
                      <w:szCs w:val="22"/>
                      <w:lang w:val="en-US" w:eastAsia="zh-CN"/>
                    </w:rPr>
                    <w:t>变化情况</w:t>
                  </w:r>
                </w:p>
              </w:tc>
            </w:tr>
            <w:tr w14:paraId="07D6BD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28" w:type="dxa"/>
                  <w:bottom w:w="0" w:type="dxa"/>
                  <w:right w:w="28" w:type="dxa"/>
                </w:tblCellMar>
              </w:tblPrEx>
              <w:trPr>
                <w:trHeight w:val="6" w:hRule="atLeast"/>
                <w:jc w:val="center"/>
              </w:trPr>
              <w:tc>
                <w:tcPr>
                  <w:tcW w:w="896" w:type="dxa"/>
                  <w:tcBorders>
                    <w:left w:val="nil"/>
                  </w:tcBorders>
                  <w:shd w:val="clear" w:color="auto" w:fill="auto"/>
                  <w:noWrap/>
                  <w:vAlign w:val="center"/>
                </w:tcPr>
                <w:p w14:paraId="4CD6CE8C">
                  <w:pPr>
                    <w:pStyle w:val="38"/>
                    <w:keepNext w:val="0"/>
                    <w:keepLines w:val="0"/>
                    <w:widowControl/>
                    <w:suppressLineNumbers w:val="0"/>
                    <w:bidi w:val="0"/>
                    <w:spacing w:before="0" w:beforeAutospacing="0" w:after="0" w:afterAutospacing="0"/>
                    <w:ind w:left="0" w:right="0"/>
                    <w:rPr>
                      <w:rFonts w:hint="eastAsia"/>
                      <w:b w:val="0"/>
                      <w:color w:val="000000"/>
                      <w:szCs w:val="22"/>
                      <w:lang w:eastAsia="zh-CN"/>
                    </w:rPr>
                  </w:pPr>
                  <w:r>
                    <w:rPr>
                      <w:rFonts w:hint="eastAsia"/>
                      <w:b w:val="0"/>
                      <w:color w:val="000000"/>
                      <w:szCs w:val="22"/>
                      <w:lang w:val="en-US" w:eastAsia="zh-CN"/>
                    </w:rPr>
                    <w:t>铝合金</w:t>
                  </w:r>
                </w:p>
              </w:tc>
              <w:tc>
                <w:tcPr>
                  <w:tcW w:w="1526" w:type="dxa"/>
                  <w:shd w:val="clear" w:color="auto" w:fill="auto"/>
                  <w:noWrap/>
                  <w:vAlign w:val="center"/>
                </w:tcPr>
                <w:p w14:paraId="053954BA">
                  <w:pPr>
                    <w:pStyle w:val="38"/>
                    <w:keepNext w:val="0"/>
                    <w:keepLines w:val="0"/>
                    <w:widowControl/>
                    <w:suppressLineNumbers w:val="0"/>
                    <w:bidi w:val="0"/>
                    <w:spacing w:before="0" w:beforeAutospacing="0" w:after="0" w:afterAutospacing="0"/>
                    <w:ind w:left="0" w:right="0"/>
                    <w:rPr>
                      <w:rFonts w:hint="eastAsia"/>
                      <w:b w:val="0"/>
                      <w:color w:val="000000"/>
                      <w:szCs w:val="22"/>
                      <w:lang w:val="en-US" w:eastAsia="zh-CN"/>
                    </w:rPr>
                  </w:pPr>
                  <w:r>
                    <w:rPr>
                      <w:rFonts w:hint="eastAsia"/>
                      <w:b w:val="0"/>
                      <w:color w:val="000000"/>
                      <w:szCs w:val="22"/>
                      <w:lang w:val="en-US" w:eastAsia="zh-CN"/>
                    </w:rPr>
                    <w:t>20万套</w:t>
                  </w:r>
                </w:p>
              </w:tc>
              <w:tc>
                <w:tcPr>
                  <w:tcW w:w="1736" w:type="dxa"/>
                  <w:shd w:val="clear" w:color="auto" w:fill="auto"/>
                  <w:noWrap/>
                  <w:vAlign w:val="center"/>
                </w:tcPr>
                <w:p w14:paraId="409DB292">
                  <w:pPr>
                    <w:pStyle w:val="38"/>
                    <w:keepNext w:val="0"/>
                    <w:keepLines w:val="0"/>
                    <w:widowControl/>
                    <w:suppressLineNumbers w:val="0"/>
                    <w:bidi w:val="0"/>
                    <w:spacing w:before="0" w:beforeAutospacing="0" w:after="0" w:afterAutospacing="0"/>
                    <w:ind w:left="0" w:right="0"/>
                    <w:rPr>
                      <w:rFonts w:hint="eastAsia"/>
                      <w:b w:val="0"/>
                      <w:color w:val="000000"/>
                      <w:szCs w:val="22"/>
                      <w:lang w:val="en-US" w:eastAsia="zh-CN"/>
                    </w:rPr>
                  </w:pPr>
                  <w:r>
                    <w:rPr>
                      <w:rFonts w:hint="eastAsia"/>
                      <w:b w:val="0"/>
                      <w:color w:val="000000"/>
                      <w:szCs w:val="22"/>
                      <w:lang w:val="en-US" w:eastAsia="zh-CN"/>
                    </w:rPr>
                    <w:t>20万套</w:t>
                  </w:r>
                </w:p>
              </w:tc>
              <w:tc>
                <w:tcPr>
                  <w:tcW w:w="2996" w:type="dxa"/>
                  <w:shd w:val="clear" w:color="auto" w:fill="auto"/>
                  <w:noWrap/>
                  <w:vAlign w:val="center"/>
                </w:tcPr>
                <w:p w14:paraId="0E2925EB">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eastAsia"/>
                      <w:b w:val="0"/>
                      <w:color w:val="000000"/>
                      <w:szCs w:val="22"/>
                      <w:lang w:val="en-US" w:eastAsia="zh-CN"/>
                    </w:rPr>
                    <w:t>运回待加工厂，纸箱或铁框包装</w:t>
                  </w:r>
                </w:p>
              </w:tc>
              <w:tc>
                <w:tcPr>
                  <w:tcW w:w="896" w:type="dxa"/>
                  <w:tcBorders>
                    <w:right w:val="nil"/>
                  </w:tcBorders>
                  <w:shd w:val="clear" w:color="auto" w:fill="auto"/>
                  <w:noWrap/>
                  <w:vAlign w:val="center"/>
                </w:tcPr>
                <w:p w14:paraId="3CBBA523">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eastAsia"/>
                      <w:b w:val="0"/>
                      <w:color w:val="000000"/>
                      <w:szCs w:val="22"/>
                      <w:lang w:val="en-US" w:eastAsia="zh-CN"/>
                    </w:rPr>
                    <w:t>不变</w:t>
                  </w:r>
                </w:p>
              </w:tc>
            </w:tr>
            <w:tr w14:paraId="4ED6BB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28" w:type="dxa"/>
                  <w:bottom w:w="0" w:type="dxa"/>
                  <w:right w:w="28" w:type="dxa"/>
                </w:tblCellMar>
              </w:tblPrEx>
              <w:trPr>
                <w:trHeight w:val="6" w:hRule="atLeast"/>
                <w:jc w:val="center"/>
              </w:trPr>
              <w:tc>
                <w:tcPr>
                  <w:tcW w:w="896" w:type="dxa"/>
                  <w:tcBorders>
                    <w:left w:val="nil"/>
                  </w:tcBorders>
                  <w:shd w:val="clear" w:color="auto" w:fill="auto"/>
                  <w:noWrap/>
                  <w:vAlign w:val="center"/>
                </w:tcPr>
                <w:p w14:paraId="14AB3618">
                  <w:pPr>
                    <w:pStyle w:val="38"/>
                    <w:keepNext w:val="0"/>
                    <w:keepLines w:val="0"/>
                    <w:widowControl/>
                    <w:suppressLineNumbers w:val="0"/>
                    <w:bidi w:val="0"/>
                    <w:spacing w:before="0" w:beforeAutospacing="0" w:after="0" w:afterAutospacing="0"/>
                    <w:ind w:left="0" w:right="0"/>
                    <w:rPr>
                      <w:rFonts w:hint="eastAsia"/>
                      <w:b w:val="0"/>
                      <w:color w:val="000000"/>
                      <w:szCs w:val="22"/>
                      <w:lang w:eastAsia="zh-CN"/>
                    </w:rPr>
                  </w:pPr>
                  <w:r>
                    <w:rPr>
                      <w:rFonts w:hint="eastAsia"/>
                      <w:b w:val="0"/>
                      <w:color w:val="000000"/>
                      <w:szCs w:val="22"/>
                      <w:lang w:val="en-US" w:eastAsia="zh-CN"/>
                    </w:rPr>
                    <w:t>塑胶件</w:t>
                  </w:r>
                </w:p>
              </w:tc>
              <w:tc>
                <w:tcPr>
                  <w:tcW w:w="1526" w:type="dxa"/>
                  <w:shd w:val="clear" w:color="auto" w:fill="auto"/>
                  <w:noWrap/>
                  <w:vAlign w:val="center"/>
                </w:tcPr>
                <w:p w14:paraId="1E2B61C0">
                  <w:pPr>
                    <w:pStyle w:val="38"/>
                    <w:keepNext w:val="0"/>
                    <w:keepLines w:val="0"/>
                    <w:widowControl/>
                    <w:suppressLineNumbers w:val="0"/>
                    <w:bidi w:val="0"/>
                    <w:spacing w:before="0" w:beforeAutospacing="0" w:after="0" w:afterAutospacing="0"/>
                    <w:ind w:left="0" w:right="0"/>
                    <w:rPr>
                      <w:rFonts w:hint="eastAsia"/>
                      <w:b w:val="0"/>
                      <w:color w:val="000000"/>
                      <w:szCs w:val="22"/>
                      <w:lang w:val="en-US" w:eastAsia="zh-CN"/>
                    </w:rPr>
                  </w:pPr>
                  <w:r>
                    <w:rPr>
                      <w:rFonts w:hint="eastAsia"/>
                      <w:b w:val="0"/>
                      <w:color w:val="000000"/>
                      <w:szCs w:val="22"/>
                      <w:lang w:val="en-US" w:eastAsia="zh-CN"/>
                    </w:rPr>
                    <w:t>5万套</w:t>
                  </w:r>
                </w:p>
              </w:tc>
              <w:tc>
                <w:tcPr>
                  <w:tcW w:w="1736" w:type="dxa"/>
                  <w:shd w:val="clear" w:color="auto" w:fill="auto"/>
                  <w:noWrap/>
                  <w:vAlign w:val="center"/>
                </w:tcPr>
                <w:p w14:paraId="26CD4534">
                  <w:pPr>
                    <w:pStyle w:val="38"/>
                    <w:keepNext w:val="0"/>
                    <w:keepLines w:val="0"/>
                    <w:widowControl/>
                    <w:suppressLineNumbers w:val="0"/>
                    <w:bidi w:val="0"/>
                    <w:spacing w:before="0" w:beforeAutospacing="0" w:after="0" w:afterAutospacing="0"/>
                    <w:ind w:left="0" w:right="0"/>
                    <w:rPr>
                      <w:rFonts w:hint="eastAsia"/>
                      <w:b w:val="0"/>
                      <w:color w:val="000000"/>
                      <w:szCs w:val="22"/>
                      <w:lang w:val="en-US" w:eastAsia="zh-CN"/>
                    </w:rPr>
                  </w:pPr>
                  <w:r>
                    <w:rPr>
                      <w:rFonts w:hint="eastAsia"/>
                      <w:b w:val="0"/>
                      <w:color w:val="000000"/>
                      <w:szCs w:val="22"/>
                      <w:lang w:val="en-US" w:eastAsia="zh-CN"/>
                    </w:rPr>
                    <w:t>30万套</w:t>
                  </w:r>
                </w:p>
              </w:tc>
              <w:tc>
                <w:tcPr>
                  <w:tcW w:w="2996" w:type="dxa"/>
                  <w:shd w:val="clear" w:color="auto" w:fill="auto"/>
                  <w:noWrap/>
                  <w:vAlign w:val="center"/>
                </w:tcPr>
                <w:p w14:paraId="32D35805">
                  <w:pPr>
                    <w:pStyle w:val="38"/>
                    <w:keepNext w:val="0"/>
                    <w:keepLines w:val="0"/>
                    <w:widowControl/>
                    <w:suppressLineNumbers w:val="0"/>
                    <w:bidi w:val="0"/>
                    <w:spacing w:before="0" w:beforeAutospacing="0" w:after="0" w:afterAutospacing="0"/>
                    <w:ind w:left="0" w:right="0"/>
                    <w:rPr>
                      <w:rFonts w:hint="eastAsia"/>
                      <w:b w:val="0"/>
                      <w:color w:val="000000"/>
                      <w:szCs w:val="22"/>
                      <w:lang w:val="en-US" w:eastAsia="zh-CN"/>
                    </w:rPr>
                  </w:pPr>
                  <w:r>
                    <w:rPr>
                      <w:rFonts w:hint="eastAsia"/>
                      <w:b w:val="0"/>
                      <w:color w:val="000000"/>
                      <w:szCs w:val="22"/>
                      <w:lang w:val="en-US" w:eastAsia="zh-CN"/>
                    </w:rPr>
                    <w:t>运回待加工厂，胶框包装</w:t>
                  </w:r>
                </w:p>
              </w:tc>
              <w:tc>
                <w:tcPr>
                  <w:tcW w:w="896" w:type="dxa"/>
                  <w:tcBorders>
                    <w:right w:val="nil"/>
                  </w:tcBorders>
                  <w:shd w:val="clear" w:color="auto" w:fill="auto"/>
                  <w:noWrap/>
                  <w:vAlign w:val="center"/>
                </w:tcPr>
                <w:p w14:paraId="419F5760">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eastAsia"/>
                      <w:b w:val="0"/>
                      <w:color w:val="000000"/>
                      <w:szCs w:val="22"/>
                      <w:lang w:val="en-US" w:eastAsia="zh-CN"/>
                    </w:rPr>
                    <w:t>+25万套</w:t>
                  </w:r>
                </w:p>
              </w:tc>
            </w:tr>
            <w:tr w14:paraId="6E1849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28" w:type="dxa"/>
                  <w:bottom w:w="0" w:type="dxa"/>
                  <w:right w:w="28" w:type="dxa"/>
                </w:tblCellMar>
              </w:tblPrEx>
              <w:trPr>
                <w:trHeight w:val="6" w:hRule="atLeast"/>
                <w:jc w:val="center"/>
              </w:trPr>
              <w:tc>
                <w:tcPr>
                  <w:tcW w:w="896" w:type="dxa"/>
                  <w:tcBorders>
                    <w:left w:val="nil"/>
                    <w:bottom w:val="single" w:color="000000" w:sz="12" w:space="0"/>
                  </w:tcBorders>
                  <w:shd w:val="clear" w:color="auto" w:fill="auto"/>
                  <w:noWrap/>
                  <w:vAlign w:val="center"/>
                </w:tcPr>
                <w:p w14:paraId="4E118F4A">
                  <w:pPr>
                    <w:pStyle w:val="38"/>
                    <w:keepNext w:val="0"/>
                    <w:keepLines w:val="0"/>
                    <w:widowControl/>
                    <w:suppressLineNumbers w:val="0"/>
                    <w:bidi w:val="0"/>
                    <w:spacing w:before="0" w:beforeAutospacing="0" w:after="0" w:afterAutospacing="0"/>
                    <w:ind w:left="0" w:right="0"/>
                    <w:rPr>
                      <w:rFonts w:hint="eastAsia"/>
                      <w:b w:val="0"/>
                      <w:color w:val="000000"/>
                      <w:szCs w:val="22"/>
                      <w:lang w:val="en-US" w:eastAsia="zh-CN"/>
                    </w:rPr>
                  </w:pPr>
                  <w:r>
                    <w:rPr>
                      <w:rFonts w:hint="eastAsia"/>
                      <w:b w:val="0"/>
                      <w:color w:val="000000"/>
                      <w:szCs w:val="22"/>
                      <w:lang w:val="en-US" w:eastAsia="zh-CN"/>
                    </w:rPr>
                    <w:t>钣金件</w:t>
                  </w:r>
                </w:p>
              </w:tc>
              <w:tc>
                <w:tcPr>
                  <w:tcW w:w="1526" w:type="dxa"/>
                  <w:tcBorders>
                    <w:bottom w:val="single" w:color="000000" w:sz="12" w:space="0"/>
                  </w:tcBorders>
                  <w:shd w:val="clear" w:color="auto" w:fill="auto"/>
                  <w:noWrap/>
                  <w:vAlign w:val="center"/>
                </w:tcPr>
                <w:p w14:paraId="2E954872">
                  <w:pPr>
                    <w:pStyle w:val="38"/>
                    <w:keepNext w:val="0"/>
                    <w:keepLines w:val="0"/>
                    <w:widowControl/>
                    <w:suppressLineNumbers w:val="0"/>
                    <w:bidi w:val="0"/>
                    <w:spacing w:before="0" w:beforeAutospacing="0" w:after="0" w:afterAutospacing="0"/>
                    <w:ind w:left="0" w:right="0"/>
                    <w:rPr>
                      <w:rFonts w:hint="eastAsia"/>
                      <w:b w:val="0"/>
                      <w:color w:val="000000"/>
                      <w:szCs w:val="22"/>
                      <w:lang w:val="en-US" w:eastAsia="zh-CN"/>
                    </w:rPr>
                  </w:pPr>
                  <w:r>
                    <w:rPr>
                      <w:rFonts w:hint="eastAsia"/>
                      <w:b w:val="0"/>
                      <w:color w:val="000000"/>
                      <w:szCs w:val="22"/>
                      <w:lang w:val="en-US" w:eastAsia="zh-CN"/>
                    </w:rPr>
                    <w:t>5万套</w:t>
                  </w:r>
                </w:p>
              </w:tc>
              <w:tc>
                <w:tcPr>
                  <w:tcW w:w="1736" w:type="dxa"/>
                  <w:tcBorders>
                    <w:bottom w:val="single" w:color="000000" w:sz="12" w:space="0"/>
                  </w:tcBorders>
                  <w:shd w:val="clear" w:color="auto" w:fill="auto"/>
                  <w:noWrap/>
                  <w:vAlign w:val="center"/>
                </w:tcPr>
                <w:p w14:paraId="7EA21771">
                  <w:pPr>
                    <w:pStyle w:val="38"/>
                    <w:keepNext w:val="0"/>
                    <w:keepLines w:val="0"/>
                    <w:widowControl/>
                    <w:suppressLineNumbers w:val="0"/>
                    <w:bidi w:val="0"/>
                    <w:spacing w:before="0" w:beforeAutospacing="0" w:after="0" w:afterAutospacing="0"/>
                    <w:ind w:left="0" w:right="0"/>
                    <w:rPr>
                      <w:rFonts w:hint="eastAsia"/>
                      <w:b w:val="0"/>
                      <w:color w:val="000000"/>
                      <w:szCs w:val="22"/>
                      <w:lang w:val="en-US" w:eastAsia="zh-CN"/>
                    </w:rPr>
                  </w:pPr>
                  <w:r>
                    <w:rPr>
                      <w:rFonts w:hint="eastAsia"/>
                      <w:b w:val="0"/>
                      <w:color w:val="000000"/>
                      <w:szCs w:val="22"/>
                      <w:lang w:val="en-US" w:eastAsia="zh-CN"/>
                    </w:rPr>
                    <w:t>10万套</w:t>
                  </w:r>
                </w:p>
              </w:tc>
              <w:tc>
                <w:tcPr>
                  <w:tcW w:w="2996" w:type="dxa"/>
                  <w:tcBorders>
                    <w:bottom w:val="single" w:color="000000" w:sz="12" w:space="0"/>
                  </w:tcBorders>
                  <w:shd w:val="clear" w:color="auto" w:fill="auto"/>
                  <w:noWrap/>
                  <w:vAlign w:val="center"/>
                </w:tcPr>
                <w:p w14:paraId="0CCE517A">
                  <w:pPr>
                    <w:pStyle w:val="38"/>
                    <w:keepNext w:val="0"/>
                    <w:keepLines w:val="0"/>
                    <w:widowControl/>
                    <w:suppressLineNumbers w:val="0"/>
                    <w:bidi w:val="0"/>
                    <w:spacing w:before="0" w:beforeAutospacing="0" w:after="0" w:afterAutospacing="0"/>
                    <w:ind w:left="0" w:right="0"/>
                    <w:rPr>
                      <w:rFonts w:hint="eastAsia"/>
                      <w:b w:val="0"/>
                      <w:color w:val="000000"/>
                      <w:szCs w:val="22"/>
                      <w:lang w:val="en-US" w:eastAsia="zh-CN"/>
                    </w:rPr>
                  </w:pPr>
                  <w:r>
                    <w:rPr>
                      <w:rFonts w:hint="eastAsia"/>
                      <w:b w:val="0"/>
                      <w:color w:val="000000"/>
                      <w:szCs w:val="22"/>
                      <w:lang w:val="en-US" w:eastAsia="zh-CN"/>
                    </w:rPr>
                    <w:t>运回待加工厂，铁框包装</w:t>
                  </w:r>
                </w:p>
              </w:tc>
              <w:tc>
                <w:tcPr>
                  <w:tcW w:w="896" w:type="dxa"/>
                  <w:tcBorders>
                    <w:bottom w:val="single" w:color="000000" w:sz="12" w:space="0"/>
                    <w:right w:val="nil"/>
                  </w:tcBorders>
                  <w:shd w:val="clear" w:color="auto" w:fill="auto"/>
                  <w:noWrap/>
                  <w:vAlign w:val="center"/>
                </w:tcPr>
                <w:p w14:paraId="077C4968">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eastAsia"/>
                      <w:b w:val="0"/>
                      <w:color w:val="000000"/>
                      <w:szCs w:val="22"/>
                      <w:lang w:val="en-US" w:eastAsia="zh-CN"/>
                    </w:rPr>
                    <w:t>+5万套</w:t>
                  </w:r>
                </w:p>
              </w:tc>
            </w:tr>
          </w:tbl>
          <w:p w14:paraId="27E2BDF7">
            <w:pPr>
              <w:keepNext w:val="0"/>
              <w:keepLines w:val="0"/>
              <w:suppressLineNumbers w:val="0"/>
              <w:bidi w:val="0"/>
              <w:spacing w:before="0" w:beforeAutospacing="0" w:after="0" w:afterAutospacing="0"/>
              <w:ind w:left="0" w:right="0"/>
              <w:rPr>
                <w:rFonts w:hint="eastAsia"/>
              </w:rPr>
            </w:pPr>
            <w:r>
              <w:rPr>
                <w:rFonts w:hint="eastAsia"/>
                <w:color w:val="auto"/>
              </w:rPr>
              <w:t>（</w:t>
            </w:r>
            <w:r>
              <w:rPr>
                <w:rFonts w:hint="eastAsia"/>
              </w:rPr>
              <w:t>2）主要原辅材料、能源消耗</w:t>
            </w:r>
          </w:p>
          <w:p w14:paraId="135290E3">
            <w:pPr>
              <w:keepNext w:val="0"/>
              <w:keepLines w:val="0"/>
              <w:suppressLineNumbers w:val="0"/>
              <w:bidi w:val="0"/>
              <w:spacing w:before="0" w:beforeAutospacing="0" w:after="0" w:afterAutospacing="0"/>
              <w:ind w:left="0" w:right="0"/>
              <w:rPr>
                <w:rFonts w:hint="eastAsia"/>
              </w:rPr>
            </w:pPr>
            <w:r>
              <w:rPr>
                <w:rFonts w:hint="eastAsia"/>
              </w:rPr>
              <w:t>本项目主要原辅材料及能源消耗详见表2.</w:t>
            </w:r>
            <w:r>
              <w:rPr>
                <w:rFonts w:hint="eastAsia"/>
                <w:lang w:val="en-US" w:eastAsia="zh-CN"/>
              </w:rPr>
              <w:t>4</w:t>
            </w:r>
            <w:r>
              <w:rPr>
                <w:rFonts w:hint="eastAsia"/>
              </w:rPr>
              <w:t>-2。</w:t>
            </w:r>
          </w:p>
          <w:p w14:paraId="4A0D5C03">
            <w:pPr>
              <w:pStyle w:val="39"/>
              <w:keepNext w:val="0"/>
              <w:keepLines w:val="0"/>
              <w:suppressLineNumbers w:val="0"/>
              <w:bidi w:val="0"/>
              <w:spacing w:before="0" w:beforeAutospacing="0" w:after="0" w:afterAutospacing="0"/>
              <w:ind w:left="0" w:right="0"/>
              <w:rPr>
                <w:rFonts w:hint="eastAsia"/>
                <w:lang w:eastAsia="zh-CN"/>
              </w:rPr>
            </w:pPr>
            <w:r>
              <w:rPr>
                <w:rFonts w:hint="eastAsia"/>
                <w:lang w:eastAsia="zh-CN"/>
              </w:rPr>
              <w:t>表2.</w:t>
            </w:r>
            <w:r>
              <w:rPr>
                <w:rFonts w:hint="eastAsia"/>
                <w:lang w:val="en-US" w:eastAsia="zh-CN"/>
              </w:rPr>
              <w:t>4</w:t>
            </w:r>
            <w:r>
              <w:rPr>
                <w:rFonts w:hint="eastAsia"/>
                <w:lang w:eastAsia="zh-CN"/>
              </w:rPr>
              <w:t>-2 项目主要原辅材料、能源消耗情况一览表</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522"/>
              <w:gridCol w:w="867"/>
              <w:gridCol w:w="835"/>
              <w:gridCol w:w="835"/>
              <w:gridCol w:w="981"/>
              <w:gridCol w:w="981"/>
              <w:gridCol w:w="981"/>
              <w:gridCol w:w="981"/>
              <w:gridCol w:w="1386"/>
            </w:tblGrid>
            <w:tr w14:paraId="214FAE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 w:hRule="atLeast"/>
                <w:jc w:val="center"/>
              </w:trPr>
              <w:tc>
                <w:tcPr>
                  <w:tcW w:w="0" w:type="auto"/>
                  <w:vMerge w:val="restart"/>
                  <w:tcBorders>
                    <w:left w:val="nil"/>
                  </w:tcBorders>
                  <w:noWrap/>
                  <w:vAlign w:val="center"/>
                </w:tcPr>
                <w:p w14:paraId="1DB436A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序号</w:t>
                  </w:r>
                </w:p>
              </w:tc>
              <w:tc>
                <w:tcPr>
                  <w:tcW w:w="0" w:type="auto"/>
                  <w:vMerge w:val="restart"/>
                  <w:noWrap w:val="0"/>
                  <w:vAlign w:val="center"/>
                </w:tcPr>
                <w:p w14:paraId="32417866">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rPr>
                    <w:t>材料/能源</w:t>
                  </w:r>
                </w:p>
              </w:tc>
              <w:tc>
                <w:tcPr>
                  <w:tcW w:w="0" w:type="auto"/>
                  <w:gridSpan w:val="2"/>
                  <w:vMerge w:val="restart"/>
                  <w:noWrap/>
                  <w:vAlign w:val="center"/>
                </w:tcPr>
                <w:p w14:paraId="220E9421">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现有项目年</w:t>
                  </w:r>
                  <w:r>
                    <w:rPr>
                      <w:rFonts w:hint="eastAsia"/>
                      <w:szCs w:val="22"/>
                    </w:rPr>
                    <w:t>用量</w:t>
                  </w:r>
                </w:p>
              </w:tc>
              <w:tc>
                <w:tcPr>
                  <w:tcW w:w="0" w:type="auto"/>
                  <w:gridSpan w:val="4"/>
                  <w:tcBorders>
                    <w:right w:val="nil"/>
                  </w:tcBorders>
                  <w:noWrap/>
                  <w:vAlign w:val="center"/>
                </w:tcPr>
                <w:p w14:paraId="205A08E0">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迁扩建项目年</w:t>
                  </w:r>
                  <w:r>
                    <w:rPr>
                      <w:rFonts w:hint="eastAsia"/>
                      <w:szCs w:val="22"/>
                    </w:rPr>
                    <w:t>用量</w:t>
                  </w:r>
                </w:p>
              </w:tc>
              <w:tc>
                <w:tcPr>
                  <w:tcW w:w="0" w:type="auto"/>
                  <w:vMerge w:val="restart"/>
                  <w:tcBorders>
                    <w:right w:val="nil"/>
                  </w:tcBorders>
                  <w:noWrap/>
                  <w:vAlign w:val="center"/>
                </w:tcPr>
                <w:p w14:paraId="634B2E7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变化情况</w:t>
                  </w:r>
                </w:p>
              </w:tc>
            </w:tr>
            <w:tr w14:paraId="6D3085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 w:hRule="atLeast"/>
                <w:jc w:val="center"/>
              </w:trPr>
              <w:tc>
                <w:tcPr>
                  <w:tcW w:w="0" w:type="auto"/>
                  <w:vMerge w:val="continue"/>
                  <w:tcBorders>
                    <w:left w:val="nil"/>
                  </w:tcBorders>
                  <w:noWrap/>
                  <w:vAlign w:val="center"/>
                </w:tcPr>
                <w:p w14:paraId="400CCE6C">
                  <w:pPr>
                    <w:pStyle w:val="38"/>
                    <w:keepNext w:val="0"/>
                    <w:keepLines w:val="0"/>
                    <w:widowControl/>
                    <w:suppressLineNumbers w:val="0"/>
                    <w:bidi w:val="0"/>
                    <w:spacing w:before="0" w:beforeAutospacing="0" w:after="0" w:afterAutospacing="0"/>
                    <w:ind w:left="0" w:right="0"/>
                    <w:rPr>
                      <w:rFonts w:hint="eastAsia"/>
                      <w:szCs w:val="22"/>
                    </w:rPr>
                  </w:pPr>
                </w:p>
              </w:tc>
              <w:tc>
                <w:tcPr>
                  <w:tcW w:w="0" w:type="auto"/>
                  <w:vMerge w:val="continue"/>
                  <w:noWrap w:val="0"/>
                  <w:vAlign w:val="center"/>
                </w:tcPr>
                <w:p w14:paraId="46FC1052">
                  <w:pPr>
                    <w:pStyle w:val="38"/>
                    <w:keepNext w:val="0"/>
                    <w:keepLines w:val="0"/>
                    <w:widowControl/>
                    <w:suppressLineNumbers w:val="0"/>
                    <w:bidi w:val="0"/>
                    <w:spacing w:before="0" w:beforeAutospacing="0" w:after="0" w:afterAutospacing="0"/>
                    <w:ind w:left="0" w:right="0"/>
                    <w:rPr>
                      <w:rFonts w:hint="eastAsia"/>
                      <w:szCs w:val="22"/>
                    </w:rPr>
                  </w:pPr>
                </w:p>
              </w:tc>
              <w:tc>
                <w:tcPr>
                  <w:tcW w:w="0" w:type="auto"/>
                  <w:gridSpan w:val="2"/>
                  <w:vMerge w:val="continue"/>
                  <w:noWrap/>
                  <w:vAlign w:val="center"/>
                </w:tcPr>
                <w:p w14:paraId="6ADBA62A">
                  <w:pPr>
                    <w:pStyle w:val="38"/>
                    <w:keepNext w:val="0"/>
                    <w:keepLines w:val="0"/>
                    <w:widowControl/>
                    <w:suppressLineNumbers w:val="0"/>
                    <w:bidi w:val="0"/>
                    <w:spacing w:before="0" w:beforeAutospacing="0" w:after="0" w:afterAutospacing="0"/>
                    <w:ind w:left="0" w:right="0"/>
                    <w:rPr>
                      <w:rFonts w:hint="eastAsia"/>
                      <w:szCs w:val="22"/>
                      <w:lang w:val="en-US" w:eastAsia="zh-CN"/>
                    </w:rPr>
                  </w:pPr>
                </w:p>
              </w:tc>
              <w:tc>
                <w:tcPr>
                  <w:tcW w:w="0" w:type="auto"/>
                  <w:tcBorders>
                    <w:right w:val="nil"/>
                  </w:tcBorders>
                  <w:shd w:val="clear" w:color="auto" w:fill="auto"/>
                  <w:noWrap/>
                  <w:vAlign w:val="center"/>
                </w:tcPr>
                <w:p w14:paraId="34D53AA0">
                  <w:pPr>
                    <w:pStyle w:val="38"/>
                    <w:keepNext w:val="0"/>
                    <w:keepLines w:val="0"/>
                    <w:widowControl/>
                    <w:suppressLineNumbers w:val="0"/>
                    <w:bidi w:val="0"/>
                    <w:spacing w:before="0" w:beforeAutospacing="0" w:after="0" w:afterAutospacing="0"/>
                    <w:ind w:left="0" w:right="0"/>
                    <w:rPr>
                      <w:rFonts w:hint="eastAsia" w:ascii="Times New Roman" w:hAnsi="Times New Roman" w:eastAsia="宋体" w:cs="Times New Roman"/>
                      <w:kern w:val="2"/>
                      <w:sz w:val="21"/>
                      <w:szCs w:val="22"/>
                      <w:lang w:val="en-US" w:eastAsia="zh-CN" w:bidi="ar-SA"/>
                    </w:rPr>
                  </w:pPr>
                  <w:r>
                    <w:rPr>
                      <w:rFonts w:hint="eastAsia"/>
                      <w:szCs w:val="22"/>
                      <w:lang w:val="en-US" w:eastAsia="zh-CN"/>
                    </w:rPr>
                    <w:t>生产线1</w:t>
                  </w:r>
                </w:p>
              </w:tc>
              <w:tc>
                <w:tcPr>
                  <w:tcW w:w="0" w:type="auto"/>
                  <w:tcBorders>
                    <w:right w:val="nil"/>
                  </w:tcBorders>
                  <w:shd w:val="clear" w:color="auto" w:fill="auto"/>
                  <w:noWrap/>
                  <w:vAlign w:val="center"/>
                </w:tcPr>
                <w:p w14:paraId="7BFF12F1">
                  <w:pPr>
                    <w:pStyle w:val="38"/>
                    <w:keepNext w:val="0"/>
                    <w:keepLines w:val="0"/>
                    <w:widowControl/>
                    <w:suppressLineNumbers w:val="0"/>
                    <w:bidi w:val="0"/>
                    <w:spacing w:before="0" w:beforeAutospacing="0" w:after="0" w:afterAutospacing="0"/>
                    <w:ind w:left="0" w:right="0"/>
                    <w:rPr>
                      <w:rFonts w:hint="eastAsia" w:ascii="Times New Roman" w:hAnsi="Times New Roman" w:eastAsia="宋体" w:cs="Times New Roman"/>
                      <w:kern w:val="2"/>
                      <w:sz w:val="21"/>
                      <w:szCs w:val="22"/>
                      <w:lang w:val="en-US" w:eastAsia="zh-CN" w:bidi="ar-SA"/>
                    </w:rPr>
                  </w:pPr>
                  <w:r>
                    <w:rPr>
                      <w:rFonts w:hint="eastAsia"/>
                      <w:szCs w:val="22"/>
                      <w:lang w:val="en-US" w:eastAsia="zh-CN"/>
                    </w:rPr>
                    <w:t>生产线2</w:t>
                  </w:r>
                </w:p>
              </w:tc>
              <w:tc>
                <w:tcPr>
                  <w:tcW w:w="0" w:type="auto"/>
                  <w:tcBorders>
                    <w:right w:val="nil"/>
                  </w:tcBorders>
                  <w:shd w:val="clear" w:color="auto" w:fill="auto"/>
                  <w:noWrap/>
                  <w:vAlign w:val="center"/>
                </w:tcPr>
                <w:p w14:paraId="25D5A25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生产线3</w:t>
                  </w:r>
                </w:p>
              </w:tc>
              <w:tc>
                <w:tcPr>
                  <w:tcW w:w="0" w:type="auto"/>
                  <w:tcBorders>
                    <w:right w:val="nil"/>
                  </w:tcBorders>
                  <w:shd w:val="clear" w:color="auto" w:fill="auto"/>
                  <w:noWrap/>
                  <w:vAlign w:val="center"/>
                </w:tcPr>
                <w:p w14:paraId="269FB52F">
                  <w:pPr>
                    <w:pStyle w:val="38"/>
                    <w:keepNext w:val="0"/>
                    <w:keepLines w:val="0"/>
                    <w:widowControl/>
                    <w:suppressLineNumbers w:val="0"/>
                    <w:bidi w:val="0"/>
                    <w:spacing w:before="0" w:beforeAutospacing="0" w:after="0" w:afterAutospacing="0"/>
                    <w:ind w:left="0" w:right="0"/>
                    <w:rPr>
                      <w:rFonts w:hint="eastAsia" w:ascii="Times New Roman" w:hAnsi="Times New Roman" w:eastAsia="宋体" w:cs="Times New Roman"/>
                      <w:kern w:val="2"/>
                      <w:sz w:val="21"/>
                      <w:szCs w:val="22"/>
                      <w:lang w:val="en-US" w:eastAsia="zh-CN" w:bidi="ar-SA"/>
                    </w:rPr>
                  </w:pPr>
                  <w:r>
                    <w:rPr>
                      <w:rFonts w:hint="eastAsia"/>
                      <w:szCs w:val="22"/>
                      <w:lang w:val="en-US" w:eastAsia="zh-CN"/>
                    </w:rPr>
                    <w:t>合计</w:t>
                  </w:r>
                </w:p>
              </w:tc>
              <w:tc>
                <w:tcPr>
                  <w:tcW w:w="0" w:type="auto"/>
                  <w:vMerge w:val="continue"/>
                  <w:tcBorders>
                    <w:right w:val="nil"/>
                  </w:tcBorders>
                  <w:noWrap/>
                  <w:vAlign w:val="center"/>
                </w:tcPr>
                <w:p w14:paraId="6B78D93A">
                  <w:pPr>
                    <w:pStyle w:val="38"/>
                    <w:keepNext w:val="0"/>
                    <w:keepLines w:val="0"/>
                    <w:widowControl/>
                    <w:suppressLineNumbers w:val="0"/>
                    <w:bidi w:val="0"/>
                    <w:spacing w:before="0" w:beforeAutospacing="0" w:after="0" w:afterAutospacing="0"/>
                    <w:ind w:left="0" w:right="0"/>
                    <w:rPr>
                      <w:rFonts w:hint="eastAsia"/>
                      <w:szCs w:val="22"/>
                      <w:lang w:val="en-US" w:eastAsia="zh-CN"/>
                    </w:rPr>
                  </w:pPr>
                </w:p>
              </w:tc>
            </w:tr>
            <w:tr w14:paraId="2C62CD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 w:hRule="atLeast"/>
                <w:jc w:val="center"/>
              </w:trPr>
              <w:tc>
                <w:tcPr>
                  <w:tcW w:w="0" w:type="auto"/>
                  <w:tcBorders>
                    <w:left w:val="nil"/>
                  </w:tcBorders>
                  <w:noWrap/>
                  <w:vAlign w:val="center"/>
                </w:tcPr>
                <w:p w14:paraId="2604669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w:t>
                  </w:r>
                </w:p>
              </w:tc>
              <w:tc>
                <w:tcPr>
                  <w:tcW w:w="0" w:type="auto"/>
                  <w:noWrap w:val="0"/>
                  <w:vAlign w:val="center"/>
                </w:tcPr>
                <w:p w14:paraId="51D39F4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压铸铝</w:t>
                  </w:r>
                </w:p>
              </w:tc>
              <w:tc>
                <w:tcPr>
                  <w:tcW w:w="0" w:type="auto"/>
                  <w:gridSpan w:val="2"/>
                  <w:noWrap/>
                  <w:vAlign w:val="center"/>
                </w:tcPr>
                <w:p w14:paraId="47AA1CDF">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20.6万套</w:t>
                  </w:r>
                </w:p>
              </w:tc>
              <w:tc>
                <w:tcPr>
                  <w:tcW w:w="0" w:type="auto"/>
                  <w:tcBorders>
                    <w:right w:val="nil"/>
                  </w:tcBorders>
                  <w:shd w:val="clear" w:color="auto" w:fill="auto"/>
                  <w:noWrap/>
                  <w:vAlign w:val="center"/>
                </w:tcPr>
                <w:p w14:paraId="0FC7C785">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6.9</w:t>
                  </w:r>
                  <w:r>
                    <w:rPr>
                      <w:rFonts w:hint="eastAsia"/>
                      <w:szCs w:val="22"/>
                      <w:lang w:val="en-US" w:eastAsia="zh-CN"/>
                    </w:rPr>
                    <w:t>万套</w:t>
                  </w:r>
                </w:p>
              </w:tc>
              <w:tc>
                <w:tcPr>
                  <w:tcW w:w="0" w:type="auto"/>
                  <w:tcBorders>
                    <w:right w:val="nil"/>
                  </w:tcBorders>
                  <w:shd w:val="clear" w:color="auto" w:fill="auto"/>
                  <w:noWrap/>
                  <w:vAlign w:val="center"/>
                </w:tcPr>
                <w:p w14:paraId="5FDD2058">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6.9</w:t>
                  </w:r>
                  <w:r>
                    <w:rPr>
                      <w:rFonts w:hint="eastAsia"/>
                      <w:szCs w:val="22"/>
                      <w:lang w:val="en-US" w:eastAsia="zh-CN"/>
                    </w:rPr>
                    <w:t>万套</w:t>
                  </w:r>
                </w:p>
              </w:tc>
              <w:tc>
                <w:tcPr>
                  <w:tcW w:w="0" w:type="auto"/>
                  <w:tcBorders>
                    <w:right w:val="nil"/>
                  </w:tcBorders>
                  <w:shd w:val="clear" w:color="auto" w:fill="auto"/>
                  <w:noWrap/>
                  <w:vAlign w:val="center"/>
                </w:tcPr>
                <w:p w14:paraId="52AA9209">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6.8</w:t>
                  </w:r>
                  <w:r>
                    <w:rPr>
                      <w:rFonts w:hint="eastAsia"/>
                      <w:szCs w:val="22"/>
                      <w:lang w:val="en-US" w:eastAsia="zh-CN"/>
                    </w:rPr>
                    <w:t>万套</w:t>
                  </w:r>
                </w:p>
              </w:tc>
              <w:tc>
                <w:tcPr>
                  <w:tcW w:w="0" w:type="auto"/>
                  <w:tcBorders>
                    <w:right w:val="nil"/>
                  </w:tcBorders>
                  <w:shd w:val="clear" w:color="auto" w:fill="auto"/>
                  <w:noWrap/>
                  <w:vAlign w:val="center"/>
                </w:tcPr>
                <w:p w14:paraId="3CB7BCA2">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20.6</w:t>
                  </w:r>
                  <w:r>
                    <w:rPr>
                      <w:rFonts w:hint="eastAsia"/>
                      <w:szCs w:val="22"/>
                      <w:lang w:val="en-US" w:eastAsia="zh-CN"/>
                    </w:rPr>
                    <w:t>万套</w:t>
                  </w:r>
                </w:p>
              </w:tc>
              <w:tc>
                <w:tcPr>
                  <w:tcW w:w="0" w:type="auto"/>
                  <w:tcBorders>
                    <w:right w:val="nil"/>
                  </w:tcBorders>
                  <w:noWrap/>
                  <w:vAlign w:val="center"/>
                </w:tcPr>
                <w:p w14:paraId="6E14301F">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不变</w:t>
                  </w:r>
                </w:p>
              </w:tc>
            </w:tr>
            <w:tr w14:paraId="3493BB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 w:hRule="atLeast"/>
                <w:jc w:val="center"/>
              </w:trPr>
              <w:tc>
                <w:tcPr>
                  <w:tcW w:w="0" w:type="auto"/>
                  <w:tcBorders>
                    <w:left w:val="nil"/>
                  </w:tcBorders>
                  <w:noWrap/>
                  <w:vAlign w:val="center"/>
                </w:tcPr>
                <w:p w14:paraId="2167B2F0">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rPr>
                    <w:t>2</w:t>
                  </w:r>
                </w:p>
              </w:tc>
              <w:tc>
                <w:tcPr>
                  <w:tcW w:w="0" w:type="auto"/>
                  <w:noWrap w:val="0"/>
                  <w:vAlign w:val="center"/>
                </w:tcPr>
                <w:p w14:paraId="79AF707F">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塑胶壳</w:t>
                  </w:r>
                </w:p>
              </w:tc>
              <w:tc>
                <w:tcPr>
                  <w:tcW w:w="0" w:type="auto"/>
                  <w:gridSpan w:val="2"/>
                  <w:noWrap/>
                  <w:vAlign w:val="center"/>
                </w:tcPr>
                <w:p w14:paraId="3238AF31">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5.15万套</w:t>
                  </w:r>
                </w:p>
              </w:tc>
              <w:tc>
                <w:tcPr>
                  <w:tcW w:w="0" w:type="auto"/>
                  <w:tcBorders>
                    <w:right w:val="nil"/>
                  </w:tcBorders>
                  <w:noWrap/>
                  <w:vAlign w:val="center"/>
                </w:tcPr>
                <w:p w14:paraId="79A9EBA1">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10.3</w:t>
                  </w:r>
                  <w:r>
                    <w:rPr>
                      <w:rFonts w:hint="eastAsia"/>
                      <w:szCs w:val="22"/>
                      <w:lang w:val="en-US" w:eastAsia="zh-CN"/>
                    </w:rPr>
                    <w:t>万套</w:t>
                  </w:r>
                </w:p>
              </w:tc>
              <w:tc>
                <w:tcPr>
                  <w:tcW w:w="0" w:type="auto"/>
                  <w:tcBorders>
                    <w:right w:val="nil"/>
                  </w:tcBorders>
                  <w:noWrap/>
                  <w:vAlign w:val="center"/>
                </w:tcPr>
                <w:p w14:paraId="36C955B2">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10.3</w:t>
                  </w:r>
                  <w:r>
                    <w:rPr>
                      <w:rFonts w:hint="eastAsia"/>
                      <w:szCs w:val="22"/>
                      <w:lang w:val="en-US" w:eastAsia="zh-CN"/>
                    </w:rPr>
                    <w:t>万套</w:t>
                  </w:r>
                </w:p>
              </w:tc>
              <w:tc>
                <w:tcPr>
                  <w:tcW w:w="0" w:type="auto"/>
                  <w:tcBorders>
                    <w:right w:val="nil"/>
                  </w:tcBorders>
                  <w:noWrap/>
                  <w:vAlign w:val="center"/>
                </w:tcPr>
                <w:p w14:paraId="79BE5055">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10.3</w:t>
                  </w:r>
                  <w:r>
                    <w:rPr>
                      <w:rFonts w:hint="eastAsia"/>
                      <w:szCs w:val="22"/>
                      <w:lang w:val="en-US" w:eastAsia="zh-CN"/>
                    </w:rPr>
                    <w:t>万套</w:t>
                  </w:r>
                </w:p>
              </w:tc>
              <w:tc>
                <w:tcPr>
                  <w:tcW w:w="0" w:type="auto"/>
                  <w:tcBorders>
                    <w:right w:val="nil"/>
                  </w:tcBorders>
                  <w:noWrap/>
                  <w:vAlign w:val="center"/>
                </w:tcPr>
                <w:p w14:paraId="05EA0ABA">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30.9</w:t>
                  </w:r>
                  <w:r>
                    <w:rPr>
                      <w:rFonts w:hint="eastAsia"/>
                      <w:szCs w:val="22"/>
                      <w:lang w:val="en-US" w:eastAsia="zh-CN"/>
                    </w:rPr>
                    <w:t>万套</w:t>
                  </w:r>
                </w:p>
              </w:tc>
              <w:tc>
                <w:tcPr>
                  <w:tcW w:w="0" w:type="auto"/>
                  <w:tcBorders>
                    <w:right w:val="nil"/>
                  </w:tcBorders>
                  <w:noWrap/>
                  <w:vAlign w:val="center"/>
                </w:tcPr>
                <w:p w14:paraId="3618CFD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+25.75</w:t>
                  </w:r>
                  <w:r>
                    <w:rPr>
                      <w:rFonts w:hint="eastAsia"/>
                      <w:szCs w:val="22"/>
                      <w:lang w:val="en-US" w:eastAsia="zh-CN"/>
                    </w:rPr>
                    <w:t>万套</w:t>
                  </w:r>
                </w:p>
              </w:tc>
            </w:tr>
            <w:tr w14:paraId="428D21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 w:hRule="atLeast"/>
                <w:jc w:val="center"/>
              </w:trPr>
              <w:tc>
                <w:tcPr>
                  <w:tcW w:w="0" w:type="auto"/>
                  <w:tcBorders>
                    <w:left w:val="nil"/>
                  </w:tcBorders>
                  <w:noWrap/>
                  <w:vAlign w:val="center"/>
                </w:tcPr>
                <w:p w14:paraId="3CD62D28">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rPr>
                    <w:t>3</w:t>
                  </w:r>
                </w:p>
              </w:tc>
              <w:tc>
                <w:tcPr>
                  <w:tcW w:w="0" w:type="auto"/>
                  <w:noWrap w:val="0"/>
                  <w:vAlign w:val="center"/>
                </w:tcPr>
                <w:p w14:paraId="02ADD665">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钣金</w:t>
                  </w:r>
                </w:p>
              </w:tc>
              <w:tc>
                <w:tcPr>
                  <w:tcW w:w="0" w:type="auto"/>
                  <w:gridSpan w:val="2"/>
                  <w:noWrap/>
                  <w:vAlign w:val="center"/>
                </w:tcPr>
                <w:p w14:paraId="3F498951">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5.15万套</w:t>
                  </w:r>
                </w:p>
              </w:tc>
              <w:tc>
                <w:tcPr>
                  <w:tcW w:w="0" w:type="auto"/>
                  <w:tcBorders>
                    <w:right w:val="nil"/>
                  </w:tcBorders>
                  <w:noWrap/>
                  <w:vAlign w:val="center"/>
                </w:tcPr>
                <w:p w14:paraId="26FFB47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3.4</w:t>
                  </w:r>
                  <w:r>
                    <w:rPr>
                      <w:rFonts w:hint="eastAsia"/>
                      <w:szCs w:val="22"/>
                      <w:lang w:val="en-US" w:eastAsia="zh-CN"/>
                    </w:rPr>
                    <w:t>万套</w:t>
                  </w:r>
                </w:p>
              </w:tc>
              <w:tc>
                <w:tcPr>
                  <w:tcW w:w="0" w:type="auto"/>
                  <w:tcBorders>
                    <w:right w:val="nil"/>
                  </w:tcBorders>
                  <w:noWrap/>
                  <w:vAlign w:val="center"/>
                </w:tcPr>
                <w:p w14:paraId="5FC3EDF6">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3.4</w:t>
                  </w:r>
                  <w:r>
                    <w:rPr>
                      <w:rFonts w:hint="eastAsia"/>
                      <w:szCs w:val="22"/>
                      <w:lang w:val="en-US" w:eastAsia="zh-CN"/>
                    </w:rPr>
                    <w:t>万套</w:t>
                  </w:r>
                </w:p>
              </w:tc>
              <w:tc>
                <w:tcPr>
                  <w:tcW w:w="0" w:type="auto"/>
                  <w:tcBorders>
                    <w:right w:val="nil"/>
                  </w:tcBorders>
                  <w:noWrap/>
                  <w:vAlign w:val="center"/>
                </w:tcPr>
                <w:p w14:paraId="01743265">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3.4</w:t>
                  </w:r>
                  <w:r>
                    <w:rPr>
                      <w:rFonts w:hint="eastAsia"/>
                      <w:szCs w:val="22"/>
                      <w:lang w:val="en-US" w:eastAsia="zh-CN"/>
                    </w:rPr>
                    <w:t>万套</w:t>
                  </w:r>
                </w:p>
              </w:tc>
              <w:tc>
                <w:tcPr>
                  <w:tcW w:w="0" w:type="auto"/>
                  <w:tcBorders>
                    <w:right w:val="nil"/>
                  </w:tcBorders>
                  <w:noWrap/>
                  <w:vAlign w:val="center"/>
                </w:tcPr>
                <w:p w14:paraId="6BCAE42F">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10.2</w:t>
                  </w:r>
                  <w:r>
                    <w:rPr>
                      <w:rFonts w:hint="eastAsia"/>
                      <w:szCs w:val="22"/>
                      <w:lang w:val="en-US" w:eastAsia="zh-CN"/>
                    </w:rPr>
                    <w:t>万套</w:t>
                  </w:r>
                </w:p>
              </w:tc>
              <w:tc>
                <w:tcPr>
                  <w:tcW w:w="0" w:type="auto"/>
                  <w:tcBorders>
                    <w:right w:val="nil"/>
                  </w:tcBorders>
                  <w:noWrap/>
                  <w:vAlign w:val="center"/>
                </w:tcPr>
                <w:p w14:paraId="2188FE08">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+5.14</w:t>
                  </w:r>
                  <w:r>
                    <w:rPr>
                      <w:rFonts w:hint="eastAsia"/>
                      <w:szCs w:val="22"/>
                      <w:lang w:val="en-US" w:eastAsia="zh-CN"/>
                    </w:rPr>
                    <w:t>万套</w:t>
                  </w:r>
                </w:p>
              </w:tc>
            </w:tr>
            <w:tr w14:paraId="350ABA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90" w:hRule="atLeast"/>
                <w:jc w:val="center"/>
              </w:trPr>
              <w:tc>
                <w:tcPr>
                  <w:tcW w:w="0" w:type="auto"/>
                  <w:tcBorders>
                    <w:left w:val="nil"/>
                  </w:tcBorders>
                  <w:noWrap/>
                  <w:vAlign w:val="center"/>
                </w:tcPr>
                <w:p w14:paraId="5138FA53">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4</w:t>
                  </w:r>
                </w:p>
              </w:tc>
              <w:tc>
                <w:tcPr>
                  <w:tcW w:w="0" w:type="auto"/>
                  <w:noWrap w:val="0"/>
                  <w:vAlign w:val="center"/>
                </w:tcPr>
                <w:p w14:paraId="24CE4A2A">
                  <w:pPr>
                    <w:pStyle w:val="38"/>
                    <w:keepNext w:val="0"/>
                    <w:keepLines w:val="0"/>
                    <w:widowControl/>
                    <w:suppressLineNumbers w:val="0"/>
                    <w:bidi w:val="0"/>
                    <w:spacing w:before="0" w:beforeAutospacing="0" w:after="0" w:afterAutospacing="0"/>
                    <w:ind w:left="0" w:right="0"/>
                    <w:rPr>
                      <w:rFonts w:hint="default"/>
                      <w:szCs w:val="22"/>
                      <w:vertAlign w:val="superscript"/>
                      <w:lang w:val="en-US" w:eastAsia="zh-CN"/>
                    </w:rPr>
                  </w:pPr>
                  <w:r>
                    <w:rPr>
                      <w:rFonts w:hint="eastAsia"/>
                      <w:szCs w:val="22"/>
                      <w:lang w:val="en-US" w:eastAsia="zh-CN"/>
                    </w:rPr>
                    <w:t>水性漆</w:t>
                  </w:r>
                  <w:r>
                    <w:rPr>
                      <w:rFonts w:hint="eastAsia"/>
                      <w:szCs w:val="22"/>
                      <w:vertAlign w:val="superscript"/>
                      <w:lang w:val="en-US" w:eastAsia="zh-CN"/>
                    </w:rPr>
                    <w:t>*</w:t>
                  </w:r>
                </w:p>
              </w:tc>
              <w:tc>
                <w:tcPr>
                  <w:tcW w:w="0" w:type="auto"/>
                  <w:gridSpan w:val="2"/>
                  <w:noWrap/>
                  <w:vAlign w:val="center"/>
                </w:tcPr>
                <w:p w14:paraId="527D5EB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0.5</w:t>
                  </w:r>
                </w:p>
              </w:tc>
              <w:tc>
                <w:tcPr>
                  <w:tcW w:w="0" w:type="auto"/>
                  <w:tcBorders>
                    <w:right w:val="nil"/>
                  </w:tcBorders>
                  <w:noWrap/>
                  <w:vAlign w:val="center"/>
                </w:tcPr>
                <w:p w14:paraId="57B00B7C">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0.3t</w:t>
                  </w:r>
                </w:p>
              </w:tc>
              <w:tc>
                <w:tcPr>
                  <w:tcW w:w="0" w:type="auto"/>
                  <w:tcBorders>
                    <w:right w:val="nil"/>
                  </w:tcBorders>
                  <w:noWrap/>
                  <w:vAlign w:val="center"/>
                </w:tcPr>
                <w:p w14:paraId="2F300BC7">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0.3t</w:t>
                  </w:r>
                </w:p>
              </w:tc>
              <w:tc>
                <w:tcPr>
                  <w:tcW w:w="0" w:type="auto"/>
                  <w:tcBorders>
                    <w:right w:val="nil"/>
                  </w:tcBorders>
                  <w:noWrap/>
                  <w:vAlign w:val="center"/>
                </w:tcPr>
                <w:p w14:paraId="6A1C1E61">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0.3t</w:t>
                  </w:r>
                </w:p>
              </w:tc>
              <w:tc>
                <w:tcPr>
                  <w:tcW w:w="0" w:type="auto"/>
                  <w:tcBorders>
                    <w:right w:val="nil"/>
                  </w:tcBorders>
                  <w:noWrap/>
                  <w:vAlign w:val="center"/>
                </w:tcPr>
                <w:p w14:paraId="6C1C38D5">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0.9t</w:t>
                  </w:r>
                </w:p>
              </w:tc>
              <w:tc>
                <w:tcPr>
                  <w:tcW w:w="0" w:type="auto"/>
                  <w:tcBorders>
                    <w:right w:val="nil"/>
                  </w:tcBorders>
                  <w:noWrap/>
                  <w:vAlign w:val="center"/>
                </w:tcPr>
                <w:p w14:paraId="2F948677">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+0.4t</w:t>
                  </w:r>
                </w:p>
              </w:tc>
            </w:tr>
            <w:tr w14:paraId="7940F7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 w:hRule="atLeast"/>
                <w:jc w:val="center"/>
              </w:trPr>
              <w:tc>
                <w:tcPr>
                  <w:tcW w:w="0" w:type="auto"/>
                  <w:tcBorders>
                    <w:left w:val="nil"/>
                  </w:tcBorders>
                  <w:noWrap/>
                  <w:vAlign w:val="center"/>
                </w:tcPr>
                <w:p w14:paraId="0B9CCE9D">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5</w:t>
                  </w:r>
                </w:p>
              </w:tc>
              <w:tc>
                <w:tcPr>
                  <w:tcW w:w="0" w:type="auto"/>
                  <w:noWrap w:val="0"/>
                  <w:vAlign w:val="center"/>
                </w:tcPr>
                <w:p w14:paraId="278F2C86">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塑胶用油性漆</w:t>
                  </w:r>
                </w:p>
              </w:tc>
              <w:tc>
                <w:tcPr>
                  <w:tcW w:w="0" w:type="auto"/>
                  <w:gridSpan w:val="2"/>
                  <w:noWrap/>
                  <w:vAlign w:val="center"/>
                </w:tcPr>
                <w:p w14:paraId="4BE45293">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0.3t</w:t>
                  </w:r>
                </w:p>
              </w:tc>
              <w:tc>
                <w:tcPr>
                  <w:tcW w:w="0" w:type="auto"/>
                  <w:tcBorders>
                    <w:right w:val="nil"/>
                  </w:tcBorders>
                  <w:noWrap/>
                  <w:vAlign w:val="center"/>
                </w:tcPr>
                <w:p w14:paraId="45D2E84F">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default"/>
                      <w:szCs w:val="22"/>
                      <w:lang w:val="en-US" w:eastAsia="zh-CN"/>
                    </w:rPr>
                    <w:t>0.2t</w:t>
                  </w:r>
                </w:p>
              </w:tc>
              <w:tc>
                <w:tcPr>
                  <w:tcW w:w="0" w:type="auto"/>
                  <w:tcBorders>
                    <w:right w:val="nil"/>
                  </w:tcBorders>
                  <w:noWrap/>
                  <w:vAlign w:val="center"/>
                </w:tcPr>
                <w:p w14:paraId="79F53E78">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0.2t</w:t>
                  </w:r>
                </w:p>
              </w:tc>
              <w:tc>
                <w:tcPr>
                  <w:tcW w:w="0" w:type="auto"/>
                  <w:tcBorders>
                    <w:right w:val="nil"/>
                  </w:tcBorders>
                  <w:noWrap/>
                  <w:vAlign w:val="center"/>
                </w:tcPr>
                <w:p w14:paraId="50109547">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0.2t</w:t>
                  </w:r>
                </w:p>
              </w:tc>
              <w:tc>
                <w:tcPr>
                  <w:tcW w:w="0" w:type="auto"/>
                  <w:tcBorders>
                    <w:right w:val="nil"/>
                  </w:tcBorders>
                  <w:noWrap/>
                  <w:vAlign w:val="center"/>
                </w:tcPr>
                <w:p w14:paraId="1E9BF001">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0.6t</w:t>
                  </w:r>
                </w:p>
              </w:tc>
              <w:tc>
                <w:tcPr>
                  <w:tcW w:w="0" w:type="auto"/>
                  <w:tcBorders>
                    <w:right w:val="nil"/>
                  </w:tcBorders>
                  <w:noWrap/>
                  <w:vAlign w:val="center"/>
                </w:tcPr>
                <w:p w14:paraId="2FF7AEB7">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+0.3t</w:t>
                  </w:r>
                </w:p>
              </w:tc>
            </w:tr>
            <w:tr w14:paraId="18C96A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 w:hRule="atLeast"/>
                <w:jc w:val="center"/>
              </w:trPr>
              <w:tc>
                <w:tcPr>
                  <w:tcW w:w="0" w:type="auto"/>
                  <w:tcBorders>
                    <w:left w:val="nil"/>
                  </w:tcBorders>
                  <w:noWrap/>
                  <w:vAlign w:val="center"/>
                </w:tcPr>
                <w:p w14:paraId="51C8A400">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6</w:t>
                  </w:r>
                </w:p>
              </w:tc>
              <w:tc>
                <w:tcPr>
                  <w:tcW w:w="0" w:type="auto"/>
                  <w:noWrap w:val="0"/>
                  <w:vAlign w:val="center"/>
                </w:tcPr>
                <w:p w14:paraId="317202E1">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金属用油性漆</w:t>
                  </w:r>
                </w:p>
              </w:tc>
              <w:tc>
                <w:tcPr>
                  <w:tcW w:w="0" w:type="auto"/>
                  <w:gridSpan w:val="2"/>
                  <w:noWrap/>
                  <w:vAlign w:val="center"/>
                </w:tcPr>
                <w:p w14:paraId="15603AB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1.7t</w:t>
                  </w:r>
                </w:p>
              </w:tc>
              <w:tc>
                <w:tcPr>
                  <w:tcW w:w="0" w:type="auto"/>
                  <w:tcBorders>
                    <w:right w:val="nil"/>
                  </w:tcBorders>
                  <w:noWrap/>
                  <w:vAlign w:val="center"/>
                </w:tcPr>
                <w:p w14:paraId="7102A9A0">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default"/>
                      <w:szCs w:val="22"/>
                      <w:lang w:val="en-US" w:eastAsia="zh-CN"/>
                    </w:rPr>
                    <w:t>1.1t</w:t>
                  </w:r>
                </w:p>
              </w:tc>
              <w:tc>
                <w:tcPr>
                  <w:tcW w:w="0" w:type="auto"/>
                  <w:tcBorders>
                    <w:right w:val="nil"/>
                  </w:tcBorders>
                  <w:noWrap/>
                  <w:vAlign w:val="center"/>
                </w:tcPr>
                <w:p w14:paraId="06A9987A">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1.1t</w:t>
                  </w:r>
                </w:p>
              </w:tc>
              <w:tc>
                <w:tcPr>
                  <w:tcW w:w="0" w:type="auto"/>
                  <w:tcBorders>
                    <w:right w:val="nil"/>
                  </w:tcBorders>
                  <w:noWrap/>
                  <w:vAlign w:val="center"/>
                </w:tcPr>
                <w:p w14:paraId="6C444C00">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1.1t</w:t>
                  </w:r>
                </w:p>
              </w:tc>
              <w:tc>
                <w:tcPr>
                  <w:tcW w:w="0" w:type="auto"/>
                  <w:tcBorders>
                    <w:right w:val="nil"/>
                  </w:tcBorders>
                  <w:noWrap/>
                  <w:vAlign w:val="center"/>
                </w:tcPr>
                <w:p w14:paraId="003D5B66">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3.3t</w:t>
                  </w:r>
                </w:p>
              </w:tc>
              <w:tc>
                <w:tcPr>
                  <w:tcW w:w="0" w:type="auto"/>
                  <w:tcBorders>
                    <w:right w:val="nil"/>
                  </w:tcBorders>
                  <w:noWrap/>
                  <w:vAlign w:val="center"/>
                </w:tcPr>
                <w:p w14:paraId="0444F137">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+1.6t</w:t>
                  </w:r>
                </w:p>
              </w:tc>
            </w:tr>
            <w:tr w14:paraId="6C26BD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 w:hRule="atLeast"/>
                <w:jc w:val="center"/>
              </w:trPr>
              <w:tc>
                <w:tcPr>
                  <w:tcW w:w="0" w:type="auto"/>
                  <w:tcBorders>
                    <w:left w:val="nil"/>
                  </w:tcBorders>
                  <w:noWrap/>
                  <w:vAlign w:val="center"/>
                </w:tcPr>
                <w:p w14:paraId="61BEB4E4">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7</w:t>
                  </w:r>
                </w:p>
              </w:tc>
              <w:tc>
                <w:tcPr>
                  <w:tcW w:w="0" w:type="auto"/>
                  <w:noWrap w:val="0"/>
                  <w:vAlign w:val="center"/>
                </w:tcPr>
                <w:p w14:paraId="447D145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稀释剂</w:t>
                  </w:r>
                </w:p>
              </w:tc>
              <w:tc>
                <w:tcPr>
                  <w:tcW w:w="0" w:type="auto"/>
                  <w:gridSpan w:val="2"/>
                  <w:noWrap/>
                  <w:vAlign w:val="center"/>
                </w:tcPr>
                <w:p w14:paraId="3B45AABB">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1.0t</w:t>
                  </w:r>
                </w:p>
              </w:tc>
              <w:tc>
                <w:tcPr>
                  <w:tcW w:w="0" w:type="auto"/>
                  <w:tcBorders>
                    <w:right w:val="nil"/>
                  </w:tcBorders>
                  <w:noWrap/>
                  <w:vAlign w:val="center"/>
                </w:tcPr>
                <w:p w14:paraId="478AF582">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default"/>
                      <w:szCs w:val="22"/>
                      <w:lang w:val="en-US" w:eastAsia="zh-CN"/>
                    </w:rPr>
                    <w:t>0.7t</w:t>
                  </w:r>
                </w:p>
              </w:tc>
              <w:tc>
                <w:tcPr>
                  <w:tcW w:w="0" w:type="auto"/>
                  <w:tcBorders>
                    <w:right w:val="nil"/>
                  </w:tcBorders>
                  <w:noWrap/>
                  <w:vAlign w:val="center"/>
                </w:tcPr>
                <w:p w14:paraId="316939CD">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0.7t</w:t>
                  </w:r>
                </w:p>
              </w:tc>
              <w:tc>
                <w:tcPr>
                  <w:tcW w:w="0" w:type="auto"/>
                  <w:tcBorders>
                    <w:right w:val="nil"/>
                  </w:tcBorders>
                  <w:noWrap/>
                  <w:vAlign w:val="center"/>
                </w:tcPr>
                <w:p w14:paraId="40DEBC5E">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0.7t</w:t>
                  </w:r>
                </w:p>
              </w:tc>
              <w:tc>
                <w:tcPr>
                  <w:tcW w:w="0" w:type="auto"/>
                  <w:tcBorders>
                    <w:right w:val="nil"/>
                  </w:tcBorders>
                  <w:noWrap/>
                  <w:vAlign w:val="center"/>
                </w:tcPr>
                <w:p w14:paraId="121E4782">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2.1t</w:t>
                  </w:r>
                </w:p>
              </w:tc>
              <w:tc>
                <w:tcPr>
                  <w:tcW w:w="0" w:type="auto"/>
                  <w:tcBorders>
                    <w:right w:val="nil"/>
                  </w:tcBorders>
                  <w:noWrap/>
                  <w:vAlign w:val="center"/>
                </w:tcPr>
                <w:p w14:paraId="4A034F45">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+1.1t</w:t>
                  </w:r>
                </w:p>
              </w:tc>
            </w:tr>
            <w:tr w14:paraId="24A064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 w:hRule="atLeast"/>
                <w:jc w:val="center"/>
              </w:trPr>
              <w:tc>
                <w:tcPr>
                  <w:tcW w:w="0" w:type="auto"/>
                  <w:gridSpan w:val="3"/>
                  <w:tcBorders>
                    <w:left w:val="nil"/>
                    <w:right w:val="nil"/>
                  </w:tcBorders>
                  <w:noWrap/>
                  <w:vAlign w:val="center"/>
                </w:tcPr>
                <w:p w14:paraId="58B2DF08">
                  <w:pPr>
                    <w:pStyle w:val="38"/>
                    <w:keepNext w:val="0"/>
                    <w:keepLines w:val="0"/>
                    <w:widowControl/>
                    <w:suppressLineNumbers w:val="0"/>
                    <w:bidi w:val="0"/>
                    <w:spacing w:before="0" w:beforeAutospacing="0" w:after="0" w:afterAutospacing="0"/>
                    <w:ind w:left="0" w:right="0"/>
                    <w:rPr>
                      <w:rFonts w:hint="eastAsia"/>
                      <w:szCs w:val="22"/>
                      <w:lang w:eastAsia="zh-CN"/>
                    </w:rPr>
                  </w:pPr>
                </w:p>
              </w:tc>
              <w:tc>
                <w:tcPr>
                  <w:tcW w:w="0" w:type="auto"/>
                  <w:gridSpan w:val="6"/>
                  <w:tcBorders>
                    <w:left w:val="nil"/>
                    <w:right w:val="nil"/>
                  </w:tcBorders>
                  <w:noWrap/>
                  <w:vAlign w:val="center"/>
                </w:tcPr>
                <w:p w14:paraId="1B40037E">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eastAsia="zh-CN"/>
                    </w:rPr>
                    <w:t>能源消耗情况</w:t>
                  </w:r>
                </w:p>
              </w:tc>
            </w:tr>
            <w:tr w14:paraId="51DE41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0" w:type="auto"/>
                  <w:tcBorders>
                    <w:left w:val="nil"/>
                  </w:tcBorders>
                  <w:noWrap/>
                  <w:vAlign w:val="center"/>
                </w:tcPr>
                <w:p w14:paraId="5556D46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8</w:t>
                  </w:r>
                </w:p>
              </w:tc>
              <w:tc>
                <w:tcPr>
                  <w:tcW w:w="0" w:type="auto"/>
                  <w:noWrap w:val="0"/>
                  <w:vAlign w:val="center"/>
                </w:tcPr>
                <w:p w14:paraId="636EE65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水</w:t>
                  </w:r>
                </w:p>
              </w:tc>
              <w:tc>
                <w:tcPr>
                  <w:tcW w:w="0" w:type="auto"/>
                  <w:gridSpan w:val="2"/>
                  <w:noWrap/>
                  <w:vAlign w:val="center"/>
                </w:tcPr>
                <w:p w14:paraId="3C4CA87F">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160t/a</w:t>
                  </w:r>
                </w:p>
              </w:tc>
              <w:tc>
                <w:tcPr>
                  <w:tcW w:w="0" w:type="auto"/>
                  <w:gridSpan w:val="4"/>
                  <w:tcBorders>
                    <w:right w:val="nil"/>
                  </w:tcBorders>
                  <w:noWrap/>
                  <w:vAlign w:val="center"/>
                </w:tcPr>
                <w:p w14:paraId="1FE4345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195t/a</w:t>
                  </w:r>
                </w:p>
              </w:tc>
              <w:tc>
                <w:tcPr>
                  <w:tcW w:w="0" w:type="auto"/>
                  <w:tcBorders>
                    <w:right w:val="nil"/>
                  </w:tcBorders>
                  <w:noWrap/>
                  <w:vAlign w:val="center"/>
                </w:tcPr>
                <w:p w14:paraId="43520FF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35t/a</w:t>
                  </w:r>
                </w:p>
              </w:tc>
            </w:tr>
            <w:tr w14:paraId="4552F9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 w:hRule="atLeast"/>
                <w:jc w:val="center"/>
              </w:trPr>
              <w:tc>
                <w:tcPr>
                  <w:tcW w:w="0" w:type="auto"/>
                  <w:tcBorders>
                    <w:left w:val="nil"/>
                  </w:tcBorders>
                  <w:noWrap/>
                  <w:vAlign w:val="center"/>
                </w:tcPr>
                <w:p w14:paraId="591BFE44">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9</w:t>
                  </w:r>
                </w:p>
              </w:tc>
              <w:tc>
                <w:tcPr>
                  <w:tcW w:w="0" w:type="auto"/>
                  <w:noWrap w:val="0"/>
                  <w:vAlign w:val="center"/>
                </w:tcPr>
                <w:p w14:paraId="2972435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电</w:t>
                  </w:r>
                </w:p>
              </w:tc>
              <w:tc>
                <w:tcPr>
                  <w:tcW w:w="0" w:type="auto"/>
                  <w:gridSpan w:val="2"/>
                  <w:noWrap/>
                  <w:vAlign w:val="center"/>
                </w:tcPr>
                <w:p w14:paraId="026B2C7B">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1.2</w:t>
                  </w:r>
                  <w:r>
                    <w:rPr>
                      <w:rFonts w:hint="eastAsia"/>
                      <w:szCs w:val="22"/>
                      <w:lang w:val="en-US" w:eastAsia="zh-CN"/>
                    </w:rPr>
                    <w:t>万kwh/a</w:t>
                  </w:r>
                </w:p>
              </w:tc>
              <w:tc>
                <w:tcPr>
                  <w:tcW w:w="0" w:type="auto"/>
                  <w:gridSpan w:val="4"/>
                  <w:tcBorders>
                    <w:right w:val="nil"/>
                  </w:tcBorders>
                  <w:noWrap/>
                  <w:vAlign w:val="center"/>
                </w:tcPr>
                <w:p w14:paraId="4374640A">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2</w:t>
                  </w:r>
                  <w:r>
                    <w:rPr>
                      <w:rFonts w:hint="eastAsia"/>
                      <w:szCs w:val="22"/>
                      <w:lang w:val="en-US" w:eastAsia="zh-CN"/>
                    </w:rPr>
                    <w:t>万kwh/a</w:t>
                  </w:r>
                </w:p>
              </w:tc>
              <w:tc>
                <w:tcPr>
                  <w:tcW w:w="0" w:type="auto"/>
                  <w:tcBorders>
                    <w:right w:val="nil"/>
                  </w:tcBorders>
                  <w:noWrap/>
                  <w:vAlign w:val="center"/>
                </w:tcPr>
                <w:p w14:paraId="5BFC293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+0.8</w:t>
                  </w:r>
                  <w:r>
                    <w:rPr>
                      <w:rFonts w:hint="eastAsia"/>
                      <w:szCs w:val="22"/>
                      <w:lang w:val="en-US" w:eastAsia="zh-CN"/>
                    </w:rPr>
                    <w:t>万</w:t>
                  </w:r>
                  <w:r>
                    <w:rPr>
                      <w:rFonts w:hint="default"/>
                      <w:szCs w:val="22"/>
                      <w:lang w:val="en-US" w:eastAsia="zh-CN"/>
                    </w:rPr>
                    <w:t>kwh/a</w:t>
                  </w:r>
                </w:p>
              </w:tc>
            </w:tr>
            <w:tr w14:paraId="229A63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9" w:hRule="atLeast"/>
                <w:jc w:val="center"/>
              </w:trPr>
              <w:tc>
                <w:tcPr>
                  <w:tcW w:w="0" w:type="auto"/>
                  <w:gridSpan w:val="9"/>
                  <w:tcBorders>
                    <w:left w:val="nil"/>
                    <w:right w:val="nil"/>
                  </w:tcBorders>
                  <w:noWrap/>
                  <w:vAlign w:val="center"/>
                </w:tcPr>
                <w:p w14:paraId="00C9F8F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“*”：经核实本项目五金水性漆与塑胶件水性漆使用同一种水性漆，本评价以“水性漆”表述</w:t>
                  </w:r>
                </w:p>
              </w:tc>
            </w:tr>
          </w:tbl>
          <w:p w14:paraId="5779F2EB">
            <w:pPr>
              <w:keepNext w:val="0"/>
              <w:keepLines w:val="0"/>
              <w:suppressLineNumbers w:val="0"/>
              <w:bidi w:val="0"/>
              <w:spacing w:before="0" w:beforeAutospacing="0" w:after="0" w:afterAutospacing="0"/>
              <w:ind w:left="0" w:right="0"/>
              <w:rPr>
                <w:rFonts w:hint="eastAsia"/>
                <w:highlight w:val="none"/>
                <w:lang w:eastAsia="zh-CN"/>
              </w:rPr>
            </w:pPr>
            <w:r>
              <w:rPr>
                <w:rFonts w:hint="default"/>
                <w:lang w:val="en-US" w:eastAsia="zh-CN"/>
              </w:rPr>
              <w:t>主要原辅材料</w:t>
            </w:r>
            <w:r>
              <w:rPr>
                <w:rFonts w:hint="eastAsia"/>
                <w:lang w:val="en-US" w:eastAsia="zh-CN"/>
              </w:rPr>
              <w:t>成分及</w:t>
            </w:r>
            <w:r>
              <w:rPr>
                <w:rFonts w:hint="default"/>
                <w:lang w:val="en-US" w:eastAsia="zh-CN"/>
              </w:rPr>
              <w:t>性质</w:t>
            </w:r>
            <w:r>
              <w:rPr>
                <w:rFonts w:hint="eastAsia"/>
                <w:lang w:val="en-US" w:eastAsia="zh-CN"/>
              </w:rPr>
              <w:t>见表2.4-3，成分报告见附件8-14。可知，项目使用的原辅材料理化性质和组成成分如下所述：</w:t>
            </w:r>
          </w:p>
          <w:p w14:paraId="480EDA82">
            <w:pPr>
              <w:pStyle w:val="39"/>
              <w:keepNext w:val="0"/>
              <w:keepLines w:val="0"/>
              <w:suppressLineNumbers w:val="0"/>
              <w:bidi w:val="0"/>
              <w:spacing w:before="0" w:beforeAutospacing="0" w:after="0" w:afterAutospacing="0"/>
              <w:ind w:left="0" w:right="0"/>
              <w:rPr>
                <w:rFonts w:hint="default"/>
                <w:highlight w:val="none"/>
              </w:rPr>
            </w:pPr>
            <w:r>
              <w:rPr>
                <w:rFonts w:hint="eastAsia"/>
                <w:highlight w:val="none"/>
                <w:lang w:eastAsia="zh-CN"/>
              </w:rPr>
              <w:t>表</w:t>
            </w:r>
            <w:r>
              <w:rPr>
                <w:rFonts w:hint="eastAsia"/>
                <w:highlight w:val="none"/>
                <w:lang w:val="en-US" w:eastAsia="zh-CN"/>
              </w:rPr>
              <w:t xml:space="preserve">2.4-3 </w:t>
            </w:r>
            <w:r>
              <w:rPr>
                <w:rFonts w:hint="default"/>
                <w:highlight w:val="none"/>
              </w:rPr>
              <w:t>主要原辅材料性质介绍</w:t>
            </w:r>
          </w:p>
          <w:tbl>
            <w:tblPr>
              <w:tblStyle w:val="30"/>
              <w:tblW w:w="497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9"/>
              <w:gridCol w:w="703"/>
              <w:gridCol w:w="993"/>
              <w:gridCol w:w="2693"/>
              <w:gridCol w:w="3516"/>
            </w:tblGrid>
            <w:tr w14:paraId="31420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tcBorders>
                    <w:top w:val="single" w:color="auto" w:sz="12" w:space="0"/>
                    <w:left w:val="nil"/>
                    <w:bottom w:val="single" w:color="auto" w:sz="4" w:space="0"/>
                  </w:tcBorders>
                  <w:noWrap w:val="0"/>
                  <w:vAlign w:val="center"/>
                </w:tcPr>
                <w:p w14:paraId="7E8091DD">
                  <w:pPr>
                    <w:pStyle w:val="38"/>
                    <w:keepNext w:val="0"/>
                    <w:keepLines w:val="0"/>
                    <w:widowControl/>
                    <w:suppressLineNumbers w:val="0"/>
                    <w:bidi w:val="0"/>
                    <w:spacing w:before="0" w:beforeAutospacing="0" w:after="0" w:afterAutospacing="0"/>
                    <w:ind w:left="0" w:right="0"/>
                    <w:rPr>
                      <w:rFonts w:hint="default"/>
                      <w:szCs w:val="22"/>
                      <w:highlight w:val="none"/>
                      <w:lang w:val="en-US" w:eastAsia="zh-CN"/>
                    </w:rPr>
                  </w:pPr>
                  <w:r>
                    <w:rPr>
                      <w:rFonts w:hint="default"/>
                      <w:szCs w:val="22"/>
                      <w:highlight w:val="none"/>
                    </w:rPr>
                    <w:t>序号</w:t>
                  </w:r>
                </w:p>
              </w:tc>
              <w:tc>
                <w:tcPr>
                  <w:tcW w:w="421" w:type="pct"/>
                  <w:tcBorders>
                    <w:top w:val="single" w:color="auto" w:sz="12" w:space="0"/>
                    <w:bottom w:val="single" w:color="auto" w:sz="4" w:space="0"/>
                  </w:tcBorders>
                  <w:noWrap w:val="0"/>
                  <w:vAlign w:val="center"/>
                </w:tcPr>
                <w:p w14:paraId="21352094">
                  <w:pPr>
                    <w:pStyle w:val="38"/>
                    <w:keepNext w:val="0"/>
                    <w:keepLines w:val="0"/>
                    <w:widowControl/>
                    <w:suppressLineNumbers w:val="0"/>
                    <w:bidi w:val="0"/>
                    <w:spacing w:before="0" w:beforeAutospacing="0" w:after="0" w:afterAutospacing="0"/>
                    <w:ind w:left="0" w:right="0"/>
                    <w:rPr>
                      <w:rFonts w:hint="default"/>
                      <w:szCs w:val="22"/>
                      <w:highlight w:val="none"/>
                      <w:lang w:val="en-US" w:eastAsia="zh-CN"/>
                    </w:rPr>
                  </w:pPr>
                  <w:r>
                    <w:rPr>
                      <w:rFonts w:hint="eastAsia"/>
                      <w:szCs w:val="22"/>
                      <w:highlight w:val="none"/>
                      <w:lang w:val="en-US" w:eastAsia="zh-CN"/>
                    </w:rPr>
                    <w:t>类别</w:t>
                  </w:r>
                </w:p>
              </w:tc>
              <w:tc>
                <w:tcPr>
                  <w:tcW w:w="595" w:type="pct"/>
                  <w:tcBorders>
                    <w:top w:val="single" w:color="auto" w:sz="12" w:space="0"/>
                    <w:bottom w:val="single" w:color="auto" w:sz="4" w:space="0"/>
                  </w:tcBorders>
                  <w:noWrap w:val="0"/>
                  <w:vAlign w:val="center"/>
                </w:tcPr>
                <w:p w14:paraId="5B1BC245">
                  <w:pPr>
                    <w:pStyle w:val="38"/>
                    <w:keepNext w:val="0"/>
                    <w:keepLines w:val="0"/>
                    <w:widowControl/>
                    <w:suppressLineNumbers w:val="0"/>
                    <w:bidi w:val="0"/>
                    <w:spacing w:before="0" w:beforeAutospacing="0" w:after="0" w:afterAutospacing="0"/>
                    <w:ind w:left="0" w:right="0"/>
                    <w:rPr>
                      <w:rFonts w:hint="default"/>
                      <w:szCs w:val="22"/>
                      <w:highlight w:val="none"/>
                      <w:lang w:eastAsia="zh-CN"/>
                    </w:rPr>
                  </w:pPr>
                  <w:r>
                    <w:rPr>
                      <w:rFonts w:hint="default"/>
                      <w:szCs w:val="22"/>
                      <w:highlight w:val="none"/>
                    </w:rPr>
                    <w:t>原辅材料名称</w:t>
                  </w:r>
                </w:p>
              </w:tc>
              <w:tc>
                <w:tcPr>
                  <w:tcW w:w="1614" w:type="pct"/>
                  <w:tcBorders>
                    <w:top w:val="single" w:color="auto" w:sz="12" w:space="0"/>
                    <w:bottom w:val="single" w:color="auto" w:sz="4" w:space="0"/>
                    <w:right w:val="nil"/>
                  </w:tcBorders>
                  <w:noWrap w:val="0"/>
                  <w:vAlign w:val="center"/>
                </w:tcPr>
                <w:p w14:paraId="230BAE60">
                  <w:pPr>
                    <w:pStyle w:val="38"/>
                    <w:keepNext w:val="0"/>
                    <w:keepLines w:val="0"/>
                    <w:widowControl/>
                    <w:suppressLineNumbers w:val="0"/>
                    <w:bidi w:val="0"/>
                    <w:spacing w:before="0" w:beforeAutospacing="0" w:after="0" w:afterAutospacing="0"/>
                    <w:ind w:left="0" w:right="0"/>
                    <w:rPr>
                      <w:rFonts w:hint="default"/>
                      <w:szCs w:val="22"/>
                      <w:highlight w:val="none"/>
                      <w:lang w:val="en-US" w:eastAsia="zh-CN"/>
                    </w:rPr>
                  </w:pPr>
                  <w:r>
                    <w:rPr>
                      <w:rFonts w:hint="default"/>
                      <w:szCs w:val="22"/>
                      <w:highlight w:val="none"/>
                      <w:lang w:val="en-US" w:eastAsia="zh-CN"/>
                    </w:rPr>
                    <w:t>主要成分</w:t>
                  </w:r>
                </w:p>
              </w:tc>
              <w:tc>
                <w:tcPr>
                  <w:tcW w:w="2104" w:type="pct"/>
                  <w:tcBorders>
                    <w:top w:val="single" w:color="auto" w:sz="12" w:space="0"/>
                    <w:bottom w:val="single" w:color="auto" w:sz="4" w:space="0"/>
                    <w:right w:val="nil"/>
                  </w:tcBorders>
                  <w:noWrap w:val="0"/>
                  <w:vAlign w:val="center"/>
                </w:tcPr>
                <w:p w14:paraId="10D2600E">
                  <w:pPr>
                    <w:pStyle w:val="38"/>
                    <w:keepNext w:val="0"/>
                    <w:keepLines w:val="0"/>
                    <w:widowControl/>
                    <w:suppressLineNumbers w:val="0"/>
                    <w:bidi w:val="0"/>
                    <w:spacing w:before="0" w:beforeAutospacing="0" w:after="0" w:afterAutospacing="0"/>
                    <w:ind w:left="0" w:right="0"/>
                    <w:rPr>
                      <w:rFonts w:hint="default"/>
                      <w:szCs w:val="22"/>
                      <w:highlight w:val="none"/>
                      <w:lang w:eastAsia="zh-CN"/>
                    </w:rPr>
                  </w:pPr>
                  <w:r>
                    <w:rPr>
                      <w:rFonts w:hint="default"/>
                      <w:szCs w:val="22"/>
                      <w:highlight w:val="none"/>
                      <w:lang w:val="en-US" w:eastAsia="zh-CN"/>
                    </w:rPr>
                    <w:t>理化性质</w:t>
                  </w:r>
                </w:p>
              </w:tc>
            </w:tr>
            <w:tr w14:paraId="6AA0D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263" w:type="pct"/>
                  <w:tcBorders>
                    <w:top w:val="single" w:color="auto" w:sz="4" w:space="0"/>
                    <w:left w:val="nil"/>
                    <w:bottom w:val="single" w:color="auto" w:sz="4" w:space="0"/>
                  </w:tcBorders>
                  <w:noWrap w:val="0"/>
                  <w:vAlign w:val="center"/>
                </w:tcPr>
                <w:p w14:paraId="7D7DC4B2">
                  <w:pPr>
                    <w:pStyle w:val="38"/>
                    <w:keepNext w:val="0"/>
                    <w:keepLines w:val="0"/>
                    <w:widowControl/>
                    <w:suppressLineNumbers w:val="0"/>
                    <w:bidi w:val="0"/>
                    <w:spacing w:before="0" w:beforeAutospacing="0" w:after="0" w:afterAutospacing="0"/>
                    <w:ind w:left="0" w:right="0"/>
                    <w:rPr>
                      <w:rFonts w:hint="default"/>
                      <w:szCs w:val="22"/>
                      <w:highlight w:val="none"/>
                      <w:lang w:val="en-US" w:eastAsia="zh-CN"/>
                    </w:rPr>
                  </w:pPr>
                  <w:r>
                    <w:rPr>
                      <w:rFonts w:hint="default"/>
                      <w:szCs w:val="22"/>
                      <w:highlight w:val="none"/>
                      <w:lang w:val="en-US" w:eastAsia="zh-CN"/>
                    </w:rPr>
                    <w:t>1</w:t>
                  </w:r>
                </w:p>
              </w:tc>
              <w:tc>
                <w:tcPr>
                  <w:tcW w:w="421" w:type="pct"/>
                  <w:tcBorders>
                    <w:top w:val="single" w:color="auto" w:sz="4" w:space="0"/>
                    <w:bottom w:val="single" w:color="auto" w:sz="4" w:space="0"/>
                  </w:tcBorders>
                  <w:noWrap w:val="0"/>
                  <w:vAlign w:val="center"/>
                </w:tcPr>
                <w:p w14:paraId="11E9123E">
                  <w:pPr>
                    <w:pStyle w:val="38"/>
                    <w:keepNext w:val="0"/>
                    <w:keepLines w:val="0"/>
                    <w:widowControl/>
                    <w:suppressLineNumbers w:val="0"/>
                    <w:bidi w:val="0"/>
                    <w:spacing w:before="0" w:beforeAutospacing="0" w:after="0" w:afterAutospacing="0"/>
                    <w:ind w:left="0" w:right="0"/>
                    <w:rPr>
                      <w:rFonts w:hint="default"/>
                      <w:szCs w:val="22"/>
                      <w:highlight w:val="none"/>
                      <w:lang w:val="en-US" w:eastAsia="zh-CN"/>
                    </w:rPr>
                  </w:pPr>
                  <w:r>
                    <w:rPr>
                      <w:rFonts w:hint="default"/>
                      <w:szCs w:val="22"/>
                      <w:highlight w:val="none"/>
                      <w:lang w:val="en-US" w:eastAsia="zh-CN"/>
                    </w:rPr>
                    <w:t>水性漆</w:t>
                  </w:r>
                </w:p>
              </w:tc>
              <w:tc>
                <w:tcPr>
                  <w:tcW w:w="595" w:type="pct"/>
                  <w:tcBorders>
                    <w:top w:val="single" w:color="auto" w:sz="4" w:space="0"/>
                    <w:bottom w:val="single" w:color="auto" w:sz="4" w:space="0"/>
                  </w:tcBorders>
                  <w:noWrap w:val="0"/>
                  <w:vAlign w:val="center"/>
                </w:tcPr>
                <w:p w14:paraId="73FA4AB8">
                  <w:pPr>
                    <w:pStyle w:val="38"/>
                    <w:keepNext w:val="0"/>
                    <w:keepLines w:val="0"/>
                    <w:widowControl/>
                    <w:suppressLineNumbers w:val="0"/>
                    <w:bidi w:val="0"/>
                    <w:spacing w:before="0" w:beforeAutospacing="0" w:after="0" w:afterAutospacing="0"/>
                    <w:ind w:left="0" w:right="0"/>
                    <w:rPr>
                      <w:rFonts w:hint="default"/>
                      <w:szCs w:val="22"/>
                      <w:highlight w:val="none"/>
                      <w:lang w:val="en-US" w:eastAsia="zh-CN"/>
                    </w:rPr>
                  </w:pPr>
                  <w:r>
                    <w:rPr>
                      <w:rFonts w:hint="eastAsia"/>
                      <w:szCs w:val="22"/>
                      <w:highlight w:val="none"/>
                      <w:lang w:val="en-US" w:eastAsia="zh-CN"/>
                    </w:rPr>
                    <w:t>水性丙烯酸涂料</w:t>
                  </w:r>
                </w:p>
              </w:tc>
              <w:tc>
                <w:tcPr>
                  <w:tcW w:w="1614" w:type="pct"/>
                  <w:tcBorders>
                    <w:top w:val="single" w:color="auto" w:sz="4" w:space="0"/>
                    <w:bottom w:val="single" w:color="auto" w:sz="4" w:space="0"/>
                    <w:right w:val="nil"/>
                  </w:tcBorders>
                  <w:noWrap w:val="0"/>
                  <w:vAlign w:val="center"/>
                </w:tcPr>
                <w:p w14:paraId="78293F4B">
                  <w:pPr>
                    <w:pStyle w:val="38"/>
                    <w:keepNext w:val="0"/>
                    <w:keepLines w:val="0"/>
                    <w:widowControl/>
                    <w:suppressLineNumbers w:val="0"/>
                    <w:bidi w:val="0"/>
                    <w:spacing w:before="0" w:beforeAutospacing="0" w:after="0" w:afterAutospacing="0"/>
                    <w:ind w:left="0" w:right="0"/>
                    <w:rPr>
                      <w:rFonts w:hint="default"/>
                      <w:szCs w:val="22"/>
                      <w:highlight w:val="none"/>
                      <w:lang w:val="en-US" w:eastAsia="zh-CN"/>
                    </w:rPr>
                  </w:pPr>
                  <w:r>
                    <w:rPr>
                      <w:rFonts w:hint="default"/>
                      <w:szCs w:val="22"/>
                      <w:highlight w:val="none"/>
                      <w:lang w:val="en-US" w:eastAsia="zh-CN"/>
                    </w:rPr>
                    <w:t>主要成分为脂肪族聚氨酯丙烯酸共聚物（含量30~50%）</w:t>
                  </w:r>
                  <w:r>
                    <w:rPr>
                      <w:rFonts w:hint="eastAsia"/>
                      <w:szCs w:val="22"/>
                      <w:highlight w:val="none"/>
                      <w:lang w:val="en-US" w:eastAsia="zh-CN"/>
                    </w:rPr>
                    <w:t>、</w:t>
                  </w:r>
                  <w:r>
                    <w:rPr>
                      <w:rFonts w:hint="default"/>
                      <w:szCs w:val="22"/>
                      <w:highlight w:val="none"/>
                      <w:lang w:val="en-US" w:eastAsia="zh-CN"/>
                    </w:rPr>
                    <w:t>颜料（10~20%）</w:t>
                  </w:r>
                  <w:r>
                    <w:rPr>
                      <w:rFonts w:hint="eastAsia"/>
                      <w:szCs w:val="22"/>
                      <w:highlight w:val="none"/>
                      <w:lang w:val="en-US" w:eastAsia="zh-CN"/>
                    </w:rPr>
                    <w:t>、</w:t>
                  </w:r>
                  <w:r>
                    <w:rPr>
                      <w:rFonts w:hint="default"/>
                      <w:szCs w:val="22"/>
                      <w:highlight w:val="none"/>
                      <w:lang w:val="en-US" w:eastAsia="zh-CN"/>
                    </w:rPr>
                    <w:t>助剂（1~10%）</w:t>
                  </w:r>
                  <w:r>
                    <w:rPr>
                      <w:rFonts w:hint="eastAsia"/>
                      <w:szCs w:val="22"/>
                      <w:highlight w:val="none"/>
                      <w:lang w:val="en-US" w:eastAsia="zh-CN"/>
                    </w:rPr>
                    <w:t>、</w:t>
                  </w:r>
                  <w:r>
                    <w:rPr>
                      <w:rFonts w:hint="default"/>
                      <w:szCs w:val="22"/>
                      <w:highlight w:val="none"/>
                      <w:lang w:val="en-US" w:eastAsia="zh-CN"/>
                    </w:rPr>
                    <w:t>水（5~30%）</w:t>
                  </w:r>
                </w:p>
              </w:tc>
              <w:tc>
                <w:tcPr>
                  <w:tcW w:w="2104" w:type="pct"/>
                  <w:tcBorders>
                    <w:top w:val="single" w:color="auto" w:sz="4" w:space="0"/>
                    <w:bottom w:val="single" w:color="auto" w:sz="4" w:space="0"/>
                    <w:right w:val="nil"/>
                  </w:tcBorders>
                  <w:noWrap w:val="0"/>
                  <w:vAlign w:val="center"/>
                </w:tcPr>
                <w:p w14:paraId="35B2CE80">
                  <w:pPr>
                    <w:pStyle w:val="38"/>
                    <w:keepNext w:val="0"/>
                    <w:keepLines w:val="0"/>
                    <w:widowControl/>
                    <w:suppressLineNumbers w:val="0"/>
                    <w:bidi w:val="0"/>
                    <w:spacing w:before="0" w:beforeAutospacing="0" w:after="0" w:afterAutospacing="0"/>
                    <w:ind w:left="0" w:right="0"/>
                    <w:rPr>
                      <w:rFonts w:hint="default"/>
                      <w:szCs w:val="22"/>
                      <w:highlight w:val="none"/>
                      <w:lang w:val="en-US" w:eastAsia="zh-CN"/>
                    </w:rPr>
                  </w:pPr>
                  <w:r>
                    <w:rPr>
                      <w:rFonts w:hint="default"/>
                      <w:szCs w:val="22"/>
                      <w:highlight w:val="none"/>
                      <w:lang w:val="en-US" w:eastAsia="zh-CN"/>
                    </w:rPr>
                    <w:t>外观为黑色流动液体，基本无味；相对密度0.95~1.14（水=1）；pH值8~9；</w:t>
                  </w:r>
                  <w:r>
                    <w:rPr>
                      <w:rFonts w:hint="eastAsia"/>
                      <w:szCs w:val="22"/>
                      <w:highlight w:val="none"/>
                      <w:lang w:val="en-US" w:eastAsia="zh-CN"/>
                    </w:rPr>
                    <w:t>饱和蒸汽</w:t>
                  </w:r>
                  <w:r>
                    <w:rPr>
                      <w:rFonts w:hint="default"/>
                      <w:szCs w:val="22"/>
                      <w:highlight w:val="none"/>
                      <w:lang w:val="en-US" w:eastAsia="zh-CN"/>
                    </w:rPr>
                    <w:t>压6~7 mmHg；沸点约2100°C；熔点约-10°C；闪点无；可溶于水；不自燃；无爆炸上下限</w:t>
                  </w:r>
                  <w:r>
                    <w:rPr>
                      <w:rFonts w:hint="eastAsia"/>
                      <w:szCs w:val="22"/>
                      <w:highlight w:val="none"/>
                      <w:lang w:val="en-US" w:eastAsia="zh-CN"/>
                    </w:rPr>
                    <w:t>。</w:t>
                  </w:r>
                </w:p>
              </w:tc>
            </w:tr>
            <w:tr w14:paraId="18BA3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3" w:type="pct"/>
                  <w:tcBorders>
                    <w:top w:val="single" w:color="auto" w:sz="4" w:space="0"/>
                    <w:left w:val="nil"/>
                    <w:bottom w:val="single" w:color="auto" w:sz="4" w:space="0"/>
                  </w:tcBorders>
                  <w:noWrap w:val="0"/>
                  <w:vAlign w:val="center"/>
                </w:tcPr>
                <w:p w14:paraId="2126CCEB">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2</w:t>
                  </w:r>
                </w:p>
              </w:tc>
              <w:tc>
                <w:tcPr>
                  <w:tcW w:w="421" w:type="pct"/>
                  <w:tcBorders>
                    <w:top w:val="single" w:color="auto" w:sz="4" w:space="0"/>
                    <w:bottom w:val="single" w:color="auto" w:sz="4" w:space="0"/>
                  </w:tcBorders>
                  <w:noWrap w:val="0"/>
                  <w:vAlign w:val="center"/>
                </w:tcPr>
                <w:p w14:paraId="2C420B18">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塑胶</w:t>
                  </w:r>
                  <w:r>
                    <w:rPr>
                      <w:rFonts w:hint="eastAsia"/>
                      <w:szCs w:val="22"/>
                      <w:lang w:val="en-US" w:eastAsia="zh-CN"/>
                    </w:rPr>
                    <w:t>用</w:t>
                  </w:r>
                  <w:r>
                    <w:rPr>
                      <w:rFonts w:hint="default"/>
                      <w:szCs w:val="22"/>
                      <w:lang w:val="en-US" w:eastAsia="zh-CN"/>
                    </w:rPr>
                    <w:t>油性漆</w:t>
                  </w:r>
                </w:p>
              </w:tc>
              <w:tc>
                <w:tcPr>
                  <w:tcW w:w="595" w:type="pct"/>
                  <w:tcBorders>
                    <w:top w:val="single" w:color="auto" w:sz="4" w:space="0"/>
                    <w:bottom w:val="single" w:color="auto" w:sz="4" w:space="0"/>
                  </w:tcBorders>
                  <w:noWrap w:val="0"/>
                  <w:vAlign w:val="center"/>
                </w:tcPr>
                <w:p w14:paraId="3371CDC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ABS塑胶漆</w:t>
                  </w:r>
                </w:p>
              </w:tc>
              <w:tc>
                <w:tcPr>
                  <w:tcW w:w="1614" w:type="pct"/>
                  <w:tcBorders>
                    <w:top w:val="single" w:color="auto" w:sz="4" w:space="0"/>
                    <w:bottom w:val="single" w:color="auto" w:sz="4" w:space="0"/>
                    <w:right w:val="nil"/>
                  </w:tcBorders>
                  <w:noWrap w:val="0"/>
                  <w:vAlign w:val="center"/>
                </w:tcPr>
                <w:p w14:paraId="405D9567">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主要组分为丙烯酸树脂（50~65%）</w:t>
                  </w:r>
                  <w:r>
                    <w:rPr>
                      <w:rFonts w:hint="eastAsia"/>
                      <w:szCs w:val="22"/>
                      <w:lang w:val="en-US" w:eastAsia="zh-CN"/>
                    </w:rPr>
                    <w:t>、</w:t>
                  </w:r>
                  <w:r>
                    <w:rPr>
                      <w:rFonts w:hint="default"/>
                      <w:szCs w:val="22"/>
                      <w:lang w:val="en-US" w:eastAsia="zh-CN"/>
                    </w:rPr>
                    <w:t>颜料（10~20%）</w:t>
                  </w:r>
                  <w:r>
                    <w:rPr>
                      <w:rFonts w:hint="eastAsia"/>
                      <w:szCs w:val="22"/>
                      <w:lang w:val="en-US" w:eastAsia="zh-CN"/>
                    </w:rPr>
                    <w:t>、</w:t>
                  </w:r>
                  <w:r>
                    <w:rPr>
                      <w:rFonts w:hint="default"/>
                      <w:szCs w:val="22"/>
                      <w:lang w:val="en-US" w:eastAsia="zh-CN"/>
                    </w:rPr>
                    <w:t>助剂（5~10%）</w:t>
                  </w:r>
                  <w:r>
                    <w:rPr>
                      <w:rFonts w:hint="eastAsia"/>
                      <w:szCs w:val="22"/>
                      <w:lang w:val="en-US" w:eastAsia="zh-CN"/>
                    </w:rPr>
                    <w:t>、</w:t>
                  </w:r>
                  <w:r>
                    <w:rPr>
                      <w:rFonts w:hint="default"/>
                      <w:szCs w:val="22"/>
                      <w:lang w:val="en-US" w:eastAsia="zh-CN"/>
                    </w:rPr>
                    <w:t>稀释剂（20~30%）</w:t>
                  </w:r>
                </w:p>
              </w:tc>
              <w:tc>
                <w:tcPr>
                  <w:tcW w:w="2104" w:type="pct"/>
                  <w:tcBorders>
                    <w:top w:val="single" w:color="auto" w:sz="4" w:space="0"/>
                    <w:bottom w:val="single" w:color="auto" w:sz="4" w:space="0"/>
                    <w:right w:val="nil"/>
                  </w:tcBorders>
                  <w:noWrap w:val="0"/>
                  <w:vAlign w:val="center"/>
                </w:tcPr>
                <w:p w14:paraId="60B5C00E">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外观为液体；闪点15°C（闭杯）；可混溶于有机溶剂</w:t>
                  </w:r>
                  <w:r>
                    <w:rPr>
                      <w:rFonts w:hint="eastAsia"/>
                      <w:szCs w:val="22"/>
                      <w:lang w:val="en-US" w:eastAsia="zh-CN"/>
                    </w:rPr>
                    <w:t>。</w:t>
                  </w:r>
                </w:p>
              </w:tc>
            </w:tr>
            <w:tr w14:paraId="61F21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263" w:type="pct"/>
                  <w:tcBorders>
                    <w:top w:val="single" w:color="auto" w:sz="4" w:space="0"/>
                    <w:left w:val="nil"/>
                    <w:bottom w:val="single" w:color="auto" w:sz="4" w:space="0"/>
                  </w:tcBorders>
                  <w:noWrap w:val="0"/>
                  <w:vAlign w:val="center"/>
                </w:tcPr>
                <w:p w14:paraId="689AD0C8">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3</w:t>
                  </w:r>
                </w:p>
              </w:tc>
              <w:tc>
                <w:tcPr>
                  <w:tcW w:w="421" w:type="pct"/>
                  <w:tcBorders>
                    <w:top w:val="single" w:color="auto" w:sz="4" w:space="0"/>
                    <w:bottom w:val="single" w:color="auto" w:sz="4" w:space="0"/>
                  </w:tcBorders>
                  <w:noWrap w:val="0"/>
                  <w:vAlign w:val="center"/>
                </w:tcPr>
                <w:p w14:paraId="4866736E">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金属用</w:t>
                  </w:r>
                  <w:r>
                    <w:rPr>
                      <w:rFonts w:hint="default"/>
                      <w:szCs w:val="22"/>
                      <w:lang w:val="en-US" w:eastAsia="zh-CN"/>
                    </w:rPr>
                    <w:t>油性漆</w:t>
                  </w:r>
                </w:p>
              </w:tc>
              <w:tc>
                <w:tcPr>
                  <w:tcW w:w="595" w:type="pct"/>
                  <w:tcBorders>
                    <w:top w:val="single" w:color="auto" w:sz="4" w:space="0"/>
                    <w:bottom w:val="single" w:color="auto" w:sz="4" w:space="0"/>
                  </w:tcBorders>
                  <w:noWrap w:val="0"/>
                  <w:vAlign w:val="center"/>
                </w:tcPr>
                <w:p w14:paraId="21BB2700">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PE金属烤漆涂料</w:t>
                  </w:r>
                </w:p>
              </w:tc>
              <w:tc>
                <w:tcPr>
                  <w:tcW w:w="1614" w:type="pct"/>
                  <w:tcBorders>
                    <w:top w:val="single" w:color="auto" w:sz="4" w:space="0"/>
                    <w:bottom w:val="single" w:color="auto" w:sz="4" w:space="0"/>
                    <w:right w:val="nil"/>
                  </w:tcBorders>
                  <w:noWrap w:val="0"/>
                  <w:vAlign w:val="center"/>
                </w:tcPr>
                <w:p w14:paraId="1FC4F11B">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主要组分为饱和聚酯树脂（40~55%）</w:t>
                  </w:r>
                  <w:r>
                    <w:rPr>
                      <w:rFonts w:hint="eastAsia"/>
                      <w:szCs w:val="22"/>
                      <w:lang w:val="en-US" w:eastAsia="zh-CN"/>
                    </w:rPr>
                    <w:t>、</w:t>
                  </w:r>
                  <w:r>
                    <w:rPr>
                      <w:rFonts w:hint="default"/>
                      <w:szCs w:val="22"/>
                      <w:lang w:val="en-US" w:eastAsia="zh-CN"/>
                    </w:rPr>
                    <w:t>颜料（10~20%）</w:t>
                  </w:r>
                  <w:r>
                    <w:rPr>
                      <w:rFonts w:hint="eastAsia"/>
                      <w:szCs w:val="22"/>
                      <w:lang w:val="en-US" w:eastAsia="zh-CN"/>
                    </w:rPr>
                    <w:t>、</w:t>
                  </w:r>
                  <w:r>
                    <w:rPr>
                      <w:rFonts w:hint="default"/>
                      <w:szCs w:val="22"/>
                      <w:lang w:val="en-US" w:eastAsia="zh-CN"/>
                    </w:rPr>
                    <w:t>添加剂（1~3%）</w:t>
                  </w:r>
                  <w:r>
                    <w:rPr>
                      <w:rFonts w:hint="eastAsia"/>
                      <w:szCs w:val="22"/>
                      <w:lang w:val="en-US" w:eastAsia="zh-CN"/>
                    </w:rPr>
                    <w:t>、</w:t>
                  </w:r>
                  <w:r>
                    <w:rPr>
                      <w:rFonts w:hint="default"/>
                      <w:szCs w:val="22"/>
                      <w:lang w:val="en-US" w:eastAsia="zh-CN"/>
                    </w:rPr>
                    <w:t>开油水（20~40%）</w:t>
                  </w:r>
                  <w:r>
                    <w:rPr>
                      <w:rFonts w:hint="eastAsia"/>
                      <w:szCs w:val="22"/>
                      <w:lang w:val="en-US" w:eastAsia="zh-CN"/>
                    </w:rPr>
                    <w:t>、</w:t>
                  </w:r>
                  <w:r>
                    <w:rPr>
                      <w:rFonts w:hint="default"/>
                      <w:szCs w:val="22"/>
                      <w:lang w:val="en-US" w:eastAsia="zh-CN"/>
                    </w:rPr>
                    <w:t>填充料（10~20%）</w:t>
                  </w:r>
                </w:p>
              </w:tc>
              <w:tc>
                <w:tcPr>
                  <w:tcW w:w="2104" w:type="pct"/>
                  <w:tcBorders>
                    <w:top w:val="single" w:color="auto" w:sz="4" w:space="0"/>
                    <w:bottom w:val="single" w:color="auto" w:sz="4" w:space="0"/>
                    <w:right w:val="nil"/>
                  </w:tcBorders>
                  <w:noWrap w:val="0"/>
                  <w:vAlign w:val="center"/>
                </w:tcPr>
                <w:p w14:paraId="086052E9">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外观为透明液体；闪点15°C（闭杯）；可混溶于有机溶剂</w:t>
                  </w:r>
                  <w:r>
                    <w:rPr>
                      <w:rFonts w:hint="eastAsia"/>
                      <w:szCs w:val="22"/>
                      <w:lang w:val="en-US" w:eastAsia="zh-CN"/>
                    </w:rPr>
                    <w:t>。</w:t>
                  </w:r>
                </w:p>
              </w:tc>
            </w:tr>
            <w:tr w14:paraId="52ACD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 w:hRule="atLeast"/>
              </w:trPr>
              <w:tc>
                <w:tcPr>
                  <w:tcW w:w="263" w:type="pct"/>
                  <w:tcBorders>
                    <w:top w:val="single" w:color="auto" w:sz="4" w:space="0"/>
                    <w:left w:val="nil"/>
                    <w:bottom w:val="single" w:color="auto" w:sz="4" w:space="0"/>
                  </w:tcBorders>
                  <w:noWrap w:val="0"/>
                  <w:vAlign w:val="center"/>
                </w:tcPr>
                <w:p w14:paraId="62CA7348">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4</w:t>
                  </w:r>
                </w:p>
              </w:tc>
              <w:tc>
                <w:tcPr>
                  <w:tcW w:w="421" w:type="pct"/>
                  <w:tcBorders>
                    <w:top w:val="single" w:color="auto" w:sz="4" w:space="0"/>
                    <w:bottom w:val="single" w:color="auto" w:sz="4" w:space="0"/>
                  </w:tcBorders>
                  <w:noWrap w:val="0"/>
                  <w:vAlign w:val="center"/>
                </w:tcPr>
                <w:p w14:paraId="3D735A79">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稀释剂</w:t>
                  </w:r>
                </w:p>
              </w:tc>
              <w:tc>
                <w:tcPr>
                  <w:tcW w:w="595" w:type="pct"/>
                  <w:tcBorders>
                    <w:top w:val="single" w:color="auto" w:sz="4" w:space="0"/>
                    <w:bottom w:val="single" w:color="auto" w:sz="4" w:space="0"/>
                  </w:tcBorders>
                  <w:noWrap w:val="0"/>
                  <w:vAlign w:val="center"/>
                </w:tcPr>
                <w:p w14:paraId="46B3710E">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开油水</w:t>
                  </w:r>
                </w:p>
              </w:tc>
              <w:tc>
                <w:tcPr>
                  <w:tcW w:w="1614" w:type="pct"/>
                  <w:tcBorders>
                    <w:top w:val="single" w:color="auto" w:sz="4" w:space="0"/>
                    <w:bottom w:val="single" w:color="auto" w:sz="4" w:space="0"/>
                    <w:right w:val="nil"/>
                  </w:tcBorders>
                  <w:noWrap w:val="0"/>
                  <w:vAlign w:val="center"/>
                </w:tcPr>
                <w:p w14:paraId="7B383077">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主要成分为乙二醇丁醚（20~30%）</w:t>
                  </w:r>
                  <w:r>
                    <w:rPr>
                      <w:rFonts w:hint="eastAsia"/>
                      <w:szCs w:val="22"/>
                      <w:lang w:val="en-US" w:eastAsia="zh-CN"/>
                    </w:rPr>
                    <w:t>、</w:t>
                  </w:r>
                  <w:r>
                    <w:rPr>
                      <w:rFonts w:hint="default"/>
                      <w:szCs w:val="22"/>
                      <w:lang w:val="en-US" w:eastAsia="zh-CN"/>
                    </w:rPr>
                    <w:t>醋酸丁酯（20~30%）</w:t>
                  </w:r>
                  <w:r>
                    <w:rPr>
                      <w:rFonts w:hint="eastAsia"/>
                      <w:szCs w:val="22"/>
                      <w:lang w:val="en-US" w:eastAsia="zh-CN"/>
                    </w:rPr>
                    <w:t>、</w:t>
                  </w:r>
                  <w:r>
                    <w:rPr>
                      <w:rFonts w:hint="default"/>
                      <w:szCs w:val="22"/>
                      <w:lang w:val="en-US" w:eastAsia="zh-CN"/>
                    </w:rPr>
                    <w:t>异丁醇（40~50%</w:t>
                  </w:r>
                  <w:r>
                    <w:rPr>
                      <w:rFonts w:hint="eastAsia"/>
                      <w:szCs w:val="22"/>
                      <w:lang w:val="en-US" w:eastAsia="zh-CN"/>
                    </w:rPr>
                    <w:t>）、</w:t>
                  </w:r>
                  <w:r>
                    <w:rPr>
                      <w:rFonts w:hint="default"/>
                      <w:szCs w:val="22"/>
                      <w:lang w:val="en-US" w:eastAsia="zh-CN"/>
                    </w:rPr>
                    <w:t>甲基异丁酮（10~20%）</w:t>
                  </w:r>
                </w:p>
              </w:tc>
              <w:tc>
                <w:tcPr>
                  <w:tcW w:w="2104" w:type="pct"/>
                  <w:tcBorders>
                    <w:top w:val="single" w:color="auto" w:sz="4" w:space="0"/>
                    <w:bottom w:val="single" w:color="auto" w:sz="4" w:space="0"/>
                    <w:right w:val="nil"/>
                  </w:tcBorders>
                  <w:noWrap w:val="0"/>
                  <w:vAlign w:val="center"/>
                </w:tcPr>
                <w:p w14:paraId="39914B4C">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外观为搅拌后呈灰褐色均匀液体（甲组分）与淡黄色或棕色液体（乙组分）；有特殊芬芳味或刺激性气味；沸点139°C；闪点甲组分25°C、乙组分30°C（闭杯）；相对密度1.9；爆炸上限7.0%、下限1.1%；可混溶于有机溶剂。</w:t>
                  </w:r>
                </w:p>
              </w:tc>
            </w:tr>
            <w:tr w14:paraId="1359B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5000" w:type="pct"/>
                  <w:gridSpan w:val="5"/>
                  <w:tcBorders>
                    <w:top w:val="single" w:color="auto" w:sz="4" w:space="0"/>
                    <w:left w:val="nil"/>
                    <w:bottom w:val="single" w:color="auto" w:sz="4" w:space="0"/>
                    <w:right w:val="nil"/>
                  </w:tcBorders>
                  <w:noWrap w:val="0"/>
                  <w:vAlign w:val="center"/>
                </w:tcPr>
                <w:p w14:paraId="2C1DEEC4">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注：ABS塑胶漆仅为产品名称，与产品成分性质无关</w:t>
                  </w:r>
                </w:p>
              </w:tc>
            </w:tr>
          </w:tbl>
          <w:p w14:paraId="63D9B331">
            <w:pPr>
              <w:keepNext w:val="0"/>
              <w:keepLines w:val="0"/>
              <w:suppressLineNumbers w:val="0"/>
              <w:bidi w:val="0"/>
              <w:spacing w:before="0" w:beforeAutospacing="0" w:after="0" w:afterAutospacing="0"/>
              <w:ind w:left="0" w:right="0"/>
              <w:rPr>
                <w:rFonts w:hint="default"/>
                <w:highlight w:val="none"/>
                <w:lang w:val="en-US" w:eastAsia="zh-CN"/>
              </w:rPr>
            </w:pPr>
            <w:r>
              <w:rPr>
                <w:rFonts w:hint="default"/>
                <w:lang w:val="en-US" w:eastAsia="zh-CN"/>
              </w:rPr>
              <w:t>（2）</w:t>
            </w:r>
            <w:r>
              <w:rPr>
                <w:rFonts w:hint="eastAsia"/>
                <w:lang w:val="en-US" w:eastAsia="zh-CN"/>
              </w:rPr>
              <w:t>VOCS含量要</w:t>
            </w:r>
            <w:r>
              <w:rPr>
                <w:rFonts w:hint="eastAsia"/>
                <w:highlight w:val="none"/>
                <w:lang w:val="en-US" w:eastAsia="zh-CN"/>
              </w:rPr>
              <w:t>求</w:t>
            </w:r>
          </w:p>
          <w:p w14:paraId="656AC60B">
            <w:pPr>
              <w:pStyle w:val="39"/>
              <w:keepNext w:val="0"/>
              <w:keepLines w:val="0"/>
              <w:suppressLineNumbers w:val="0"/>
              <w:bidi w:val="0"/>
              <w:spacing w:before="0" w:beforeAutospacing="0" w:after="0" w:afterAutospacing="0"/>
              <w:ind w:left="0" w:right="0"/>
              <w:rPr>
                <w:rFonts w:hint="default"/>
                <w:highlight w:val="none"/>
                <w:lang w:val="en-US" w:eastAsia="zh-CN"/>
              </w:rPr>
            </w:pPr>
            <w:r>
              <w:rPr>
                <w:rFonts w:hint="default"/>
                <w:highlight w:val="none"/>
                <w:lang w:eastAsia="zh-CN"/>
              </w:rPr>
              <w:t>表</w:t>
            </w:r>
            <w:r>
              <w:rPr>
                <w:rFonts w:hint="default"/>
                <w:highlight w:val="none"/>
                <w:lang w:val="en-US" w:eastAsia="zh-CN"/>
              </w:rPr>
              <w:t>2.</w:t>
            </w:r>
            <w:r>
              <w:rPr>
                <w:rFonts w:hint="eastAsia"/>
                <w:highlight w:val="none"/>
                <w:lang w:val="en-US" w:eastAsia="zh-CN"/>
              </w:rPr>
              <w:t>4-4</w:t>
            </w:r>
            <w:r>
              <w:rPr>
                <w:rFonts w:hint="default"/>
                <w:highlight w:val="none"/>
              </w:rPr>
              <w:t>低挥发性有机化合物含量</w:t>
            </w:r>
            <w:r>
              <w:rPr>
                <w:rFonts w:hint="eastAsia"/>
                <w:highlight w:val="none"/>
                <w:lang w:val="en-US" w:eastAsia="zh-CN"/>
              </w:rPr>
              <w:t>原辅料</w:t>
            </w:r>
            <w:r>
              <w:rPr>
                <w:rFonts w:hint="default"/>
                <w:highlight w:val="none"/>
                <w:lang w:val="en-US" w:eastAsia="zh-CN"/>
              </w:rPr>
              <w:t>VOCS含量要求</w:t>
            </w:r>
          </w:p>
          <w:tbl>
            <w:tblPr>
              <w:tblStyle w:val="2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911"/>
              <w:gridCol w:w="2204"/>
              <w:gridCol w:w="2204"/>
              <w:gridCol w:w="1077"/>
            </w:tblGrid>
            <w:tr w14:paraId="000B53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6" w:hRule="atLeast"/>
              </w:trPr>
              <w:tc>
                <w:tcPr>
                  <w:tcW w:w="1733" w:type="pct"/>
                  <w:noWrap w:val="0"/>
                  <w:vAlign w:val="center"/>
                </w:tcPr>
                <w:p w14:paraId="1F9E5CF3">
                  <w:pPr>
                    <w:pStyle w:val="38"/>
                    <w:keepNext w:val="0"/>
                    <w:keepLines w:val="0"/>
                    <w:widowControl/>
                    <w:suppressLineNumbers w:val="0"/>
                    <w:bidi w:val="0"/>
                    <w:spacing w:before="0" w:beforeAutospacing="0" w:after="0" w:afterAutospacing="0"/>
                    <w:ind w:left="0" w:right="0"/>
                    <w:rPr>
                      <w:rFonts w:hint="default"/>
                      <w:szCs w:val="22"/>
                      <w:highlight w:val="none"/>
                      <w:lang w:eastAsia="zh-CN"/>
                    </w:rPr>
                  </w:pPr>
                  <w:r>
                    <w:rPr>
                      <w:rFonts w:hint="default"/>
                      <w:szCs w:val="22"/>
                      <w:highlight w:val="none"/>
                      <w:lang w:eastAsia="zh-CN"/>
                    </w:rPr>
                    <w:t>项目</w:t>
                  </w:r>
                  <w:r>
                    <w:rPr>
                      <w:rFonts w:hint="eastAsia"/>
                      <w:szCs w:val="22"/>
                      <w:highlight w:val="none"/>
                      <w:lang w:val="en-US" w:eastAsia="zh-CN"/>
                    </w:rPr>
                    <w:t>原辅料</w:t>
                  </w:r>
                  <w:r>
                    <w:rPr>
                      <w:rFonts w:hint="default"/>
                      <w:szCs w:val="22"/>
                      <w:highlight w:val="none"/>
                      <w:lang w:eastAsia="zh-CN"/>
                    </w:rPr>
                    <w:t>类型</w:t>
                  </w:r>
                </w:p>
              </w:tc>
              <w:tc>
                <w:tcPr>
                  <w:tcW w:w="1312" w:type="pct"/>
                  <w:noWrap w:val="0"/>
                  <w:vAlign w:val="center"/>
                </w:tcPr>
                <w:p w14:paraId="11952395">
                  <w:pPr>
                    <w:pStyle w:val="38"/>
                    <w:keepNext w:val="0"/>
                    <w:keepLines w:val="0"/>
                    <w:widowControl/>
                    <w:suppressLineNumbers w:val="0"/>
                    <w:bidi w:val="0"/>
                    <w:spacing w:before="0" w:beforeAutospacing="0" w:after="0" w:afterAutospacing="0"/>
                    <w:ind w:left="0" w:right="0"/>
                    <w:rPr>
                      <w:rFonts w:hint="default"/>
                      <w:szCs w:val="22"/>
                      <w:highlight w:val="none"/>
                      <w:lang w:eastAsia="zh-CN"/>
                    </w:rPr>
                  </w:pPr>
                  <w:r>
                    <w:rPr>
                      <w:rFonts w:hint="default"/>
                      <w:szCs w:val="22"/>
                      <w:highlight w:val="none"/>
                    </w:rPr>
                    <w:t>VOCs</w:t>
                  </w:r>
                  <w:r>
                    <w:rPr>
                      <w:rFonts w:hint="default"/>
                      <w:szCs w:val="22"/>
                      <w:highlight w:val="none"/>
                      <w:lang w:eastAsia="zh-CN"/>
                    </w:rPr>
                    <w:t>限值（</w:t>
                  </w:r>
                  <w:r>
                    <w:rPr>
                      <w:rFonts w:hint="default"/>
                      <w:szCs w:val="22"/>
                      <w:highlight w:val="none"/>
                    </w:rPr>
                    <w:t>g/L</w:t>
                  </w:r>
                  <w:r>
                    <w:rPr>
                      <w:rFonts w:hint="default"/>
                      <w:szCs w:val="22"/>
                      <w:highlight w:val="none"/>
                      <w:lang w:eastAsia="zh-CN"/>
                    </w:rPr>
                    <w:t>）</w:t>
                  </w:r>
                </w:p>
              </w:tc>
              <w:tc>
                <w:tcPr>
                  <w:tcW w:w="1312" w:type="pct"/>
                  <w:noWrap w:val="0"/>
                  <w:vAlign w:val="center"/>
                </w:tcPr>
                <w:p w14:paraId="2E742E40">
                  <w:pPr>
                    <w:pStyle w:val="38"/>
                    <w:keepNext w:val="0"/>
                    <w:keepLines w:val="0"/>
                    <w:widowControl/>
                    <w:suppressLineNumbers w:val="0"/>
                    <w:bidi w:val="0"/>
                    <w:spacing w:before="0" w:beforeAutospacing="0" w:after="0" w:afterAutospacing="0"/>
                    <w:ind w:left="0" w:right="0"/>
                    <w:rPr>
                      <w:rFonts w:hint="default"/>
                      <w:szCs w:val="22"/>
                      <w:highlight w:val="none"/>
                      <w:lang w:eastAsia="zh-CN"/>
                    </w:rPr>
                  </w:pPr>
                  <w:r>
                    <w:rPr>
                      <w:rFonts w:hint="default"/>
                      <w:szCs w:val="22"/>
                      <w:highlight w:val="none"/>
                      <w:lang w:eastAsia="zh-CN"/>
                    </w:rPr>
                    <w:t>产品</w:t>
                  </w:r>
                  <w:r>
                    <w:rPr>
                      <w:rFonts w:hint="default"/>
                      <w:szCs w:val="22"/>
                      <w:highlight w:val="none"/>
                    </w:rPr>
                    <w:t>VOCs</w:t>
                  </w:r>
                  <w:r>
                    <w:rPr>
                      <w:rFonts w:hint="default"/>
                      <w:szCs w:val="22"/>
                      <w:highlight w:val="none"/>
                      <w:lang w:eastAsia="zh-CN"/>
                    </w:rPr>
                    <w:t>含量（</w:t>
                  </w:r>
                  <w:r>
                    <w:rPr>
                      <w:rFonts w:hint="default"/>
                      <w:szCs w:val="22"/>
                      <w:highlight w:val="none"/>
                    </w:rPr>
                    <w:t>g/L</w:t>
                  </w:r>
                  <w:r>
                    <w:rPr>
                      <w:rFonts w:hint="default"/>
                      <w:szCs w:val="22"/>
                      <w:highlight w:val="none"/>
                      <w:lang w:eastAsia="zh-CN"/>
                    </w:rPr>
                    <w:t>）</w:t>
                  </w:r>
                </w:p>
              </w:tc>
              <w:tc>
                <w:tcPr>
                  <w:tcW w:w="641" w:type="pct"/>
                  <w:noWrap w:val="0"/>
                  <w:vAlign w:val="center"/>
                </w:tcPr>
                <w:p w14:paraId="74BE346E">
                  <w:pPr>
                    <w:pStyle w:val="38"/>
                    <w:keepNext w:val="0"/>
                    <w:keepLines w:val="0"/>
                    <w:widowControl/>
                    <w:suppressLineNumbers w:val="0"/>
                    <w:bidi w:val="0"/>
                    <w:spacing w:before="0" w:beforeAutospacing="0" w:after="0" w:afterAutospacing="0"/>
                    <w:ind w:left="0" w:right="0"/>
                    <w:rPr>
                      <w:rFonts w:hint="default"/>
                      <w:szCs w:val="22"/>
                      <w:highlight w:val="none"/>
                      <w:lang w:eastAsia="zh-CN"/>
                    </w:rPr>
                  </w:pPr>
                  <w:r>
                    <w:rPr>
                      <w:rFonts w:hint="default"/>
                      <w:szCs w:val="22"/>
                      <w:highlight w:val="none"/>
                      <w:lang w:eastAsia="zh-CN"/>
                    </w:rPr>
                    <w:t>是否符合</w:t>
                  </w:r>
                </w:p>
              </w:tc>
            </w:tr>
            <w:tr w14:paraId="2523E9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733" w:type="pct"/>
                  <w:noWrap w:val="0"/>
                  <w:vAlign w:val="center"/>
                </w:tcPr>
                <w:p w14:paraId="001FB5F4">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水性漆</w:t>
                  </w:r>
                </w:p>
              </w:tc>
              <w:tc>
                <w:tcPr>
                  <w:tcW w:w="1312" w:type="pct"/>
                  <w:noWrap w:val="0"/>
                  <w:vAlign w:val="center"/>
                </w:tcPr>
                <w:p w14:paraId="4846C588">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420</w:t>
                  </w:r>
                </w:p>
              </w:tc>
              <w:tc>
                <w:tcPr>
                  <w:tcW w:w="1312" w:type="pct"/>
                  <w:noWrap w:val="0"/>
                  <w:vAlign w:val="center"/>
                </w:tcPr>
                <w:p w14:paraId="6D0F7CD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未检出</w:t>
                  </w:r>
                </w:p>
              </w:tc>
              <w:tc>
                <w:tcPr>
                  <w:tcW w:w="641" w:type="pct"/>
                  <w:noWrap w:val="0"/>
                  <w:vAlign w:val="center"/>
                </w:tcPr>
                <w:p w14:paraId="7BF9FFE8">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eastAsia="zh-CN"/>
                    </w:rPr>
                    <w:t>符合</w:t>
                  </w:r>
                </w:p>
              </w:tc>
            </w:tr>
            <w:tr w14:paraId="57250C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1733" w:type="pct"/>
                  <w:noWrap w:val="0"/>
                  <w:vAlign w:val="center"/>
                </w:tcPr>
                <w:p w14:paraId="66C34BAC">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塑胶用油性漆</w:t>
                  </w:r>
                </w:p>
              </w:tc>
              <w:tc>
                <w:tcPr>
                  <w:tcW w:w="1312" w:type="pct"/>
                  <w:noWrap w:val="0"/>
                  <w:vAlign w:val="center"/>
                </w:tcPr>
                <w:p w14:paraId="06E27261">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550</w:t>
                  </w:r>
                </w:p>
              </w:tc>
              <w:tc>
                <w:tcPr>
                  <w:tcW w:w="1312" w:type="pct"/>
                  <w:noWrap w:val="0"/>
                  <w:vAlign w:val="center"/>
                </w:tcPr>
                <w:p w14:paraId="698A2C6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303</w:t>
                  </w:r>
                </w:p>
              </w:tc>
              <w:tc>
                <w:tcPr>
                  <w:tcW w:w="641" w:type="pct"/>
                  <w:noWrap w:val="0"/>
                  <w:vAlign w:val="center"/>
                </w:tcPr>
                <w:p w14:paraId="251ADDCB">
                  <w:pPr>
                    <w:pStyle w:val="38"/>
                    <w:keepNext w:val="0"/>
                    <w:keepLines w:val="0"/>
                    <w:widowControl/>
                    <w:suppressLineNumbers w:val="0"/>
                    <w:bidi w:val="0"/>
                    <w:spacing w:before="0" w:beforeAutospacing="0" w:after="0" w:afterAutospacing="0"/>
                    <w:ind w:left="0" w:right="0"/>
                    <w:rPr>
                      <w:rFonts w:hint="default"/>
                      <w:szCs w:val="22"/>
                      <w:lang w:eastAsia="zh-CN"/>
                    </w:rPr>
                  </w:pPr>
                  <w:r>
                    <w:rPr>
                      <w:rFonts w:hint="default"/>
                      <w:szCs w:val="22"/>
                      <w:lang w:eastAsia="zh-CN"/>
                    </w:rPr>
                    <w:t>符合</w:t>
                  </w:r>
                </w:p>
              </w:tc>
            </w:tr>
            <w:tr w14:paraId="4FC32D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1733" w:type="pct"/>
                  <w:noWrap w:val="0"/>
                  <w:vAlign w:val="center"/>
                </w:tcPr>
                <w:p w14:paraId="208F1BAC">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金属用油性漆</w:t>
                  </w:r>
                </w:p>
              </w:tc>
              <w:tc>
                <w:tcPr>
                  <w:tcW w:w="1312" w:type="pct"/>
                  <w:noWrap w:val="0"/>
                  <w:vAlign w:val="center"/>
                </w:tcPr>
                <w:p w14:paraId="5148C05B">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420</w:t>
                  </w:r>
                </w:p>
              </w:tc>
              <w:tc>
                <w:tcPr>
                  <w:tcW w:w="1312" w:type="pct"/>
                  <w:noWrap w:val="0"/>
                  <w:vAlign w:val="center"/>
                </w:tcPr>
                <w:p w14:paraId="642D4DF4">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319</w:t>
                  </w:r>
                </w:p>
              </w:tc>
              <w:tc>
                <w:tcPr>
                  <w:tcW w:w="641" w:type="pct"/>
                  <w:noWrap w:val="0"/>
                  <w:vAlign w:val="center"/>
                </w:tcPr>
                <w:p w14:paraId="4737A18F">
                  <w:pPr>
                    <w:pStyle w:val="38"/>
                    <w:keepNext w:val="0"/>
                    <w:keepLines w:val="0"/>
                    <w:widowControl/>
                    <w:suppressLineNumbers w:val="0"/>
                    <w:bidi w:val="0"/>
                    <w:spacing w:before="0" w:beforeAutospacing="0" w:after="0" w:afterAutospacing="0"/>
                    <w:ind w:left="0" w:right="0"/>
                    <w:rPr>
                      <w:rFonts w:hint="default"/>
                      <w:szCs w:val="22"/>
                      <w:lang w:eastAsia="zh-CN"/>
                    </w:rPr>
                  </w:pPr>
                  <w:r>
                    <w:rPr>
                      <w:rFonts w:hint="default"/>
                      <w:szCs w:val="22"/>
                      <w:lang w:eastAsia="zh-CN"/>
                    </w:rPr>
                    <w:t>符合</w:t>
                  </w:r>
                </w:p>
              </w:tc>
            </w:tr>
          </w:tbl>
          <w:p w14:paraId="0BF6C75A">
            <w:pPr>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塑胶用油性漆</w:t>
            </w:r>
            <w:r>
              <w:rPr>
                <w:rFonts w:hint="default"/>
                <w:color w:val="auto"/>
                <w:lang w:val="en-US" w:eastAsia="zh-CN"/>
              </w:rPr>
              <w:t>VOCs含量</w:t>
            </w:r>
            <w:r>
              <w:rPr>
                <w:rFonts w:hint="eastAsia"/>
                <w:color w:val="auto"/>
                <w:lang w:val="en-US" w:eastAsia="zh-CN"/>
              </w:rPr>
              <w:t>数据</w:t>
            </w:r>
            <w:r>
              <w:rPr>
                <w:rFonts w:hint="default"/>
                <w:color w:val="auto"/>
                <w:lang w:val="en-US" w:eastAsia="zh-CN"/>
              </w:rPr>
              <w:t>引用通标标准技术服务有限公司广州分公司的产品检验检测报告（详见</w:t>
            </w:r>
            <w:r>
              <w:rPr>
                <w:rFonts w:hint="default"/>
                <w:color w:val="auto"/>
                <w:lang w:val="en-US" w:eastAsia="zh-CN"/>
              </w:rPr>
              <w:fldChar w:fldCharType="begin"/>
            </w:r>
            <w:r>
              <w:rPr>
                <w:rFonts w:hint="default"/>
                <w:color w:val="auto"/>
                <w:lang w:val="en-US" w:eastAsia="zh-CN"/>
              </w:rPr>
              <w:instrText xml:space="preserve"> REF _Ref22270 \h </w:instrText>
            </w:r>
            <w:r>
              <w:rPr>
                <w:rFonts w:hint="default"/>
                <w:color w:val="auto"/>
                <w:lang w:val="en-US" w:eastAsia="zh-CN"/>
              </w:rPr>
              <w:fldChar w:fldCharType="separate"/>
            </w:r>
            <w:r>
              <w:rPr>
                <w:rFonts w:hint="eastAsia"/>
              </w:rPr>
              <w:t>附件 11</w:t>
            </w:r>
            <w:r>
              <w:rPr>
                <w:rFonts w:hint="default"/>
                <w:color w:val="auto"/>
                <w:lang w:val="en-US" w:eastAsia="zh-CN"/>
              </w:rPr>
              <w:fldChar w:fldCharType="end"/>
            </w:r>
            <w:r>
              <w:rPr>
                <w:rFonts w:hint="default"/>
                <w:color w:val="auto"/>
                <w:lang w:val="en-US" w:eastAsia="zh-CN"/>
              </w:rPr>
              <w:t>），</w:t>
            </w:r>
            <w:r>
              <w:rPr>
                <w:rFonts w:hint="eastAsia"/>
                <w:color w:val="auto"/>
                <w:lang w:val="en-US" w:eastAsia="zh-CN"/>
              </w:rPr>
              <w:t>VOCs含量为303g/L，</w:t>
            </w:r>
            <w:r>
              <w:rPr>
                <w:rFonts w:hint="default"/>
                <w:color w:val="auto"/>
              </w:rPr>
              <w:t>满足《工业防护涂料中有害物质限量》（GB 30981-2020）</w:t>
            </w:r>
            <w:r>
              <w:rPr>
                <w:rFonts w:hint="eastAsia"/>
                <w:color w:val="auto"/>
                <w:lang w:val="en-US" w:eastAsia="zh-CN"/>
              </w:rPr>
              <w:t>表</w:t>
            </w:r>
            <w:r>
              <w:rPr>
                <w:rFonts w:hint="default"/>
                <w:color w:val="auto"/>
              </w:rPr>
              <w:t>2中</w:t>
            </w:r>
            <w:r>
              <w:rPr>
                <w:rFonts w:hint="eastAsia"/>
                <w:color w:val="auto"/>
                <w:lang w:val="en-US" w:eastAsia="zh-CN"/>
              </w:rPr>
              <w:t>溶剂型涂层-机械和设备用涂料（含零部件涂料）面漆</w:t>
            </w:r>
            <w:r>
              <w:rPr>
                <w:rFonts w:hint="default"/>
                <w:color w:val="auto"/>
              </w:rPr>
              <w:t>的要求</w:t>
            </w:r>
            <w:r>
              <w:rPr>
                <w:rFonts w:hint="eastAsia"/>
                <w:color w:val="auto"/>
                <w:lang w:eastAsia="zh-CN"/>
              </w:rPr>
              <w:t>（</w:t>
            </w:r>
            <w:r>
              <w:rPr>
                <w:rFonts w:hint="eastAsia"/>
                <w:color w:val="auto"/>
                <w:lang w:val="en-US" w:eastAsia="zh-CN"/>
              </w:rPr>
              <w:t>VOCs≤550g/L</w:t>
            </w:r>
            <w:r>
              <w:rPr>
                <w:rFonts w:hint="eastAsia"/>
                <w:color w:val="auto"/>
                <w:lang w:eastAsia="zh-CN"/>
              </w:rPr>
              <w:t>）</w:t>
            </w:r>
            <w:r>
              <w:rPr>
                <w:rFonts w:hint="eastAsia"/>
                <w:color w:val="auto"/>
                <w:lang w:val="en-US" w:eastAsia="zh-CN"/>
              </w:rPr>
              <w:t>。</w:t>
            </w:r>
          </w:p>
          <w:p w14:paraId="2C47A182">
            <w:pPr>
              <w:keepNext w:val="0"/>
              <w:keepLines w:val="0"/>
              <w:suppressLineNumbers w:val="0"/>
              <w:bidi w:val="0"/>
              <w:spacing w:before="0" w:beforeAutospacing="0" w:after="0" w:afterAutospacing="0"/>
              <w:ind w:left="0" w:right="0"/>
              <w:rPr>
                <w:rFonts w:hint="eastAsia"/>
                <w:color w:val="0000FF"/>
                <w:lang w:val="en-US" w:eastAsia="zh-CN"/>
              </w:rPr>
            </w:pPr>
            <w:r>
              <w:rPr>
                <w:rFonts w:hint="eastAsia"/>
                <w:color w:val="auto"/>
                <w:lang w:val="en-US" w:eastAsia="zh-CN"/>
              </w:rPr>
              <w:t>金属用油性漆</w:t>
            </w:r>
            <w:r>
              <w:rPr>
                <w:rFonts w:hint="default"/>
                <w:color w:val="auto"/>
                <w:lang w:val="en-US" w:eastAsia="zh-CN"/>
              </w:rPr>
              <w:t>VOCs含量</w:t>
            </w:r>
            <w:r>
              <w:rPr>
                <w:rFonts w:hint="eastAsia"/>
                <w:color w:val="auto"/>
                <w:lang w:val="en-US" w:eastAsia="zh-CN"/>
              </w:rPr>
              <w:t>数据</w:t>
            </w:r>
            <w:r>
              <w:rPr>
                <w:rFonts w:hint="default"/>
                <w:color w:val="auto"/>
                <w:lang w:val="en-US" w:eastAsia="zh-CN"/>
              </w:rPr>
              <w:t>引用</w:t>
            </w:r>
            <w:r>
              <w:rPr>
                <w:rFonts w:hint="eastAsia"/>
                <w:color w:val="auto"/>
                <w:lang w:val="en-US" w:eastAsia="zh-CN"/>
              </w:rPr>
              <w:t>化学工业合成材料老化质量监督检验中心</w:t>
            </w:r>
            <w:r>
              <w:rPr>
                <w:rFonts w:hint="default"/>
                <w:color w:val="auto"/>
                <w:lang w:val="en-US" w:eastAsia="zh-CN"/>
              </w:rPr>
              <w:t>的产品检验检测报告（详见</w:t>
            </w:r>
            <w:r>
              <w:rPr>
                <w:rFonts w:hint="default"/>
                <w:color w:val="auto"/>
                <w:lang w:val="en-US" w:eastAsia="zh-CN"/>
              </w:rPr>
              <w:fldChar w:fldCharType="begin"/>
            </w:r>
            <w:r>
              <w:rPr>
                <w:rFonts w:hint="default"/>
                <w:color w:val="auto"/>
                <w:lang w:val="en-US" w:eastAsia="zh-CN"/>
              </w:rPr>
              <w:instrText xml:space="preserve"> REF _Ref22296 \h </w:instrText>
            </w:r>
            <w:r>
              <w:rPr>
                <w:rFonts w:hint="default"/>
                <w:color w:val="auto"/>
                <w:lang w:val="en-US" w:eastAsia="zh-CN"/>
              </w:rPr>
              <w:fldChar w:fldCharType="separate"/>
            </w:r>
            <w:r>
              <w:rPr>
                <w:rFonts w:hint="eastAsia"/>
              </w:rPr>
              <w:t>附件 13</w:t>
            </w:r>
            <w:r>
              <w:rPr>
                <w:rFonts w:hint="default"/>
                <w:color w:val="auto"/>
                <w:lang w:val="en-US" w:eastAsia="zh-CN"/>
              </w:rPr>
              <w:fldChar w:fldCharType="end"/>
            </w:r>
            <w:r>
              <w:rPr>
                <w:rFonts w:hint="default"/>
                <w:color w:val="auto"/>
                <w:lang w:val="en-US" w:eastAsia="zh-CN"/>
              </w:rPr>
              <w:t>），</w:t>
            </w:r>
            <w:r>
              <w:rPr>
                <w:rFonts w:hint="eastAsia"/>
                <w:color w:val="auto"/>
                <w:lang w:val="en-US" w:eastAsia="zh-CN"/>
              </w:rPr>
              <w:t>VOCs含量为319g/L，</w:t>
            </w:r>
            <w:r>
              <w:rPr>
                <w:rFonts w:hint="default"/>
                <w:color w:val="auto"/>
              </w:rPr>
              <w:t>满足《低挥发性有机化合物含量涂料产品技术要求》（GB/T38597-2020）</w:t>
            </w:r>
            <w:r>
              <w:rPr>
                <w:rFonts w:hint="eastAsia"/>
                <w:color w:val="auto"/>
                <w:lang w:val="en-US" w:eastAsia="zh-CN"/>
              </w:rPr>
              <w:t>表</w:t>
            </w:r>
            <w:r>
              <w:rPr>
                <w:rFonts w:hint="default"/>
                <w:color w:val="auto"/>
              </w:rPr>
              <w:t>2中</w:t>
            </w:r>
            <w:r>
              <w:rPr>
                <w:rFonts w:hint="eastAsia"/>
                <w:color w:val="auto"/>
                <w:lang w:val="en-US" w:eastAsia="zh-CN"/>
              </w:rPr>
              <w:t>工业防护涂料 机械设备涂料 港口机械和化工机械</w:t>
            </w:r>
            <w:r>
              <w:rPr>
                <w:rFonts w:hint="eastAsia"/>
                <w:lang w:val="en-US" w:eastAsia="zh-CN"/>
              </w:rPr>
              <w:t>涂料（含零部件涂料）面漆</w:t>
            </w:r>
            <w:r>
              <w:rPr>
                <w:rFonts w:hint="default"/>
              </w:rPr>
              <w:t>的要求</w:t>
            </w:r>
            <w:r>
              <w:rPr>
                <w:rFonts w:hint="eastAsia"/>
                <w:lang w:eastAsia="zh-CN"/>
              </w:rPr>
              <w:t>（</w:t>
            </w:r>
            <w:r>
              <w:rPr>
                <w:rFonts w:hint="eastAsia"/>
                <w:lang w:val="en-US" w:eastAsia="zh-CN"/>
              </w:rPr>
              <w:t>VOCs≤420g/L</w:t>
            </w:r>
            <w:r>
              <w:rPr>
                <w:rFonts w:hint="eastAsia"/>
                <w:lang w:eastAsia="zh-CN"/>
              </w:rPr>
              <w:t>）</w:t>
            </w:r>
            <w:r>
              <w:rPr>
                <w:rFonts w:hint="eastAsia"/>
                <w:lang w:val="en-US" w:eastAsia="zh-CN"/>
              </w:rPr>
              <w:t>。</w:t>
            </w:r>
          </w:p>
          <w:p w14:paraId="1CC72016">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水性漆</w:t>
            </w:r>
            <w:r>
              <w:rPr>
                <w:rFonts w:hint="default"/>
                <w:lang w:val="en-US" w:eastAsia="zh-CN"/>
              </w:rPr>
              <w:t>VOCs含量</w:t>
            </w:r>
            <w:r>
              <w:rPr>
                <w:rFonts w:hint="eastAsia"/>
                <w:lang w:val="en-US" w:eastAsia="zh-CN"/>
              </w:rPr>
              <w:t>数据</w:t>
            </w:r>
            <w:r>
              <w:rPr>
                <w:rFonts w:hint="default"/>
                <w:lang w:val="en-US" w:eastAsia="zh-CN"/>
              </w:rPr>
              <w:t>引用华测检测认证集团股份有限公司的产品检验检测报告（详见</w:t>
            </w:r>
            <w:r>
              <w:rPr>
                <w:rFonts w:hint="default"/>
                <w:lang w:val="en-US" w:eastAsia="zh-CN"/>
              </w:rPr>
              <w:fldChar w:fldCharType="begin"/>
            </w:r>
            <w:r>
              <w:rPr>
                <w:rFonts w:hint="default"/>
                <w:lang w:val="en-US" w:eastAsia="zh-CN"/>
              </w:rPr>
              <w:instrText xml:space="preserve"> REF _Ref22316 \h </w:instrText>
            </w:r>
            <w:r>
              <w:rPr>
                <w:rFonts w:hint="default"/>
                <w:lang w:val="en-US" w:eastAsia="zh-CN"/>
              </w:rPr>
              <w:fldChar w:fldCharType="separate"/>
            </w:r>
            <w:r>
              <w:rPr>
                <w:rFonts w:hint="eastAsia"/>
              </w:rPr>
              <w:t>附件 9</w:t>
            </w:r>
            <w:r>
              <w:rPr>
                <w:rFonts w:hint="default"/>
                <w:lang w:val="en-US" w:eastAsia="zh-CN"/>
              </w:rPr>
              <w:fldChar w:fldCharType="end"/>
            </w:r>
            <w:r>
              <w:rPr>
                <w:rFonts w:hint="default"/>
                <w:lang w:val="en-US" w:eastAsia="zh-CN"/>
              </w:rPr>
              <w:t>），</w:t>
            </w:r>
            <w:r>
              <w:rPr>
                <w:rFonts w:hint="default"/>
              </w:rPr>
              <w:t>VOCs</w:t>
            </w:r>
            <w:r>
              <w:rPr>
                <w:rFonts w:hint="default"/>
                <w:lang w:eastAsia="zh-CN"/>
              </w:rPr>
              <w:t>含量</w:t>
            </w:r>
            <w:r>
              <w:rPr>
                <w:rFonts w:hint="eastAsia"/>
                <w:lang w:val="en-US" w:eastAsia="zh-CN"/>
              </w:rPr>
              <w:t>未检出。</w:t>
            </w:r>
          </w:p>
          <w:p w14:paraId="58AAC577">
            <w:pPr>
              <w:keepNext/>
              <w:keepLines/>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outlineLvl w:val="9"/>
              <w:rPr>
                <w:rFonts w:hint="eastAsia"/>
                <w:b w:val="0"/>
                <w:bCs/>
                <w:color w:val="auto"/>
                <w:lang w:val="en-US" w:eastAsia="zh-CN"/>
              </w:rPr>
            </w:pPr>
            <w:r>
              <w:rPr>
                <w:rFonts w:hint="eastAsia" w:ascii="Times New Roman" w:hAnsi="Times New Roman" w:eastAsia="宋体" w:cs="Times New Roman"/>
                <w:b w:val="0"/>
                <w:bCs/>
                <w:color w:val="auto"/>
                <w:kern w:val="2"/>
                <w:sz w:val="24"/>
                <w:szCs w:val="24"/>
                <w:lang w:val="en-US" w:eastAsia="zh-CN" w:bidi="ar-SA"/>
              </w:rPr>
              <w:t>（3）</w:t>
            </w:r>
            <w:r>
              <w:rPr>
                <w:rFonts w:hint="eastAsia"/>
                <w:b w:val="0"/>
                <w:bCs/>
                <w:color w:val="auto"/>
                <w:lang w:val="en-US" w:eastAsia="zh-CN"/>
              </w:rPr>
              <w:t>油性漆替代说明</w:t>
            </w:r>
          </w:p>
          <w:p w14:paraId="23FAE5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eastAsia"/>
                <w:color w:val="auto"/>
                <w:lang w:val="en-US" w:eastAsia="zh-CN"/>
              </w:rPr>
            </w:pPr>
            <w:r>
              <w:rPr>
                <w:rFonts w:hint="eastAsia"/>
                <w:color w:val="auto"/>
                <w:lang w:val="en-US" w:eastAsia="zh-CN"/>
              </w:rPr>
              <w:t>户外标识主要用于户外，需长期暴露于紫外线、雨水、温差等环境中，对产品的稳定性、防水性、防护性等要求较高，油性漆具有较好的耐水性和耐候性，适合户外使用。建设单位承诺日后若有适用的低VOCs涂料，会将涂料及时更换为低VOCs涂料，减少大气污染物的排放。</w:t>
            </w:r>
          </w:p>
          <w:p w14:paraId="76916271">
            <w:pPr>
              <w:pStyle w:val="4"/>
              <w:suppressLineNumbers w:val="0"/>
              <w:bidi w:val="0"/>
              <w:spacing w:before="0" w:beforeAutospacing="0" w:after="0" w:afterAutospacing="0"/>
              <w:ind w:left="0" w:right="0"/>
              <w:rPr>
                <w:rFonts w:hint="default"/>
              </w:rPr>
            </w:pPr>
            <w:r>
              <w:rPr>
                <w:rFonts w:hint="default"/>
              </w:rPr>
              <w:t>主要生产设备</w:t>
            </w:r>
          </w:p>
          <w:p w14:paraId="58EE17F0">
            <w:pPr>
              <w:keepNext w:val="0"/>
              <w:keepLines w:val="0"/>
              <w:suppressLineNumbers w:val="0"/>
              <w:spacing w:before="0" w:beforeAutospacing="0" w:after="0" w:afterAutospacing="0"/>
              <w:ind w:left="0" w:right="0" w:firstLine="480"/>
              <w:rPr>
                <w:rFonts w:hint="eastAsia"/>
                <w:color w:val="auto"/>
              </w:rPr>
            </w:pPr>
            <w:r>
              <w:rPr>
                <w:rFonts w:hint="eastAsia"/>
                <w:color w:val="auto"/>
              </w:rPr>
              <w:t>本项目主要生产设备见表2.</w:t>
            </w:r>
            <w:r>
              <w:rPr>
                <w:rFonts w:hint="eastAsia"/>
                <w:color w:val="auto"/>
                <w:lang w:val="en-US" w:eastAsia="zh-CN"/>
              </w:rPr>
              <w:t>5</w:t>
            </w:r>
            <w:r>
              <w:rPr>
                <w:rFonts w:hint="eastAsia"/>
                <w:color w:val="auto"/>
              </w:rPr>
              <w:t>-1。</w:t>
            </w:r>
          </w:p>
          <w:p w14:paraId="3CB5000E">
            <w:pPr>
              <w:pStyle w:val="39"/>
              <w:keepNext w:val="0"/>
              <w:keepLines w:val="0"/>
              <w:suppressLineNumbers w:val="0"/>
              <w:bidi w:val="0"/>
              <w:spacing w:before="0" w:beforeAutospacing="0" w:after="0" w:afterAutospacing="0"/>
              <w:ind w:left="0" w:right="0"/>
              <w:rPr>
                <w:rFonts w:hint="eastAsia"/>
                <w:lang w:eastAsia="zh-CN"/>
              </w:rPr>
            </w:pPr>
            <w:r>
              <w:rPr>
                <w:rFonts w:hint="eastAsia"/>
                <w:lang w:eastAsia="zh-CN"/>
              </w:rPr>
              <w:t>表2.</w:t>
            </w:r>
            <w:r>
              <w:rPr>
                <w:rFonts w:hint="eastAsia"/>
                <w:lang w:val="en-US" w:eastAsia="zh-CN"/>
              </w:rPr>
              <w:t>5</w:t>
            </w:r>
            <w:r>
              <w:rPr>
                <w:rFonts w:hint="eastAsia"/>
                <w:lang w:eastAsia="zh-CN"/>
              </w:rPr>
              <w:t>-1 主要生产设备一览表</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1371"/>
              <w:gridCol w:w="636"/>
              <w:gridCol w:w="1476"/>
              <w:gridCol w:w="1686"/>
              <w:gridCol w:w="1056"/>
            </w:tblGrid>
            <w:tr w14:paraId="5A364F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636" w:type="dxa"/>
                  <w:tcBorders>
                    <w:left w:val="nil"/>
                  </w:tcBorders>
                  <w:noWrap w:val="0"/>
                  <w:vAlign w:val="top"/>
                </w:tcPr>
                <w:p w14:paraId="2CF58DCF">
                  <w:pPr>
                    <w:pStyle w:val="38"/>
                    <w:keepNext w:val="0"/>
                    <w:keepLines w:val="0"/>
                    <w:widowControl/>
                    <w:suppressLineNumbers w:val="0"/>
                    <w:bidi w:val="0"/>
                    <w:spacing w:before="0" w:beforeAutospacing="0" w:after="0" w:afterAutospacing="0"/>
                    <w:ind w:left="0" w:right="0"/>
                    <w:rPr>
                      <w:rFonts w:hint="eastAsia"/>
                      <w:color w:val="auto"/>
                      <w:szCs w:val="22"/>
                    </w:rPr>
                  </w:pPr>
                  <w:r>
                    <w:rPr>
                      <w:rFonts w:hint="eastAsia"/>
                      <w:szCs w:val="22"/>
                    </w:rPr>
                    <w:t>序号</w:t>
                  </w:r>
                </w:p>
              </w:tc>
              <w:tc>
                <w:tcPr>
                  <w:tcW w:w="1371" w:type="dxa"/>
                  <w:noWrap w:val="0"/>
                  <w:vAlign w:val="center"/>
                </w:tcPr>
                <w:p w14:paraId="232252C3">
                  <w:pPr>
                    <w:pStyle w:val="38"/>
                    <w:keepNext w:val="0"/>
                    <w:keepLines w:val="0"/>
                    <w:widowControl/>
                    <w:suppressLineNumbers w:val="0"/>
                    <w:bidi w:val="0"/>
                    <w:spacing w:before="0" w:beforeAutospacing="0" w:after="0" w:afterAutospacing="0"/>
                    <w:ind w:left="0" w:right="0"/>
                    <w:rPr>
                      <w:rFonts w:hint="eastAsia"/>
                      <w:color w:val="auto"/>
                      <w:szCs w:val="22"/>
                      <w:lang w:eastAsia="zh-CN"/>
                    </w:rPr>
                  </w:pPr>
                  <w:r>
                    <w:rPr>
                      <w:rFonts w:hint="eastAsia"/>
                      <w:szCs w:val="22"/>
                    </w:rPr>
                    <w:t>设 备 名 称</w:t>
                  </w:r>
                </w:p>
              </w:tc>
              <w:tc>
                <w:tcPr>
                  <w:tcW w:w="636" w:type="dxa"/>
                  <w:noWrap w:val="0"/>
                  <w:vAlign w:val="center"/>
                </w:tcPr>
                <w:p w14:paraId="422C30ED">
                  <w:pPr>
                    <w:pStyle w:val="38"/>
                    <w:keepNext w:val="0"/>
                    <w:keepLines w:val="0"/>
                    <w:widowControl/>
                    <w:suppressLineNumbers w:val="0"/>
                    <w:bidi w:val="0"/>
                    <w:spacing w:before="0" w:beforeAutospacing="0" w:after="0" w:afterAutospacing="0"/>
                    <w:ind w:left="0" w:right="0"/>
                    <w:rPr>
                      <w:rFonts w:hint="eastAsia"/>
                      <w:color w:val="auto"/>
                      <w:szCs w:val="22"/>
                    </w:rPr>
                  </w:pPr>
                  <w:r>
                    <w:rPr>
                      <w:rFonts w:hint="eastAsia"/>
                      <w:szCs w:val="22"/>
                    </w:rPr>
                    <w:t>单位</w:t>
                  </w:r>
                </w:p>
              </w:tc>
              <w:tc>
                <w:tcPr>
                  <w:tcW w:w="1476" w:type="dxa"/>
                  <w:tcBorders>
                    <w:right w:val="nil"/>
                  </w:tcBorders>
                  <w:noWrap w:val="0"/>
                  <w:vAlign w:val="center"/>
                </w:tcPr>
                <w:p w14:paraId="724819C8">
                  <w:pPr>
                    <w:pStyle w:val="38"/>
                    <w:keepNext w:val="0"/>
                    <w:keepLines w:val="0"/>
                    <w:widowControl/>
                    <w:suppressLineNumbers w:val="0"/>
                    <w:bidi w:val="0"/>
                    <w:spacing w:before="0" w:beforeAutospacing="0" w:after="0" w:afterAutospacing="0"/>
                    <w:ind w:left="0" w:right="0"/>
                    <w:rPr>
                      <w:rFonts w:hint="eastAsia"/>
                      <w:color w:val="auto"/>
                      <w:szCs w:val="22"/>
                      <w:lang w:val="en-US" w:eastAsia="zh-CN"/>
                    </w:rPr>
                  </w:pPr>
                  <w:r>
                    <w:rPr>
                      <w:rFonts w:hint="eastAsia"/>
                      <w:szCs w:val="22"/>
                      <w:lang w:val="en-US" w:eastAsia="zh-CN"/>
                    </w:rPr>
                    <w:t>现有项目</w:t>
                  </w:r>
                  <w:r>
                    <w:rPr>
                      <w:rFonts w:hint="eastAsia"/>
                      <w:szCs w:val="22"/>
                    </w:rPr>
                    <w:t>数量</w:t>
                  </w:r>
                </w:p>
              </w:tc>
              <w:tc>
                <w:tcPr>
                  <w:tcW w:w="1686" w:type="dxa"/>
                  <w:tcBorders>
                    <w:right w:val="nil"/>
                  </w:tcBorders>
                  <w:noWrap w:val="0"/>
                  <w:vAlign w:val="center"/>
                </w:tcPr>
                <w:p w14:paraId="0630319F">
                  <w:pPr>
                    <w:pStyle w:val="38"/>
                    <w:keepNext w:val="0"/>
                    <w:keepLines w:val="0"/>
                    <w:widowControl/>
                    <w:suppressLineNumbers w:val="0"/>
                    <w:bidi w:val="0"/>
                    <w:spacing w:before="0" w:beforeAutospacing="0" w:after="0" w:afterAutospacing="0"/>
                    <w:ind w:left="0" w:right="0"/>
                    <w:rPr>
                      <w:rFonts w:hint="default" w:eastAsia="宋体"/>
                      <w:szCs w:val="22"/>
                      <w:lang w:val="en-US" w:eastAsia="zh-CN"/>
                    </w:rPr>
                  </w:pPr>
                  <w:r>
                    <w:rPr>
                      <w:rFonts w:hint="eastAsia"/>
                      <w:szCs w:val="22"/>
                      <w:lang w:val="en-US" w:eastAsia="zh-CN"/>
                    </w:rPr>
                    <w:t>迁扩建项目数量</w:t>
                  </w:r>
                </w:p>
              </w:tc>
              <w:tc>
                <w:tcPr>
                  <w:tcW w:w="1056" w:type="dxa"/>
                  <w:tcBorders>
                    <w:right w:val="nil"/>
                  </w:tcBorders>
                  <w:noWrap w:val="0"/>
                  <w:vAlign w:val="center"/>
                </w:tcPr>
                <w:p w14:paraId="41B715C5">
                  <w:pPr>
                    <w:pStyle w:val="38"/>
                    <w:keepNext w:val="0"/>
                    <w:keepLines w:val="0"/>
                    <w:widowControl/>
                    <w:suppressLineNumbers w:val="0"/>
                    <w:bidi w:val="0"/>
                    <w:spacing w:before="0" w:beforeAutospacing="0" w:after="0" w:afterAutospacing="0"/>
                    <w:ind w:left="0" w:right="0"/>
                    <w:rPr>
                      <w:rFonts w:hint="default" w:eastAsia="宋体"/>
                      <w:szCs w:val="22"/>
                      <w:lang w:val="en-US" w:eastAsia="zh-CN"/>
                    </w:rPr>
                  </w:pPr>
                  <w:r>
                    <w:rPr>
                      <w:rFonts w:hint="eastAsia"/>
                      <w:szCs w:val="22"/>
                      <w:lang w:val="en-US" w:eastAsia="zh-CN"/>
                    </w:rPr>
                    <w:t>变化情况</w:t>
                  </w:r>
                </w:p>
              </w:tc>
            </w:tr>
            <w:tr w14:paraId="005EBB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636" w:type="dxa"/>
                  <w:tcBorders>
                    <w:left w:val="nil"/>
                  </w:tcBorders>
                  <w:noWrap w:val="0"/>
                  <w:vAlign w:val="top"/>
                </w:tcPr>
                <w:p w14:paraId="4F03BD87">
                  <w:pPr>
                    <w:pStyle w:val="38"/>
                    <w:keepNext w:val="0"/>
                    <w:keepLines w:val="0"/>
                    <w:widowControl/>
                    <w:suppressLineNumbers w:val="0"/>
                    <w:bidi w:val="0"/>
                    <w:spacing w:before="0" w:beforeAutospacing="0" w:after="0" w:afterAutospacing="0"/>
                    <w:ind w:left="0" w:right="0"/>
                    <w:rPr>
                      <w:rFonts w:hint="eastAsia" w:eastAsia="宋体"/>
                      <w:color w:val="auto"/>
                      <w:szCs w:val="22"/>
                      <w:lang w:eastAsia="zh-CN"/>
                    </w:rPr>
                  </w:pPr>
                  <w:r>
                    <w:rPr>
                      <w:rFonts w:hint="eastAsia"/>
                      <w:szCs w:val="22"/>
                      <w:lang w:val="en-US" w:eastAsia="zh-CN"/>
                    </w:rPr>
                    <w:t>1</w:t>
                  </w:r>
                </w:p>
              </w:tc>
              <w:tc>
                <w:tcPr>
                  <w:tcW w:w="1371" w:type="dxa"/>
                  <w:noWrap w:val="0"/>
                  <w:vAlign w:val="center"/>
                </w:tcPr>
                <w:p w14:paraId="3B85CD29">
                  <w:pPr>
                    <w:pStyle w:val="38"/>
                    <w:keepNext w:val="0"/>
                    <w:keepLines w:val="0"/>
                    <w:widowControl/>
                    <w:suppressLineNumbers w:val="0"/>
                    <w:bidi w:val="0"/>
                    <w:spacing w:before="0" w:beforeAutospacing="0" w:after="0" w:afterAutospacing="0"/>
                    <w:ind w:left="0" w:right="0"/>
                    <w:rPr>
                      <w:rFonts w:hint="eastAsia" w:eastAsia="宋体"/>
                      <w:color w:val="auto"/>
                      <w:szCs w:val="22"/>
                      <w:lang w:val="en-US" w:eastAsia="zh-CN"/>
                    </w:rPr>
                  </w:pPr>
                  <w:r>
                    <w:rPr>
                      <w:rFonts w:hint="eastAsia"/>
                      <w:szCs w:val="22"/>
                      <w:lang w:val="en-US" w:eastAsia="zh-CN"/>
                    </w:rPr>
                    <w:t>水帘柜</w:t>
                  </w:r>
                </w:p>
              </w:tc>
              <w:tc>
                <w:tcPr>
                  <w:tcW w:w="636" w:type="dxa"/>
                  <w:noWrap w:val="0"/>
                  <w:vAlign w:val="center"/>
                </w:tcPr>
                <w:p w14:paraId="1B86CD68">
                  <w:pPr>
                    <w:pStyle w:val="38"/>
                    <w:keepNext w:val="0"/>
                    <w:keepLines w:val="0"/>
                    <w:widowControl/>
                    <w:suppressLineNumbers w:val="0"/>
                    <w:bidi w:val="0"/>
                    <w:spacing w:before="0" w:beforeAutospacing="0" w:after="0" w:afterAutospacing="0"/>
                    <w:ind w:left="0" w:right="0"/>
                    <w:rPr>
                      <w:rFonts w:hint="eastAsia"/>
                      <w:color w:val="auto"/>
                      <w:szCs w:val="22"/>
                    </w:rPr>
                  </w:pPr>
                  <w:r>
                    <w:rPr>
                      <w:rFonts w:hint="eastAsia"/>
                      <w:szCs w:val="22"/>
                    </w:rPr>
                    <w:t>台</w:t>
                  </w:r>
                </w:p>
              </w:tc>
              <w:tc>
                <w:tcPr>
                  <w:tcW w:w="1476" w:type="dxa"/>
                  <w:tcBorders>
                    <w:right w:val="nil"/>
                  </w:tcBorders>
                  <w:noWrap w:val="0"/>
                  <w:vAlign w:val="center"/>
                </w:tcPr>
                <w:p w14:paraId="60DA734A">
                  <w:pPr>
                    <w:pStyle w:val="38"/>
                    <w:keepNext w:val="0"/>
                    <w:keepLines w:val="0"/>
                    <w:widowControl/>
                    <w:suppressLineNumbers w:val="0"/>
                    <w:bidi w:val="0"/>
                    <w:spacing w:before="0" w:beforeAutospacing="0" w:after="0" w:afterAutospacing="0"/>
                    <w:ind w:left="0" w:right="0"/>
                    <w:rPr>
                      <w:rFonts w:hint="default" w:eastAsia="宋体"/>
                      <w:color w:val="auto"/>
                      <w:szCs w:val="22"/>
                      <w:lang w:val="en-US" w:eastAsia="zh-CN"/>
                    </w:rPr>
                  </w:pPr>
                  <w:r>
                    <w:rPr>
                      <w:rFonts w:hint="eastAsia"/>
                      <w:szCs w:val="22"/>
                      <w:lang w:val="en-US" w:eastAsia="zh-CN"/>
                    </w:rPr>
                    <w:t>2</w:t>
                  </w:r>
                </w:p>
              </w:tc>
              <w:tc>
                <w:tcPr>
                  <w:tcW w:w="1686" w:type="dxa"/>
                  <w:tcBorders>
                    <w:right w:val="nil"/>
                  </w:tcBorders>
                  <w:noWrap w:val="0"/>
                  <w:vAlign w:val="center"/>
                </w:tcPr>
                <w:p w14:paraId="603F4D35">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9</w:t>
                  </w:r>
                </w:p>
              </w:tc>
              <w:tc>
                <w:tcPr>
                  <w:tcW w:w="1056" w:type="dxa"/>
                  <w:tcBorders>
                    <w:right w:val="nil"/>
                  </w:tcBorders>
                  <w:noWrap w:val="0"/>
                  <w:vAlign w:val="center"/>
                </w:tcPr>
                <w:p w14:paraId="2D200805">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+7</w:t>
                  </w:r>
                </w:p>
              </w:tc>
            </w:tr>
            <w:tr w14:paraId="434113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636" w:type="dxa"/>
                  <w:tcBorders>
                    <w:left w:val="nil"/>
                  </w:tcBorders>
                  <w:noWrap w:val="0"/>
                  <w:vAlign w:val="top"/>
                </w:tcPr>
                <w:p w14:paraId="2DB66C67">
                  <w:pPr>
                    <w:pStyle w:val="38"/>
                    <w:keepNext w:val="0"/>
                    <w:keepLines w:val="0"/>
                    <w:widowControl/>
                    <w:suppressLineNumbers w:val="0"/>
                    <w:bidi w:val="0"/>
                    <w:spacing w:before="0" w:beforeAutospacing="0" w:after="0" w:afterAutospacing="0"/>
                    <w:ind w:left="0" w:right="0"/>
                    <w:rPr>
                      <w:rFonts w:hint="eastAsia"/>
                      <w:color w:val="auto"/>
                      <w:szCs w:val="22"/>
                      <w:lang w:val="en-US" w:eastAsia="zh-CN"/>
                    </w:rPr>
                  </w:pPr>
                  <w:r>
                    <w:rPr>
                      <w:rFonts w:hint="eastAsia"/>
                      <w:szCs w:val="22"/>
                      <w:lang w:val="en-US" w:eastAsia="zh-CN"/>
                    </w:rPr>
                    <w:t>2</w:t>
                  </w:r>
                </w:p>
              </w:tc>
              <w:tc>
                <w:tcPr>
                  <w:tcW w:w="1371" w:type="dxa"/>
                  <w:noWrap w:val="0"/>
                  <w:vAlign w:val="center"/>
                </w:tcPr>
                <w:p w14:paraId="1E01888C">
                  <w:pPr>
                    <w:pStyle w:val="38"/>
                    <w:keepNext w:val="0"/>
                    <w:keepLines w:val="0"/>
                    <w:widowControl/>
                    <w:suppressLineNumbers w:val="0"/>
                    <w:bidi w:val="0"/>
                    <w:spacing w:before="0" w:beforeAutospacing="0" w:after="0" w:afterAutospacing="0"/>
                    <w:ind w:left="0" w:right="0"/>
                    <w:rPr>
                      <w:rFonts w:hint="default"/>
                      <w:color w:val="auto"/>
                      <w:szCs w:val="22"/>
                      <w:lang w:val="en-US" w:eastAsia="zh-CN"/>
                    </w:rPr>
                  </w:pPr>
                  <w:r>
                    <w:rPr>
                      <w:rFonts w:hint="eastAsia"/>
                      <w:szCs w:val="22"/>
                      <w:lang w:val="en-US" w:eastAsia="zh-CN"/>
                    </w:rPr>
                    <w:t>喷漆平板线</w:t>
                  </w:r>
                </w:p>
              </w:tc>
              <w:tc>
                <w:tcPr>
                  <w:tcW w:w="636" w:type="dxa"/>
                  <w:noWrap w:val="0"/>
                  <w:vAlign w:val="center"/>
                </w:tcPr>
                <w:p w14:paraId="477FA45F">
                  <w:pPr>
                    <w:pStyle w:val="38"/>
                    <w:keepNext w:val="0"/>
                    <w:keepLines w:val="0"/>
                    <w:widowControl/>
                    <w:suppressLineNumbers w:val="0"/>
                    <w:bidi w:val="0"/>
                    <w:spacing w:before="0" w:beforeAutospacing="0" w:after="0" w:afterAutospacing="0"/>
                    <w:ind w:left="0" w:right="0"/>
                    <w:rPr>
                      <w:rFonts w:hint="eastAsia" w:eastAsia="宋体"/>
                      <w:color w:val="auto"/>
                      <w:szCs w:val="22"/>
                      <w:lang w:val="en-US" w:eastAsia="zh-CN"/>
                    </w:rPr>
                  </w:pPr>
                  <w:r>
                    <w:rPr>
                      <w:rFonts w:hint="eastAsia"/>
                      <w:szCs w:val="22"/>
                      <w:lang w:val="en-US" w:eastAsia="zh-CN"/>
                    </w:rPr>
                    <w:t>条</w:t>
                  </w:r>
                </w:p>
              </w:tc>
              <w:tc>
                <w:tcPr>
                  <w:tcW w:w="1476" w:type="dxa"/>
                  <w:tcBorders>
                    <w:right w:val="nil"/>
                  </w:tcBorders>
                  <w:noWrap w:val="0"/>
                  <w:vAlign w:val="center"/>
                </w:tcPr>
                <w:p w14:paraId="3C2F49B3">
                  <w:pPr>
                    <w:pStyle w:val="38"/>
                    <w:keepNext w:val="0"/>
                    <w:keepLines w:val="0"/>
                    <w:widowControl/>
                    <w:suppressLineNumbers w:val="0"/>
                    <w:bidi w:val="0"/>
                    <w:spacing w:before="0" w:beforeAutospacing="0" w:after="0" w:afterAutospacing="0"/>
                    <w:ind w:left="0" w:right="0"/>
                    <w:rPr>
                      <w:rFonts w:hint="default" w:eastAsia="宋体"/>
                      <w:color w:val="auto"/>
                      <w:szCs w:val="22"/>
                      <w:lang w:val="en-US" w:eastAsia="zh-CN"/>
                    </w:rPr>
                  </w:pPr>
                  <w:r>
                    <w:rPr>
                      <w:rFonts w:hint="eastAsia"/>
                      <w:szCs w:val="22"/>
                      <w:lang w:val="en-US" w:eastAsia="zh-CN"/>
                    </w:rPr>
                    <w:t>1</w:t>
                  </w:r>
                </w:p>
              </w:tc>
              <w:tc>
                <w:tcPr>
                  <w:tcW w:w="1686" w:type="dxa"/>
                  <w:tcBorders>
                    <w:right w:val="nil"/>
                  </w:tcBorders>
                  <w:noWrap w:val="0"/>
                  <w:vAlign w:val="center"/>
                </w:tcPr>
                <w:p w14:paraId="09AD757F">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3</w:t>
                  </w:r>
                </w:p>
              </w:tc>
              <w:tc>
                <w:tcPr>
                  <w:tcW w:w="1056" w:type="dxa"/>
                  <w:tcBorders>
                    <w:right w:val="nil"/>
                  </w:tcBorders>
                  <w:noWrap w:val="0"/>
                  <w:vAlign w:val="center"/>
                </w:tcPr>
                <w:p w14:paraId="0E096B53">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+2</w:t>
                  </w:r>
                </w:p>
              </w:tc>
            </w:tr>
            <w:tr w14:paraId="3DC52F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636" w:type="dxa"/>
                  <w:tcBorders>
                    <w:left w:val="nil"/>
                  </w:tcBorders>
                  <w:noWrap w:val="0"/>
                  <w:vAlign w:val="top"/>
                </w:tcPr>
                <w:p w14:paraId="44E19B5E">
                  <w:pPr>
                    <w:pStyle w:val="38"/>
                    <w:keepNext w:val="0"/>
                    <w:keepLines w:val="0"/>
                    <w:widowControl/>
                    <w:suppressLineNumbers w:val="0"/>
                    <w:bidi w:val="0"/>
                    <w:spacing w:before="0" w:beforeAutospacing="0" w:after="0" w:afterAutospacing="0"/>
                    <w:ind w:left="0" w:right="0"/>
                    <w:rPr>
                      <w:rFonts w:hint="eastAsia"/>
                      <w:color w:val="auto"/>
                      <w:kern w:val="2"/>
                      <w:szCs w:val="24"/>
                      <w:lang w:val="en-US" w:eastAsia="zh-CN" w:bidi="ar-SA"/>
                    </w:rPr>
                  </w:pPr>
                  <w:r>
                    <w:rPr>
                      <w:rFonts w:hint="eastAsia"/>
                      <w:szCs w:val="22"/>
                      <w:lang w:val="en-US" w:eastAsia="zh-CN"/>
                    </w:rPr>
                    <w:t>3</w:t>
                  </w:r>
                </w:p>
              </w:tc>
              <w:tc>
                <w:tcPr>
                  <w:tcW w:w="1371" w:type="dxa"/>
                  <w:noWrap w:val="0"/>
                  <w:vAlign w:val="center"/>
                </w:tcPr>
                <w:p w14:paraId="0AE3101E">
                  <w:pPr>
                    <w:pStyle w:val="38"/>
                    <w:keepNext w:val="0"/>
                    <w:keepLines w:val="0"/>
                    <w:widowControl/>
                    <w:suppressLineNumbers w:val="0"/>
                    <w:bidi w:val="0"/>
                    <w:spacing w:before="0" w:beforeAutospacing="0" w:after="0" w:afterAutospacing="0"/>
                    <w:ind w:left="0" w:right="0"/>
                    <w:rPr>
                      <w:rFonts w:hint="default"/>
                      <w:color w:val="auto"/>
                      <w:szCs w:val="22"/>
                      <w:lang w:val="en-US" w:eastAsia="zh-CN"/>
                    </w:rPr>
                  </w:pPr>
                  <w:r>
                    <w:rPr>
                      <w:rFonts w:hint="eastAsia"/>
                      <w:szCs w:val="22"/>
                      <w:lang w:val="en-US" w:eastAsia="zh-CN"/>
                    </w:rPr>
                    <w:t>抛光机</w:t>
                  </w:r>
                </w:p>
              </w:tc>
              <w:tc>
                <w:tcPr>
                  <w:tcW w:w="636" w:type="dxa"/>
                  <w:noWrap w:val="0"/>
                  <w:vAlign w:val="center"/>
                </w:tcPr>
                <w:p w14:paraId="16BEFD23">
                  <w:pPr>
                    <w:pStyle w:val="38"/>
                    <w:keepNext w:val="0"/>
                    <w:keepLines w:val="0"/>
                    <w:widowControl/>
                    <w:suppressLineNumbers w:val="0"/>
                    <w:bidi w:val="0"/>
                    <w:spacing w:before="0" w:beforeAutospacing="0" w:after="0" w:afterAutospacing="0"/>
                    <w:ind w:left="0" w:right="0"/>
                    <w:rPr>
                      <w:rFonts w:hint="eastAsia"/>
                      <w:color w:val="auto"/>
                      <w:szCs w:val="22"/>
                    </w:rPr>
                  </w:pPr>
                  <w:r>
                    <w:rPr>
                      <w:rFonts w:hint="eastAsia"/>
                      <w:szCs w:val="22"/>
                    </w:rPr>
                    <w:t>台</w:t>
                  </w:r>
                </w:p>
              </w:tc>
              <w:tc>
                <w:tcPr>
                  <w:tcW w:w="1476" w:type="dxa"/>
                  <w:tcBorders>
                    <w:right w:val="nil"/>
                  </w:tcBorders>
                  <w:noWrap w:val="0"/>
                  <w:vAlign w:val="center"/>
                </w:tcPr>
                <w:p w14:paraId="512F1ED4">
                  <w:pPr>
                    <w:pStyle w:val="38"/>
                    <w:keepNext w:val="0"/>
                    <w:keepLines w:val="0"/>
                    <w:widowControl/>
                    <w:suppressLineNumbers w:val="0"/>
                    <w:bidi w:val="0"/>
                    <w:spacing w:before="0" w:beforeAutospacing="0" w:after="0" w:afterAutospacing="0"/>
                    <w:ind w:left="0" w:right="0"/>
                    <w:rPr>
                      <w:rFonts w:hint="default"/>
                      <w:color w:val="auto"/>
                      <w:szCs w:val="22"/>
                      <w:lang w:val="en-US" w:eastAsia="zh-CN"/>
                    </w:rPr>
                  </w:pPr>
                  <w:r>
                    <w:rPr>
                      <w:rFonts w:hint="eastAsia"/>
                      <w:szCs w:val="22"/>
                      <w:lang w:val="en-US" w:eastAsia="zh-CN"/>
                    </w:rPr>
                    <w:t>5</w:t>
                  </w:r>
                </w:p>
              </w:tc>
              <w:tc>
                <w:tcPr>
                  <w:tcW w:w="1686" w:type="dxa"/>
                  <w:tcBorders>
                    <w:right w:val="nil"/>
                  </w:tcBorders>
                  <w:noWrap w:val="0"/>
                  <w:vAlign w:val="center"/>
                </w:tcPr>
                <w:p w14:paraId="41DA05D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20</w:t>
                  </w:r>
                </w:p>
              </w:tc>
              <w:tc>
                <w:tcPr>
                  <w:tcW w:w="1056" w:type="dxa"/>
                  <w:tcBorders>
                    <w:right w:val="nil"/>
                  </w:tcBorders>
                  <w:noWrap w:val="0"/>
                  <w:vAlign w:val="center"/>
                </w:tcPr>
                <w:p w14:paraId="7F9F1E94">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+15</w:t>
                  </w:r>
                </w:p>
              </w:tc>
            </w:tr>
            <w:tr w14:paraId="63B0F3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636" w:type="dxa"/>
                  <w:tcBorders>
                    <w:left w:val="nil"/>
                  </w:tcBorders>
                  <w:noWrap w:val="0"/>
                  <w:vAlign w:val="top"/>
                </w:tcPr>
                <w:p w14:paraId="7456635E">
                  <w:pPr>
                    <w:pStyle w:val="38"/>
                    <w:keepNext w:val="0"/>
                    <w:keepLines w:val="0"/>
                    <w:widowControl/>
                    <w:suppressLineNumbers w:val="0"/>
                    <w:bidi w:val="0"/>
                    <w:spacing w:before="0" w:beforeAutospacing="0" w:after="0" w:afterAutospacing="0"/>
                    <w:ind w:left="0" w:right="0"/>
                    <w:rPr>
                      <w:rFonts w:hint="default" w:eastAsia="宋体"/>
                      <w:color w:val="auto"/>
                      <w:kern w:val="2"/>
                      <w:szCs w:val="24"/>
                      <w:lang w:val="en-US" w:eastAsia="zh-CN" w:bidi="ar-SA"/>
                    </w:rPr>
                  </w:pPr>
                  <w:r>
                    <w:rPr>
                      <w:rFonts w:hint="eastAsia"/>
                      <w:szCs w:val="22"/>
                      <w:lang w:val="en-US" w:eastAsia="zh-CN"/>
                    </w:rPr>
                    <w:t>4</w:t>
                  </w:r>
                </w:p>
              </w:tc>
              <w:tc>
                <w:tcPr>
                  <w:tcW w:w="1371" w:type="dxa"/>
                  <w:noWrap w:val="0"/>
                  <w:vAlign w:val="center"/>
                </w:tcPr>
                <w:p w14:paraId="59713C3D">
                  <w:pPr>
                    <w:pStyle w:val="38"/>
                    <w:keepNext w:val="0"/>
                    <w:keepLines w:val="0"/>
                    <w:widowControl/>
                    <w:suppressLineNumbers w:val="0"/>
                    <w:bidi w:val="0"/>
                    <w:spacing w:before="0" w:beforeAutospacing="0" w:after="0" w:afterAutospacing="0"/>
                    <w:ind w:left="0" w:right="0"/>
                    <w:rPr>
                      <w:rFonts w:hint="default"/>
                      <w:color w:val="auto"/>
                      <w:szCs w:val="22"/>
                      <w:lang w:val="en-US" w:eastAsia="zh-CN"/>
                    </w:rPr>
                  </w:pPr>
                  <w:r>
                    <w:rPr>
                      <w:rFonts w:hint="eastAsia"/>
                      <w:szCs w:val="22"/>
                      <w:lang w:val="en-US" w:eastAsia="zh-CN"/>
                    </w:rPr>
                    <w:t>喷枪</w:t>
                  </w:r>
                </w:p>
              </w:tc>
              <w:tc>
                <w:tcPr>
                  <w:tcW w:w="636" w:type="dxa"/>
                  <w:noWrap w:val="0"/>
                  <w:vAlign w:val="center"/>
                </w:tcPr>
                <w:p w14:paraId="6A89CF9D">
                  <w:pPr>
                    <w:pStyle w:val="38"/>
                    <w:keepNext w:val="0"/>
                    <w:keepLines w:val="0"/>
                    <w:widowControl/>
                    <w:suppressLineNumbers w:val="0"/>
                    <w:bidi w:val="0"/>
                    <w:spacing w:before="0" w:beforeAutospacing="0" w:after="0" w:afterAutospacing="0"/>
                    <w:ind w:left="0" w:right="0"/>
                    <w:rPr>
                      <w:rFonts w:hint="eastAsia" w:eastAsia="宋体"/>
                      <w:color w:val="auto"/>
                      <w:szCs w:val="22"/>
                      <w:lang w:eastAsia="zh-CN"/>
                    </w:rPr>
                  </w:pPr>
                  <w:r>
                    <w:rPr>
                      <w:rFonts w:hint="eastAsia"/>
                      <w:szCs w:val="22"/>
                      <w:lang w:val="en-US" w:eastAsia="zh-CN"/>
                    </w:rPr>
                    <w:t>把</w:t>
                  </w:r>
                </w:p>
              </w:tc>
              <w:tc>
                <w:tcPr>
                  <w:tcW w:w="1476" w:type="dxa"/>
                  <w:tcBorders>
                    <w:right w:val="nil"/>
                  </w:tcBorders>
                  <w:noWrap w:val="0"/>
                  <w:vAlign w:val="center"/>
                </w:tcPr>
                <w:p w14:paraId="3976C3FC">
                  <w:pPr>
                    <w:pStyle w:val="38"/>
                    <w:keepNext w:val="0"/>
                    <w:keepLines w:val="0"/>
                    <w:widowControl/>
                    <w:suppressLineNumbers w:val="0"/>
                    <w:bidi w:val="0"/>
                    <w:spacing w:before="0" w:beforeAutospacing="0" w:after="0" w:afterAutospacing="0"/>
                    <w:ind w:left="0" w:right="0"/>
                    <w:rPr>
                      <w:rFonts w:hint="default"/>
                      <w:color w:val="auto"/>
                      <w:szCs w:val="22"/>
                      <w:lang w:val="en-US" w:eastAsia="zh-CN"/>
                    </w:rPr>
                  </w:pPr>
                  <w:r>
                    <w:rPr>
                      <w:rFonts w:hint="eastAsia"/>
                      <w:szCs w:val="22"/>
                      <w:lang w:val="en-US" w:eastAsia="zh-CN"/>
                    </w:rPr>
                    <w:t>3</w:t>
                  </w:r>
                </w:p>
              </w:tc>
              <w:tc>
                <w:tcPr>
                  <w:tcW w:w="1686" w:type="dxa"/>
                  <w:tcBorders>
                    <w:right w:val="nil"/>
                  </w:tcBorders>
                  <w:noWrap w:val="0"/>
                  <w:vAlign w:val="center"/>
                </w:tcPr>
                <w:p w14:paraId="5087BFF3">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20</w:t>
                  </w:r>
                </w:p>
              </w:tc>
              <w:tc>
                <w:tcPr>
                  <w:tcW w:w="1056" w:type="dxa"/>
                  <w:tcBorders>
                    <w:right w:val="nil"/>
                  </w:tcBorders>
                  <w:noWrap w:val="0"/>
                  <w:vAlign w:val="center"/>
                </w:tcPr>
                <w:p w14:paraId="728FC467">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+17</w:t>
                  </w:r>
                </w:p>
              </w:tc>
            </w:tr>
            <w:tr w14:paraId="195E84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36" w:type="dxa"/>
                  <w:tcBorders>
                    <w:left w:val="nil"/>
                  </w:tcBorders>
                  <w:noWrap w:val="0"/>
                  <w:vAlign w:val="top"/>
                </w:tcPr>
                <w:p w14:paraId="3F37300D">
                  <w:pPr>
                    <w:pStyle w:val="38"/>
                    <w:keepNext w:val="0"/>
                    <w:keepLines w:val="0"/>
                    <w:widowControl/>
                    <w:suppressLineNumbers w:val="0"/>
                    <w:bidi w:val="0"/>
                    <w:spacing w:before="0" w:beforeAutospacing="0" w:after="0" w:afterAutospacing="0"/>
                    <w:ind w:left="0" w:right="0"/>
                    <w:rPr>
                      <w:rFonts w:hint="eastAsia" w:eastAsia="宋体"/>
                      <w:color w:val="auto"/>
                      <w:szCs w:val="22"/>
                      <w:lang w:eastAsia="zh-CN"/>
                    </w:rPr>
                  </w:pPr>
                  <w:r>
                    <w:rPr>
                      <w:rFonts w:hint="eastAsia"/>
                      <w:szCs w:val="22"/>
                      <w:lang w:val="en-US" w:eastAsia="zh-CN"/>
                    </w:rPr>
                    <w:t>5</w:t>
                  </w:r>
                </w:p>
              </w:tc>
              <w:tc>
                <w:tcPr>
                  <w:tcW w:w="1371" w:type="dxa"/>
                  <w:noWrap w:val="0"/>
                  <w:vAlign w:val="center"/>
                </w:tcPr>
                <w:p w14:paraId="3FA9C1EB">
                  <w:pPr>
                    <w:pStyle w:val="38"/>
                    <w:keepNext w:val="0"/>
                    <w:keepLines w:val="0"/>
                    <w:widowControl/>
                    <w:suppressLineNumbers w:val="0"/>
                    <w:bidi w:val="0"/>
                    <w:spacing w:before="0" w:beforeAutospacing="0" w:after="0" w:afterAutospacing="0"/>
                    <w:ind w:left="0" w:right="0"/>
                    <w:rPr>
                      <w:rFonts w:hint="default" w:eastAsia="宋体"/>
                      <w:color w:val="auto"/>
                      <w:szCs w:val="22"/>
                      <w:lang w:val="en-US" w:eastAsia="zh-CN"/>
                    </w:rPr>
                  </w:pPr>
                  <w:r>
                    <w:rPr>
                      <w:rFonts w:hint="eastAsia"/>
                      <w:szCs w:val="22"/>
                      <w:lang w:val="en-US" w:eastAsia="zh-CN"/>
                    </w:rPr>
                    <w:t>电面包炉</w:t>
                  </w:r>
                </w:p>
              </w:tc>
              <w:tc>
                <w:tcPr>
                  <w:tcW w:w="636" w:type="dxa"/>
                  <w:noWrap w:val="0"/>
                  <w:vAlign w:val="center"/>
                </w:tcPr>
                <w:p w14:paraId="48320CD6">
                  <w:pPr>
                    <w:pStyle w:val="38"/>
                    <w:keepNext w:val="0"/>
                    <w:keepLines w:val="0"/>
                    <w:widowControl/>
                    <w:suppressLineNumbers w:val="0"/>
                    <w:bidi w:val="0"/>
                    <w:spacing w:before="0" w:beforeAutospacing="0" w:after="0" w:afterAutospacing="0"/>
                    <w:ind w:left="0" w:right="0"/>
                    <w:rPr>
                      <w:rFonts w:hint="eastAsia"/>
                      <w:color w:val="auto"/>
                      <w:szCs w:val="22"/>
                    </w:rPr>
                  </w:pPr>
                  <w:r>
                    <w:rPr>
                      <w:rFonts w:hint="eastAsia"/>
                      <w:szCs w:val="22"/>
                    </w:rPr>
                    <w:t>台</w:t>
                  </w:r>
                </w:p>
              </w:tc>
              <w:tc>
                <w:tcPr>
                  <w:tcW w:w="1476" w:type="dxa"/>
                  <w:tcBorders>
                    <w:right w:val="nil"/>
                  </w:tcBorders>
                  <w:noWrap w:val="0"/>
                  <w:vAlign w:val="center"/>
                </w:tcPr>
                <w:p w14:paraId="04AD4E21">
                  <w:pPr>
                    <w:pStyle w:val="38"/>
                    <w:keepNext w:val="0"/>
                    <w:keepLines w:val="0"/>
                    <w:widowControl/>
                    <w:suppressLineNumbers w:val="0"/>
                    <w:bidi w:val="0"/>
                    <w:spacing w:before="0" w:beforeAutospacing="0" w:after="0" w:afterAutospacing="0"/>
                    <w:ind w:left="0" w:right="0"/>
                    <w:rPr>
                      <w:rFonts w:hint="default" w:eastAsia="宋体"/>
                      <w:color w:val="auto"/>
                      <w:szCs w:val="22"/>
                      <w:lang w:val="en-US" w:eastAsia="zh-CN"/>
                    </w:rPr>
                  </w:pPr>
                  <w:r>
                    <w:rPr>
                      <w:rFonts w:hint="eastAsia"/>
                      <w:szCs w:val="22"/>
                      <w:lang w:val="en-US" w:eastAsia="zh-CN"/>
                    </w:rPr>
                    <w:t>2</w:t>
                  </w:r>
                </w:p>
              </w:tc>
              <w:tc>
                <w:tcPr>
                  <w:tcW w:w="1686" w:type="dxa"/>
                  <w:tcBorders>
                    <w:right w:val="nil"/>
                  </w:tcBorders>
                  <w:noWrap w:val="0"/>
                  <w:vAlign w:val="center"/>
                </w:tcPr>
                <w:p w14:paraId="4985685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2</w:t>
                  </w:r>
                </w:p>
              </w:tc>
              <w:tc>
                <w:tcPr>
                  <w:tcW w:w="1056" w:type="dxa"/>
                  <w:tcBorders>
                    <w:right w:val="nil"/>
                  </w:tcBorders>
                  <w:noWrap w:val="0"/>
                  <w:vAlign w:val="center"/>
                </w:tcPr>
                <w:p w14:paraId="41CAF8C3">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不变</w:t>
                  </w:r>
                </w:p>
              </w:tc>
            </w:tr>
            <w:tr w14:paraId="7F2490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36" w:type="dxa"/>
                  <w:tcBorders>
                    <w:left w:val="nil"/>
                  </w:tcBorders>
                  <w:noWrap w:val="0"/>
                  <w:vAlign w:val="top"/>
                </w:tcPr>
                <w:p w14:paraId="72D2D2CF">
                  <w:pPr>
                    <w:pStyle w:val="38"/>
                    <w:keepNext w:val="0"/>
                    <w:keepLines w:val="0"/>
                    <w:widowControl/>
                    <w:suppressLineNumbers w:val="0"/>
                    <w:bidi w:val="0"/>
                    <w:spacing w:before="0" w:beforeAutospacing="0" w:after="0" w:afterAutospacing="0"/>
                    <w:ind w:left="0" w:right="0"/>
                    <w:rPr>
                      <w:rFonts w:hint="eastAsia"/>
                      <w:color w:val="auto"/>
                      <w:szCs w:val="22"/>
                      <w:lang w:val="en-US" w:eastAsia="zh-CN"/>
                    </w:rPr>
                  </w:pPr>
                  <w:r>
                    <w:rPr>
                      <w:rFonts w:hint="eastAsia"/>
                      <w:szCs w:val="22"/>
                      <w:lang w:val="en-US" w:eastAsia="zh-CN"/>
                    </w:rPr>
                    <w:t>6</w:t>
                  </w:r>
                </w:p>
              </w:tc>
              <w:tc>
                <w:tcPr>
                  <w:tcW w:w="1371" w:type="dxa"/>
                  <w:noWrap w:val="0"/>
                  <w:vAlign w:val="center"/>
                </w:tcPr>
                <w:p w14:paraId="7AD506E3">
                  <w:pPr>
                    <w:pStyle w:val="38"/>
                    <w:keepNext w:val="0"/>
                    <w:keepLines w:val="0"/>
                    <w:widowControl/>
                    <w:suppressLineNumbers w:val="0"/>
                    <w:bidi w:val="0"/>
                    <w:spacing w:before="0" w:beforeAutospacing="0" w:after="0" w:afterAutospacing="0"/>
                    <w:ind w:left="0" w:right="0"/>
                    <w:rPr>
                      <w:rFonts w:hint="default" w:eastAsia="宋体"/>
                      <w:color w:val="auto"/>
                      <w:szCs w:val="22"/>
                      <w:lang w:val="en-US" w:eastAsia="zh-CN"/>
                    </w:rPr>
                  </w:pPr>
                  <w:r>
                    <w:rPr>
                      <w:rFonts w:hint="eastAsia"/>
                      <w:szCs w:val="22"/>
                      <w:lang w:val="en-US" w:eastAsia="zh-CN"/>
                    </w:rPr>
                    <w:t>空压机</w:t>
                  </w:r>
                </w:p>
              </w:tc>
              <w:tc>
                <w:tcPr>
                  <w:tcW w:w="636" w:type="dxa"/>
                  <w:noWrap w:val="0"/>
                  <w:vAlign w:val="center"/>
                </w:tcPr>
                <w:p w14:paraId="282B99F1">
                  <w:pPr>
                    <w:pStyle w:val="38"/>
                    <w:keepNext w:val="0"/>
                    <w:keepLines w:val="0"/>
                    <w:widowControl/>
                    <w:suppressLineNumbers w:val="0"/>
                    <w:bidi w:val="0"/>
                    <w:spacing w:before="0" w:beforeAutospacing="0" w:after="0" w:afterAutospacing="0"/>
                    <w:ind w:left="0" w:right="0"/>
                    <w:rPr>
                      <w:rFonts w:hint="eastAsia"/>
                      <w:color w:val="auto"/>
                      <w:szCs w:val="22"/>
                    </w:rPr>
                  </w:pPr>
                  <w:r>
                    <w:rPr>
                      <w:rFonts w:hint="eastAsia"/>
                      <w:szCs w:val="22"/>
                    </w:rPr>
                    <w:t>台</w:t>
                  </w:r>
                </w:p>
              </w:tc>
              <w:tc>
                <w:tcPr>
                  <w:tcW w:w="1476" w:type="dxa"/>
                  <w:tcBorders>
                    <w:right w:val="nil"/>
                  </w:tcBorders>
                  <w:noWrap w:val="0"/>
                  <w:vAlign w:val="center"/>
                </w:tcPr>
                <w:p w14:paraId="5632AD79">
                  <w:pPr>
                    <w:pStyle w:val="38"/>
                    <w:keepNext w:val="0"/>
                    <w:keepLines w:val="0"/>
                    <w:widowControl/>
                    <w:suppressLineNumbers w:val="0"/>
                    <w:bidi w:val="0"/>
                    <w:spacing w:before="0" w:beforeAutospacing="0" w:after="0" w:afterAutospacing="0"/>
                    <w:ind w:left="0" w:right="0"/>
                    <w:rPr>
                      <w:rFonts w:hint="default"/>
                      <w:color w:val="auto"/>
                      <w:szCs w:val="22"/>
                      <w:lang w:val="en-US" w:eastAsia="zh-CN"/>
                    </w:rPr>
                  </w:pPr>
                  <w:r>
                    <w:rPr>
                      <w:rFonts w:hint="eastAsia"/>
                      <w:szCs w:val="22"/>
                      <w:lang w:val="en-US" w:eastAsia="zh-CN"/>
                    </w:rPr>
                    <w:t>1</w:t>
                  </w:r>
                </w:p>
              </w:tc>
              <w:tc>
                <w:tcPr>
                  <w:tcW w:w="1686" w:type="dxa"/>
                  <w:tcBorders>
                    <w:right w:val="nil"/>
                  </w:tcBorders>
                  <w:noWrap w:val="0"/>
                  <w:vAlign w:val="center"/>
                </w:tcPr>
                <w:p w14:paraId="120F8859">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1</w:t>
                  </w:r>
                </w:p>
              </w:tc>
              <w:tc>
                <w:tcPr>
                  <w:tcW w:w="1056" w:type="dxa"/>
                  <w:tcBorders>
                    <w:right w:val="nil"/>
                  </w:tcBorders>
                  <w:noWrap w:val="0"/>
                  <w:vAlign w:val="center"/>
                </w:tcPr>
                <w:p w14:paraId="16AA122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不变</w:t>
                  </w:r>
                </w:p>
              </w:tc>
            </w:tr>
          </w:tbl>
          <w:p w14:paraId="1FBA3E62">
            <w:pPr>
              <w:pStyle w:val="4"/>
              <w:suppressLineNumbers w:val="0"/>
              <w:bidi w:val="0"/>
              <w:spacing w:before="0" w:beforeAutospacing="0" w:after="0" w:afterAutospacing="0"/>
              <w:ind w:left="0" w:right="0"/>
              <w:rPr>
                <w:rFonts w:hint="default"/>
                <w:lang w:val="en-US" w:eastAsia="zh-CN"/>
              </w:rPr>
            </w:pPr>
            <w:r>
              <w:rPr>
                <w:rFonts w:hint="eastAsia"/>
                <w:lang w:val="en-US" w:eastAsia="zh-CN"/>
              </w:rPr>
              <w:t>物料平衡及水平衡</w:t>
            </w:r>
          </w:p>
          <w:p w14:paraId="1149B7F6">
            <w:pPr>
              <w:keepNext w:val="0"/>
              <w:keepLines w:val="0"/>
              <w:suppressLineNumbers w:val="0"/>
              <w:bidi w:val="0"/>
              <w:spacing w:before="0" w:beforeAutospacing="0" w:after="0" w:afterAutospacing="0"/>
              <w:ind w:left="0" w:right="0"/>
              <w:rPr>
                <w:rFonts w:hint="eastAsia"/>
                <w:lang w:eastAsia="zh-CN"/>
              </w:rPr>
            </w:pPr>
            <w:r>
              <w:rPr>
                <w:rFonts w:hint="eastAsia"/>
                <w:lang w:eastAsia="zh-CN"/>
              </w:rPr>
              <w:t>（</w:t>
            </w:r>
            <w:r>
              <w:rPr>
                <w:rFonts w:hint="eastAsia"/>
                <w:lang w:val="en-US" w:eastAsia="zh-CN"/>
              </w:rPr>
              <w:t>1</w:t>
            </w:r>
            <w:r>
              <w:rPr>
                <w:rFonts w:hint="eastAsia"/>
                <w:lang w:eastAsia="zh-CN"/>
              </w:rPr>
              <w:t>）</w:t>
            </w:r>
            <w:r>
              <w:rPr>
                <w:rFonts w:hint="eastAsia"/>
                <w:lang w:val="en-US" w:eastAsia="zh-CN"/>
              </w:rPr>
              <w:t>物料平衡</w:t>
            </w:r>
          </w:p>
          <w:p w14:paraId="6DBF142F">
            <w:pPr>
              <w:pStyle w:val="39"/>
              <w:keepNext w:val="0"/>
              <w:keepLines w:val="0"/>
              <w:suppressLineNumbers w:val="0"/>
              <w:bidi w:val="0"/>
              <w:spacing w:before="0" w:beforeAutospacing="0" w:after="0" w:afterAutospacing="0"/>
              <w:ind w:left="0" w:right="0"/>
              <w:rPr>
                <w:rFonts w:hint="default"/>
                <w:highlight w:val="none"/>
                <w:lang w:val="en-US" w:eastAsia="zh-CN"/>
              </w:rPr>
            </w:pPr>
            <w:r>
              <w:rPr>
                <w:rFonts w:hint="eastAsia"/>
                <w:highlight w:val="none"/>
                <w:lang w:eastAsia="zh-CN"/>
              </w:rPr>
              <w:t>表2.</w:t>
            </w:r>
            <w:r>
              <w:rPr>
                <w:rFonts w:hint="eastAsia"/>
                <w:highlight w:val="none"/>
                <w:lang w:val="en-US" w:eastAsia="zh-CN"/>
              </w:rPr>
              <w:t>6</w:t>
            </w:r>
            <w:r>
              <w:rPr>
                <w:rFonts w:hint="eastAsia"/>
                <w:highlight w:val="none"/>
                <w:lang w:eastAsia="zh-CN"/>
              </w:rPr>
              <w:t xml:space="preserve">-1 </w:t>
            </w:r>
            <w:r>
              <w:rPr>
                <w:rFonts w:hint="eastAsia"/>
                <w:highlight w:val="none"/>
                <w:lang w:val="en-US" w:eastAsia="zh-CN"/>
              </w:rPr>
              <w:t>物料平衡表</w:t>
            </w:r>
          </w:p>
          <w:tbl>
            <w:tblPr>
              <w:tblStyle w:val="2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73"/>
              <w:gridCol w:w="2996"/>
              <w:gridCol w:w="2305"/>
              <w:gridCol w:w="1492"/>
            </w:tblGrid>
            <w:tr w14:paraId="72093A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940" w:type="pct"/>
                  <w:tcBorders>
                    <w:left w:val="nil"/>
                  </w:tcBorders>
                  <w:noWrap w:val="0"/>
                  <w:vAlign w:val="top"/>
                </w:tcPr>
                <w:p w14:paraId="090BF6F7">
                  <w:pPr>
                    <w:pStyle w:val="38"/>
                    <w:keepNext w:val="0"/>
                    <w:keepLines w:val="0"/>
                    <w:widowControl/>
                    <w:suppressLineNumbers w:val="0"/>
                    <w:bidi w:val="0"/>
                    <w:spacing w:before="0" w:beforeAutospacing="0" w:after="0" w:afterAutospacing="0"/>
                    <w:ind w:left="0" w:right="0"/>
                    <w:rPr>
                      <w:rFonts w:hint="default"/>
                      <w:szCs w:val="22"/>
                      <w:highlight w:val="none"/>
                      <w:lang w:val="en-US" w:eastAsia="zh-CN"/>
                    </w:rPr>
                  </w:pPr>
                  <w:r>
                    <w:rPr>
                      <w:rFonts w:hint="eastAsia"/>
                      <w:szCs w:val="22"/>
                      <w:highlight w:val="none"/>
                      <w:lang w:val="en-US" w:eastAsia="zh-CN"/>
                    </w:rPr>
                    <w:t>投入</w:t>
                  </w:r>
                </w:p>
              </w:tc>
              <w:tc>
                <w:tcPr>
                  <w:tcW w:w="1790" w:type="pct"/>
                  <w:noWrap w:val="0"/>
                  <w:vAlign w:val="center"/>
                </w:tcPr>
                <w:p w14:paraId="47A7449C">
                  <w:pPr>
                    <w:pStyle w:val="38"/>
                    <w:keepNext w:val="0"/>
                    <w:keepLines w:val="0"/>
                    <w:widowControl/>
                    <w:suppressLineNumbers w:val="0"/>
                    <w:bidi w:val="0"/>
                    <w:spacing w:before="0" w:beforeAutospacing="0" w:after="0" w:afterAutospacing="0"/>
                    <w:ind w:left="0" w:right="0"/>
                    <w:rPr>
                      <w:rFonts w:hint="default"/>
                      <w:szCs w:val="22"/>
                      <w:highlight w:val="none"/>
                      <w:lang w:val="en-US" w:eastAsia="zh-CN"/>
                    </w:rPr>
                  </w:pPr>
                  <w:r>
                    <w:rPr>
                      <w:rFonts w:hint="eastAsia"/>
                      <w:szCs w:val="22"/>
                      <w:highlight w:val="none"/>
                      <w:lang w:val="en-US" w:eastAsia="zh-CN"/>
                    </w:rPr>
                    <w:t>投入量</w:t>
                  </w:r>
                </w:p>
              </w:tc>
              <w:tc>
                <w:tcPr>
                  <w:tcW w:w="1377" w:type="pct"/>
                  <w:noWrap w:val="0"/>
                  <w:vAlign w:val="center"/>
                </w:tcPr>
                <w:p w14:paraId="5DFD39FC">
                  <w:pPr>
                    <w:pStyle w:val="38"/>
                    <w:keepNext w:val="0"/>
                    <w:keepLines w:val="0"/>
                    <w:widowControl/>
                    <w:suppressLineNumbers w:val="0"/>
                    <w:bidi w:val="0"/>
                    <w:spacing w:before="0" w:beforeAutospacing="0" w:after="0" w:afterAutospacing="0"/>
                    <w:ind w:left="0" w:right="0"/>
                    <w:rPr>
                      <w:rFonts w:hint="eastAsia"/>
                      <w:szCs w:val="22"/>
                      <w:highlight w:val="none"/>
                    </w:rPr>
                  </w:pPr>
                  <w:r>
                    <w:rPr>
                      <w:rFonts w:hint="eastAsia"/>
                      <w:szCs w:val="22"/>
                      <w:highlight w:val="none"/>
                      <w:lang w:val="en-US" w:eastAsia="zh-CN"/>
                    </w:rPr>
                    <w:t>产出</w:t>
                  </w:r>
                </w:p>
              </w:tc>
              <w:tc>
                <w:tcPr>
                  <w:tcW w:w="891" w:type="pct"/>
                  <w:tcBorders>
                    <w:right w:val="nil"/>
                  </w:tcBorders>
                  <w:noWrap w:val="0"/>
                  <w:vAlign w:val="center"/>
                </w:tcPr>
                <w:p w14:paraId="24A272E7">
                  <w:pPr>
                    <w:pStyle w:val="38"/>
                    <w:keepNext w:val="0"/>
                    <w:keepLines w:val="0"/>
                    <w:widowControl/>
                    <w:suppressLineNumbers w:val="0"/>
                    <w:bidi w:val="0"/>
                    <w:spacing w:before="0" w:beforeAutospacing="0" w:after="0" w:afterAutospacing="0"/>
                    <w:ind w:left="0" w:right="0"/>
                    <w:rPr>
                      <w:rFonts w:hint="default"/>
                      <w:szCs w:val="22"/>
                      <w:highlight w:val="none"/>
                      <w:lang w:val="en-US" w:eastAsia="zh-CN"/>
                    </w:rPr>
                  </w:pPr>
                  <w:r>
                    <w:rPr>
                      <w:rFonts w:hint="eastAsia"/>
                      <w:szCs w:val="22"/>
                      <w:highlight w:val="none"/>
                      <w:lang w:val="en-US" w:eastAsia="zh-CN"/>
                    </w:rPr>
                    <w:t>产出量</w:t>
                  </w:r>
                </w:p>
              </w:tc>
            </w:tr>
            <w:tr w14:paraId="54A825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940" w:type="pct"/>
                  <w:vMerge w:val="restart"/>
                  <w:tcBorders>
                    <w:left w:val="nil"/>
                  </w:tcBorders>
                  <w:noWrap w:val="0"/>
                  <w:vAlign w:val="center"/>
                </w:tcPr>
                <w:p w14:paraId="1876D1CF">
                  <w:pPr>
                    <w:pStyle w:val="38"/>
                    <w:keepNext w:val="0"/>
                    <w:keepLines w:val="0"/>
                    <w:widowControl/>
                    <w:suppressLineNumbers w:val="0"/>
                    <w:bidi w:val="0"/>
                    <w:spacing w:before="0" w:beforeAutospacing="0" w:after="0" w:afterAutospacing="0"/>
                    <w:ind w:left="0" w:right="0"/>
                    <w:rPr>
                      <w:rFonts w:hint="eastAsia"/>
                      <w:szCs w:val="22"/>
                      <w:highlight w:val="none"/>
                      <w:lang w:val="en-US" w:eastAsia="zh-CN"/>
                    </w:rPr>
                  </w:pPr>
                  <w:r>
                    <w:rPr>
                      <w:rFonts w:hint="eastAsia"/>
                      <w:szCs w:val="22"/>
                      <w:highlight w:val="none"/>
                      <w:lang w:val="en-US" w:eastAsia="zh-CN"/>
                    </w:rPr>
                    <w:t>压铸铝</w:t>
                  </w:r>
                </w:p>
              </w:tc>
              <w:tc>
                <w:tcPr>
                  <w:tcW w:w="1790" w:type="pct"/>
                  <w:vMerge w:val="restart"/>
                  <w:noWrap w:val="0"/>
                  <w:vAlign w:val="center"/>
                </w:tcPr>
                <w:p w14:paraId="524DF159">
                  <w:pPr>
                    <w:pStyle w:val="38"/>
                    <w:keepNext w:val="0"/>
                    <w:keepLines w:val="0"/>
                    <w:widowControl/>
                    <w:suppressLineNumbers w:val="0"/>
                    <w:bidi w:val="0"/>
                    <w:spacing w:before="0" w:beforeAutospacing="0" w:after="0" w:afterAutospacing="0"/>
                    <w:ind w:left="0" w:right="0"/>
                    <w:rPr>
                      <w:rFonts w:hint="eastAsia"/>
                      <w:szCs w:val="22"/>
                      <w:highlight w:val="none"/>
                      <w:lang w:val="en-US" w:eastAsia="zh-CN"/>
                    </w:rPr>
                  </w:pPr>
                  <w:r>
                    <w:rPr>
                      <w:rFonts w:hint="eastAsia"/>
                      <w:szCs w:val="22"/>
                      <w:highlight w:val="none"/>
                      <w:lang w:val="en-US" w:eastAsia="zh-CN"/>
                    </w:rPr>
                    <w:t>20.6万套</w:t>
                  </w:r>
                </w:p>
              </w:tc>
              <w:tc>
                <w:tcPr>
                  <w:tcW w:w="1377" w:type="pct"/>
                  <w:noWrap w:val="0"/>
                  <w:vAlign w:val="center"/>
                </w:tcPr>
                <w:p w14:paraId="69CB2CDA">
                  <w:pPr>
                    <w:pStyle w:val="38"/>
                    <w:keepNext w:val="0"/>
                    <w:keepLines w:val="0"/>
                    <w:widowControl/>
                    <w:suppressLineNumbers w:val="0"/>
                    <w:bidi w:val="0"/>
                    <w:spacing w:before="0" w:beforeAutospacing="0" w:after="0" w:afterAutospacing="0"/>
                    <w:ind w:left="0" w:right="0"/>
                    <w:rPr>
                      <w:rFonts w:hint="default"/>
                      <w:szCs w:val="22"/>
                      <w:highlight w:val="none"/>
                      <w:lang w:val="en-US"/>
                    </w:rPr>
                  </w:pPr>
                  <w:r>
                    <w:rPr>
                      <w:rFonts w:hint="eastAsia"/>
                      <w:szCs w:val="22"/>
                      <w:highlight w:val="none"/>
                      <w:lang w:val="en-US" w:eastAsia="zh-CN"/>
                    </w:rPr>
                    <w:t>铝合金产品</w:t>
                  </w:r>
                </w:p>
              </w:tc>
              <w:tc>
                <w:tcPr>
                  <w:tcW w:w="891" w:type="pct"/>
                  <w:tcBorders>
                    <w:right w:val="nil"/>
                  </w:tcBorders>
                  <w:noWrap w:val="0"/>
                  <w:vAlign w:val="center"/>
                </w:tcPr>
                <w:p w14:paraId="312EBD1B">
                  <w:pPr>
                    <w:pStyle w:val="38"/>
                    <w:keepNext w:val="0"/>
                    <w:keepLines w:val="0"/>
                    <w:widowControl/>
                    <w:suppressLineNumbers w:val="0"/>
                    <w:bidi w:val="0"/>
                    <w:spacing w:before="0" w:beforeAutospacing="0" w:after="0" w:afterAutospacing="0"/>
                    <w:ind w:left="0" w:right="0"/>
                    <w:rPr>
                      <w:rFonts w:hint="eastAsia"/>
                      <w:szCs w:val="22"/>
                      <w:highlight w:val="none"/>
                      <w:lang w:val="en-US" w:eastAsia="zh-CN"/>
                    </w:rPr>
                  </w:pPr>
                  <w:r>
                    <w:rPr>
                      <w:rFonts w:hint="eastAsia"/>
                      <w:szCs w:val="22"/>
                      <w:highlight w:val="none"/>
                      <w:lang w:val="en-US" w:eastAsia="zh-CN"/>
                    </w:rPr>
                    <w:t>20万套</w:t>
                  </w:r>
                </w:p>
              </w:tc>
            </w:tr>
            <w:tr w14:paraId="74F153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940" w:type="pct"/>
                  <w:vMerge w:val="continue"/>
                  <w:tcBorders>
                    <w:left w:val="nil"/>
                  </w:tcBorders>
                  <w:noWrap w:val="0"/>
                  <w:vAlign w:val="center"/>
                </w:tcPr>
                <w:p w14:paraId="3EE54651">
                  <w:pPr>
                    <w:pStyle w:val="38"/>
                    <w:keepNext w:val="0"/>
                    <w:keepLines w:val="0"/>
                    <w:widowControl/>
                    <w:suppressLineNumbers w:val="0"/>
                    <w:bidi w:val="0"/>
                    <w:spacing w:before="0" w:beforeAutospacing="0" w:after="0" w:afterAutospacing="0"/>
                    <w:ind w:left="0" w:right="0"/>
                    <w:rPr>
                      <w:rFonts w:hint="eastAsia"/>
                      <w:szCs w:val="22"/>
                      <w:highlight w:val="none"/>
                      <w:lang w:val="en-US" w:eastAsia="zh-CN"/>
                    </w:rPr>
                  </w:pPr>
                </w:p>
              </w:tc>
              <w:tc>
                <w:tcPr>
                  <w:tcW w:w="1790" w:type="pct"/>
                  <w:vMerge w:val="continue"/>
                  <w:noWrap w:val="0"/>
                  <w:vAlign w:val="center"/>
                </w:tcPr>
                <w:p w14:paraId="17C0ED57">
                  <w:pPr>
                    <w:pStyle w:val="38"/>
                    <w:keepNext w:val="0"/>
                    <w:keepLines w:val="0"/>
                    <w:widowControl/>
                    <w:suppressLineNumbers w:val="0"/>
                    <w:bidi w:val="0"/>
                    <w:spacing w:before="0" w:beforeAutospacing="0" w:after="0" w:afterAutospacing="0"/>
                    <w:ind w:left="0" w:right="0"/>
                    <w:rPr>
                      <w:rFonts w:hint="eastAsia"/>
                      <w:szCs w:val="22"/>
                      <w:highlight w:val="none"/>
                      <w:lang w:val="en-US" w:eastAsia="zh-CN"/>
                    </w:rPr>
                  </w:pPr>
                </w:p>
              </w:tc>
              <w:tc>
                <w:tcPr>
                  <w:tcW w:w="1377" w:type="pct"/>
                  <w:noWrap w:val="0"/>
                  <w:vAlign w:val="center"/>
                </w:tcPr>
                <w:p w14:paraId="04169863">
                  <w:pPr>
                    <w:pStyle w:val="38"/>
                    <w:keepNext w:val="0"/>
                    <w:keepLines w:val="0"/>
                    <w:widowControl/>
                    <w:suppressLineNumbers w:val="0"/>
                    <w:bidi w:val="0"/>
                    <w:spacing w:before="0" w:beforeAutospacing="0" w:after="0" w:afterAutospacing="0"/>
                    <w:ind w:left="0" w:right="0"/>
                    <w:rPr>
                      <w:rFonts w:hint="default"/>
                      <w:szCs w:val="22"/>
                      <w:highlight w:val="none"/>
                      <w:lang w:val="en-US" w:eastAsia="zh-CN"/>
                    </w:rPr>
                  </w:pPr>
                  <w:r>
                    <w:rPr>
                      <w:rFonts w:hint="eastAsia"/>
                      <w:szCs w:val="22"/>
                      <w:highlight w:val="none"/>
                      <w:lang w:val="en-US" w:eastAsia="zh-CN"/>
                    </w:rPr>
                    <w:t>铝合金不合格产品</w:t>
                  </w:r>
                </w:p>
              </w:tc>
              <w:tc>
                <w:tcPr>
                  <w:tcW w:w="891" w:type="pct"/>
                  <w:tcBorders>
                    <w:right w:val="nil"/>
                  </w:tcBorders>
                  <w:noWrap w:val="0"/>
                  <w:vAlign w:val="center"/>
                </w:tcPr>
                <w:p w14:paraId="25771DF8">
                  <w:pPr>
                    <w:pStyle w:val="38"/>
                    <w:keepNext w:val="0"/>
                    <w:keepLines w:val="0"/>
                    <w:widowControl/>
                    <w:suppressLineNumbers w:val="0"/>
                    <w:bidi w:val="0"/>
                    <w:spacing w:before="0" w:beforeAutospacing="0" w:after="0" w:afterAutospacing="0"/>
                    <w:ind w:left="0" w:right="0"/>
                    <w:rPr>
                      <w:rFonts w:hint="default"/>
                      <w:szCs w:val="22"/>
                      <w:highlight w:val="none"/>
                      <w:lang w:val="en-US" w:eastAsia="zh-CN"/>
                    </w:rPr>
                  </w:pPr>
                  <w:r>
                    <w:rPr>
                      <w:rFonts w:hint="eastAsia"/>
                      <w:szCs w:val="22"/>
                      <w:highlight w:val="none"/>
                      <w:lang w:val="en-US" w:eastAsia="zh-CN"/>
                    </w:rPr>
                    <w:t>0.6万套</w:t>
                  </w:r>
                </w:p>
              </w:tc>
            </w:tr>
            <w:tr w14:paraId="71E095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940" w:type="pct"/>
                  <w:vMerge w:val="restart"/>
                  <w:tcBorders>
                    <w:left w:val="nil"/>
                  </w:tcBorders>
                  <w:noWrap w:val="0"/>
                  <w:vAlign w:val="center"/>
                </w:tcPr>
                <w:p w14:paraId="31B0039F">
                  <w:pPr>
                    <w:pStyle w:val="38"/>
                    <w:keepNext w:val="0"/>
                    <w:keepLines w:val="0"/>
                    <w:widowControl/>
                    <w:suppressLineNumbers w:val="0"/>
                    <w:bidi w:val="0"/>
                    <w:spacing w:before="0" w:beforeAutospacing="0" w:after="0" w:afterAutospacing="0"/>
                    <w:ind w:left="0" w:right="0"/>
                    <w:rPr>
                      <w:rFonts w:hint="eastAsia"/>
                      <w:szCs w:val="22"/>
                      <w:highlight w:val="none"/>
                      <w:lang w:val="en-US" w:eastAsia="zh-CN"/>
                    </w:rPr>
                  </w:pPr>
                  <w:r>
                    <w:rPr>
                      <w:rFonts w:hint="eastAsia"/>
                      <w:szCs w:val="22"/>
                      <w:highlight w:val="none"/>
                      <w:lang w:val="en-US" w:eastAsia="zh-CN"/>
                    </w:rPr>
                    <w:t>塑胶壳</w:t>
                  </w:r>
                </w:p>
              </w:tc>
              <w:tc>
                <w:tcPr>
                  <w:tcW w:w="1790" w:type="pct"/>
                  <w:vMerge w:val="restart"/>
                  <w:noWrap w:val="0"/>
                  <w:vAlign w:val="center"/>
                </w:tcPr>
                <w:p w14:paraId="1C88D9B4">
                  <w:pPr>
                    <w:pStyle w:val="38"/>
                    <w:keepNext w:val="0"/>
                    <w:keepLines w:val="0"/>
                    <w:widowControl/>
                    <w:suppressLineNumbers w:val="0"/>
                    <w:bidi w:val="0"/>
                    <w:spacing w:before="0" w:beforeAutospacing="0" w:after="0" w:afterAutospacing="0"/>
                    <w:ind w:left="0" w:right="0"/>
                    <w:rPr>
                      <w:rFonts w:hint="eastAsia"/>
                      <w:szCs w:val="22"/>
                      <w:highlight w:val="none"/>
                      <w:lang w:val="en-US" w:eastAsia="zh-CN"/>
                    </w:rPr>
                  </w:pPr>
                  <w:r>
                    <w:rPr>
                      <w:rFonts w:hint="eastAsia"/>
                      <w:szCs w:val="22"/>
                      <w:highlight w:val="none"/>
                      <w:lang w:val="en-US" w:eastAsia="zh-CN"/>
                    </w:rPr>
                    <w:t>30.9万套</w:t>
                  </w:r>
                </w:p>
              </w:tc>
              <w:tc>
                <w:tcPr>
                  <w:tcW w:w="1377" w:type="pct"/>
                  <w:noWrap w:val="0"/>
                  <w:vAlign w:val="center"/>
                </w:tcPr>
                <w:p w14:paraId="3E92045F">
                  <w:pPr>
                    <w:pStyle w:val="38"/>
                    <w:keepNext w:val="0"/>
                    <w:keepLines w:val="0"/>
                    <w:widowControl/>
                    <w:suppressLineNumbers w:val="0"/>
                    <w:bidi w:val="0"/>
                    <w:spacing w:before="0" w:beforeAutospacing="0" w:after="0" w:afterAutospacing="0"/>
                    <w:ind w:left="0" w:right="0"/>
                    <w:rPr>
                      <w:rFonts w:hint="eastAsia"/>
                      <w:szCs w:val="22"/>
                      <w:highlight w:val="none"/>
                    </w:rPr>
                  </w:pPr>
                  <w:r>
                    <w:rPr>
                      <w:rFonts w:hint="eastAsia"/>
                      <w:szCs w:val="22"/>
                      <w:highlight w:val="none"/>
                      <w:lang w:val="en-US" w:eastAsia="zh-CN"/>
                    </w:rPr>
                    <w:t>塑胶件</w:t>
                  </w:r>
                </w:p>
              </w:tc>
              <w:tc>
                <w:tcPr>
                  <w:tcW w:w="891" w:type="pct"/>
                  <w:tcBorders>
                    <w:right w:val="nil"/>
                  </w:tcBorders>
                  <w:noWrap w:val="0"/>
                  <w:vAlign w:val="center"/>
                </w:tcPr>
                <w:p w14:paraId="223CA8A4">
                  <w:pPr>
                    <w:pStyle w:val="38"/>
                    <w:keepNext w:val="0"/>
                    <w:keepLines w:val="0"/>
                    <w:widowControl/>
                    <w:suppressLineNumbers w:val="0"/>
                    <w:bidi w:val="0"/>
                    <w:spacing w:before="0" w:beforeAutospacing="0" w:after="0" w:afterAutospacing="0"/>
                    <w:ind w:left="0" w:right="0"/>
                    <w:rPr>
                      <w:rFonts w:hint="eastAsia"/>
                      <w:szCs w:val="22"/>
                      <w:highlight w:val="none"/>
                      <w:lang w:val="en-US" w:eastAsia="zh-CN"/>
                    </w:rPr>
                  </w:pPr>
                  <w:r>
                    <w:rPr>
                      <w:rFonts w:hint="eastAsia"/>
                      <w:szCs w:val="22"/>
                      <w:highlight w:val="none"/>
                      <w:lang w:val="en-US" w:eastAsia="zh-CN"/>
                    </w:rPr>
                    <w:t>30万套</w:t>
                  </w:r>
                </w:p>
              </w:tc>
            </w:tr>
            <w:tr w14:paraId="0E527C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940" w:type="pct"/>
                  <w:vMerge w:val="continue"/>
                  <w:tcBorders>
                    <w:left w:val="nil"/>
                  </w:tcBorders>
                  <w:noWrap w:val="0"/>
                  <w:vAlign w:val="center"/>
                </w:tcPr>
                <w:p w14:paraId="4B2E300F">
                  <w:pPr>
                    <w:pStyle w:val="38"/>
                    <w:keepNext w:val="0"/>
                    <w:keepLines w:val="0"/>
                    <w:widowControl/>
                    <w:suppressLineNumbers w:val="0"/>
                    <w:bidi w:val="0"/>
                    <w:spacing w:before="0" w:beforeAutospacing="0" w:after="0" w:afterAutospacing="0"/>
                    <w:ind w:left="0" w:right="0"/>
                    <w:rPr>
                      <w:rFonts w:hint="eastAsia"/>
                      <w:szCs w:val="22"/>
                      <w:lang w:val="en-US" w:eastAsia="zh-CN"/>
                    </w:rPr>
                  </w:pPr>
                </w:p>
              </w:tc>
              <w:tc>
                <w:tcPr>
                  <w:tcW w:w="1790" w:type="pct"/>
                  <w:vMerge w:val="continue"/>
                  <w:noWrap w:val="0"/>
                  <w:vAlign w:val="center"/>
                </w:tcPr>
                <w:p w14:paraId="066145BC">
                  <w:pPr>
                    <w:pStyle w:val="38"/>
                    <w:keepNext w:val="0"/>
                    <w:keepLines w:val="0"/>
                    <w:widowControl/>
                    <w:suppressLineNumbers w:val="0"/>
                    <w:bidi w:val="0"/>
                    <w:spacing w:before="0" w:beforeAutospacing="0" w:after="0" w:afterAutospacing="0"/>
                    <w:ind w:left="0" w:right="0"/>
                    <w:rPr>
                      <w:rFonts w:hint="eastAsia"/>
                      <w:szCs w:val="22"/>
                      <w:lang w:val="en-US" w:eastAsia="zh-CN"/>
                    </w:rPr>
                  </w:pPr>
                </w:p>
              </w:tc>
              <w:tc>
                <w:tcPr>
                  <w:tcW w:w="1377" w:type="pct"/>
                  <w:noWrap w:val="0"/>
                  <w:vAlign w:val="center"/>
                </w:tcPr>
                <w:p w14:paraId="6E92C10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塑胶件不合格产品</w:t>
                  </w:r>
                </w:p>
              </w:tc>
              <w:tc>
                <w:tcPr>
                  <w:tcW w:w="891" w:type="pct"/>
                  <w:tcBorders>
                    <w:right w:val="nil"/>
                  </w:tcBorders>
                  <w:noWrap w:val="0"/>
                  <w:vAlign w:val="center"/>
                </w:tcPr>
                <w:p w14:paraId="32B1B45E">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0.9万套</w:t>
                  </w:r>
                </w:p>
              </w:tc>
            </w:tr>
            <w:tr w14:paraId="177B6B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940" w:type="pct"/>
                  <w:vMerge w:val="restart"/>
                  <w:tcBorders>
                    <w:left w:val="nil"/>
                  </w:tcBorders>
                  <w:noWrap w:val="0"/>
                  <w:vAlign w:val="center"/>
                </w:tcPr>
                <w:p w14:paraId="0D97412E">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钣金</w:t>
                  </w:r>
                </w:p>
              </w:tc>
              <w:tc>
                <w:tcPr>
                  <w:tcW w:w="1790" w:type="pct"/>
                  <w:vMerge w:val="restart"/>
                  <w:noWrap w:val="0"/>
                  <w:vAlign w:val="center"/>
                </w:tcPr>
                <w:p w14:paraId="71DFD0C8">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10.3万套</w:t>
                  </w:r>
                </w:p>
              </w:tc>
              <w:tc>
                <w:tcPr>
                  <w:tcW w:w="1377" w:type="pct"/>
                  <w:noWrap w:val="0"/>
                  <w:vAlign w:val="center"/>
                </w:tcPr>
                <w:p w14:paraId="4EAFD5D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钣金件</w:t>
                  </w:r>
                </w:p>
              </w:tc>
              <w:tc>
                <w:tcPr>
                  <w:tcW w:w="891" w:type="pct"/>
                  <w:tcBorders>
                    <w:right w:val="nil"/>
                  </w:tcBorders>
                  <w:noWrap w:val="0"/>
                  <w:vAlign w:val="center"/>
                </w:tcPr>
                <w:p w14:paraId="2417C212">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10万套</w:t>
                  </w:r>
                </w:p>
              </w:tc>
            </w:tr>
            <w:tr w14:paraId="617418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940" w:type="pct"/>
                  <w:vMerge w:val="continue"/>
                  <w:tcBorders>
                    <w:left w:val="nil"/>
                  </w:tcBorders>
                  <w:noWrap w:val="0"/>
                  <w:vAlign w:val="center"/>
                </w:tcPr>
                <w:p w14:paraId="0A87C810">
                  <w:pPr>
                    <w:pStyle w:val="38"/>
                    <w:keepNext w:val="0"/>
                    <w:keepLines w:val="0"/>
                    <w:widowControl/>
                    <w:suppressLineNumbers w:val="0"/>
                    <w:bidi w:val="0"/>
                    <w:spacing w:before="0" w:beforeAutospacing="0" w:after="0" w:afterAutospacing="0"/>
                    <w:ind w:left="0" w:right="0"/>
                    <w:rPr>
                      <w:rFonts w:hint="eastAsia"/>
                      <w:szCs w:val="22"/>
                      <w:lang w:val="en-US" w:eastAsia="zh-CN"/>
                    </w:rPr>
                  </w:pPr>
                </w:p>
              </w:tc>
              <w:tc>
                <w:tcPr>
                  <w:tcW w:w="1790" w:type="pct"/>
                  <w:vMerge w:val="continue"/>
                  <w:noWrap w:val="0"/>
                  <w:vAlign w:val="center"/>
                </w:tcPr>
                <w:p w14:paraId="24243CB7">
                  <w:pPr>
                    <w:pStyle w:val="38"/>
                    <w:keepNext w:val="0"/>
                    <w:keepLines w:val="0"/>
                    <w:widowControl/>
                    <w:suppressLineNumbers w:val="0"/>
                    <w:bidi w:val="0"/>
                    <w:spacing w:before="0" w:beforeAutospacing="0" w:after="0" w:afterAutospacing="0"/>
                    <w:ind w:left="0" w:right="0"/>
                    <w:rPr>
                      <w:rFonts w:hint="eastAsia"/>
                      <w:szCs w:val="22"/>
                      <w:lang w:val="en-US" w:eastAsia="zh-CN"/>
                    </w:rPr>
                  </w:pPr>
                </w:p>
              </w:tc>
              <w:tc>
                <w:tcPr>
                  <w:tcW w:w="1377" w:type="pct"/>
                  <w:noWrap w:val="0"/>
                  <w:vAlign w:val="center"/>
                </w:tcPr>
                <w:p w14:paraId="3C23A70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钣金件不合格产品</w:t>
                  </w:r>
                </w:p>
              </w:tc>
              <w:tc>
                <w:tcPr>
                  <w:tcW w:w="891" w:type="pct"/>
                  <w:tcBorders>
                    <w:right w:val="nil"/>
                  </w:tcBorders>
                  <w:noWrap w:val="0"/>
                  <w:vAlign w:val="center"/>
                </w:tcPr>
                <w:p w14:paraId="23E4A849">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0.3万套</w:t>
                  </w:r>
                </w:p>
              </w:tc>
            </w:tr>
          </w:tbl>
          <w:p w14:paraId="7CA239F2">
            <w:pPr>
              <w:keepNext w:val="0"/>
              <w:keepLines w:val="0"/>
              <w:suppressLineNumbers w:val="0"/>
              <w:bidi w:val="0"/>
              <w:spacing w:before="0" w:beforeAutospacing="0" w:after="0" w:afterAutospacing="0"/>
              <w:ind w:left="0" w:right="0"/>
              <w:rPr>
                <w:rFonts w:hint="default"/>
                <w:lang w:val="en-US" w:eastAsia="zh-CN"/>
              </w:rPr>
            </w:pPr>
            <w:r>
              <w:rPr>
                <w:rFonts w:hint="eastAsia"/>
                <w:lang w:eastAsia="zh-CN"/>
              </w:rPr>
              <w:t>漆料平衡图</w:t>
            </w:r>
            <w:r>
              <w:rPr>
                <w:rFonts w:hint="eastAsia"/>
                <w:lang w:val="en-US" w:eastAsia="zh-CN"/>
              </w:rPr>
              <w:t>见下文图4.2-1。</w:t>
            </w:r>
          </w:p>
          <w:p w14:paraId="571FD7B8">
            <w:pPr>
              <w:keepNext w:val="0"/>
              <w:keepLines w:val="0"/>
              <w:suppressLineNumbers w:val="0"/>
              <w:bidi w:val="0"/>
              <w:spacing w:before="0" w:beforeAutospacing="0" w:after="0" w:afterAutospacing="0"/>
              <w:ind w:left="0" w:right="0"/>
              <w:rPr>
                <w:rFonts w:hint="default"/>
                <w:lang w:val="en-US" w:eastAsia="zh-CN"/>
              </w:rPr>
            </w:pPr>
            <w:r>
              <w:rPr>
                <w:rFonts w:hint="eastAsia"/>
                <w:lang w:eastAsia="zh-CN"/>
              </w:rPr>
              <w:t>（</w:t>
            </w:r>
            <w:r>
              <w:rPr>
                <w:rFonts w:hint="eastAsia"/>
                <w:lang w:val="en-US" w:eastAsia="zh-CN"/>
              </w:rPr>
              <w:t>2</w:t>
            </w:r>
            <w:r>
              <w:rPr>
                <w:rFonts w:hint="eastAsia"/>
                <w:lang w:eastAsia="zh-CN"/>
              </w:rPr>
              <w:t>）</w:t>
            </w:r>
            <w:r>
              <w:rPr>
                <w:rFonts w:hint="eastAsia"/>
                <w:lang w:val="en-US" w:eastAsia="zh-CN"/>
              </w:rPr>
              <w:t>水平衡</w:t>
            </w:r>
          </w:p>
          <w:p w14:paraId="3EC8B442">
            <w:pPr>
              <w:keepNext w:val="0"/>
              <w:keepLines w:val="0"/>
              <w:suppressLineNumbers w:val="0"/>
              <w:bidi w:val="0"/>
              <w:spacing w:before="0" w:beforeAutospacing="0" w:after="0" w:afterAutospacing="0"/>
              <w:ind w:left="0" w:right="0"/>
              <w:rPr>
                <w:rFonts w:hint="default"/>
              </w:rPr>
            </w:pPr>
            <w:r>
              <w:rPr>
                <w:rFonts w:hint="default"/>
              </w:rPr>
              <w:t>①生产用水</w:t>
            </w:r>
          </w:p>
          <w:p w14:paraId="5889E0BC">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a.损耗用水</w:t>
            </w:r>
          </w:p>
          <w:p w14:paraId="3615FAF0">
            <w:pPr>
              <w:keepNext w:val="0"/>
              <w:keepLines w:val="0"/>
              <w:suppressLineNumbers w:val="0"/>
              <w:bidi w:val="0"/>
              <w:spacing w:before="0" w:beforeAutospacing="0" w:after="0" w:afterAutospacing="0"/>
              <w:ind w:left="0" w:right="0"/>
              <w:rPr>
                <w:rFonts w:hint="eastAsia"/>
              </w:rPr>
            </w:pPr>
            <w:r>
              <w:rPr>
                <w:rFonts w:hint="eastAsia"/>
              </w:rPr>
              <w:t>项目喷漆工序拟设置1个喷漆水帘，喷漆水帘柜在喷漆过程中有少量有机物进入水中形成了含漆废水。根据建设单位提供资料，水帘柜循环水池的储水量约为</w:t>
            </w:r>
            <w:r>
              <w:rPr>
                <w:rFonts w:hint="eastAsia"/>
                <w:lang w:val="en-US" w:eastAsia="zh-CN"/>
              </w:rPr>
              <w:t>0.15t</w:t>
            </w:r>
            <w:r>
              <w:rPr>
                <w:rFonts w:hint="eastAsia"/>
              </w:rPr>
              <w:t>。建设单位拟将该喷漆水帘柜的水循环使用，该废水由于蒸发等损耗需定期补充新鲜水，喷漆水帘柜循环水在使用过程中损耗水量按用水量的10%计算，</w:t>
            </w:r>
            <w:r>
              <w:rPr>
                <w:rFonts w:hint="eastAsia"/>
                <w:lang w:val="en-US" w:eastAsia="zh-CN"/>
              </w:rPr>
              <w:t>一台水帘柜的损耗水量为0.015t/d（4.5t/a），本项目共建设三台规格相同的水帘柜，</w:t>
            </w:r>
            <w:r>
              <w:rPr>
                <w:rFonts w:hint="eastAsia"/>
              </w:rPr>
              <w:t>则</w:t>
            </w:r>
            <w:r>
              <w:rPr>
                <w:rFonts w:hint="eastAsia"/>
                <w:lang w:val="en-US" w:eastAsia="zh-CN"/>
              </w:rPr>
              <w:t>合计</w:t>
            </w:r>
            <w:r>
              <w:rPr>
                <w:rFonts w:hint="eastAsia"/>
              </w:rPr>
              <w:t>损耗水量为</w:t>
            </w:r>
            <w:r>
              <w:rPr>
                <w:rFonts w:hint="eastAsia"/>
                <w:lang w:val="en-US" w:eastAsia="zh-CN"/>
              </w:rPr>
              <w:t>0.045</w:t>
            </w:r>
            <w:r>
              <w:rPr>
                <w:rFonts w:hint="eastAsia"/>
              </w:rPr>
              <w:t>t/d（</w:t>
            </w:r>
            <w:r>
              <w:rPr>
                <w:rFonts w:hint="eastAsia"/>
                <w:lang w:val="en-US" w:eastAsia="zh-CN"/>
              </w:rPr>
              <w:t>13.5</w:t>
            </w:r>
            <w:r>
              <w:rPr>
                <w:rFonts w:hint="eastAsia"/>
              </w:rPr>
              <w:t>t/a）。</w:t>
            </w:r>
          </w:p>
          <w:p w14:paraId="508EB7C7">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b.更换用水</w:t>
            </w:r>
          </w:p>
          <w:p w14:paraId="36A63B26">
            <w:pPr>
              <w:keepNext w:val="0"/>
              <w:keepLines w:val="0"/>
              <w:suppressLineNumbers w:val="0"/>
              <w:bidi w:val="0"/>
              <w:spacing w:before="0" w:beforeAutospacing="0" w:after="0" w:afterAutospacing="0"/>
              <w:ind w:left="0" w:right="0"/>
              <w:rPr>
                <w:rFonts w:hint="default"/>
                <w:lang w:eastAsia="zh-CN"/>
              </w:rPr>
            </w:pPr>
            <w:r>
              <w:rPr>
                <w:rFonts w:hint="eastAsia"/>
              </w:rPr>
              <w:t>因循环使用时间较长后水质变浑浊，废水多次循环使用导致盐分增加，需定期对喷漆水帘柜循环水进行更换，项目喷漆水帘柜用水计划</w:t>
            </w:r>
            <w:r>
              <w:rPr>
                <w:rFonts w:hint="eastAsia"/>
                <w:lang w:val="en-US" w:eastAsia="zh-CN"/>
              </w:rPr>
              <w:t>半年</w:t>
            </w:r>
            <w:r>
              <w:rPr>
                <w:rFonts w:hint="eastAsia"/>
              </w:rPr>
              <w:t>更换一次，每次喷漆水帘柜废水全部更换，更换废水产生量为</w:t>
            </w:r>
            <w:r>
              <w:rPr>
                <w:rFonts w:hint="eastAsia"/>
                <w:lang w:val="en-US" w:eastAsia="zh-CN"/>
              </w:rPr>
              <w:t>0.45</w:t>
            </w:r>
            <w:r>
              <w:rPr>
                <w:rFonts w:hint="eastAsia"/>
              </w:rPr>
              <w:t>t/a。</w:t>
            </w:r>
            <w:r>
              <w:rPr>
                <w:rFonts w:hint="eastAsia"/>
                <w:lang w:val="en-US" w:eastAsia="zh-CN"/>
              </w:rPr>
              <w:t>定期</w:t>
            </w:r>
            <w:r>
              <w:rPr>
                <w:rFonts w:hint="eastAsia"/>
              </w:rPr>
              <w:t>更换的</w:t>
            </w:r>
            <w:r>
              <w:rPr>
                <w:rFonts w:hint="eastAsia"/>
                <w:lang w:val="en-US" w:eastAsia="zh-CN"/>
              </w:rPr>
              <w:t>水帘柜废水集中收集，</w:t>
            </w:r>
            <w:r>
              <w:rPr>
                <w:rFonts w:hint="eastAsia"/>
              </w:rPr>
              <w:t>当作危险废物委托有资质单位统一处置</w:t>
            </w:r>
            <w:r>
              <w:rPr>
                <w:rFonts w:hint="eastAsia"/>
                <w:lang w:eastAsia="zh-CN"/>
              </w:rPr>
              <w:t>。</w:t>
            </w:r>
          </w:p>
          <w:p w14:paraId="077E43F9">
            <w:pPr>
              <w:keepNext w:val="0"/>
              <w:keepLines w:val="0"/>
              <w:suppressLineNumbers w:val="0"/>
              <w:bidi w:val="0"/>
              <w:spacing w:before="0" w:beforeAutospacing="0" w:after="0" w:afterAutospacing="0"/>
              <w:ind w:left="0" w:right="0"/>
              <w:rPr>
                <w:rFonts w:hint="default"/>
                <w:lang w:val="en-US" w:eastAsia="zh-CN"/>
              </w:rPr>
            </w:pPr>
            <w:r>
              <w:rPr>
                <w:rFonts w:hint="default"/>
              </w:rPr>
              <w:t>②</w:t>
            </w:r>
            <w:r>
              <w:rPr>
                <w:rFonts w:hint="default"/>
                <w:lang w:val="en-US" w:eastAsia="zh-CN"/>
              </w:rPr>
              <w:t>生活污水</w:t>
            </w:r>
          </w:p>
          <w:p w14:paraId="38E18DB9">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本项目劳动定员13人，均不在厂内食宿，根据《建筑给水排水设计规范》（GB50015-2019），项目不住宿员工用水量按50L/人·d计算，年工作300天，则生活用水量为0.65t/d（195t/a）。根据《室外排水设计规范》（GB 50014-2006）（2016年版），居民生活污水定额可按用水定额的80%计算（其余20%蒸发损耗等），则生活污水排放量为0.52</w:t>
            </w:r>
            <w:r>
              <w:rPr>
                <w:rFonts w:hint="default"/>
                <w:lang w:val="en-US" w:eastAsia="zh-CN"/>
              </w:rPr>
              <w:t>t/d（</w:t>
            </w:r>
            <w:r>
              <w:rPr>
                <w:rFonts w:hint="eastAsia"/>
                <w:lang w:val="en-US" w:eastAsia="zh-CN"/>
              </w:rPr>
              <w:t>156</w:t>
            </w:r>
            <w:r>
              <w:rPr>
                <w:rFonts w:hint="default"/>
                <w:lang w:val="en-US" w:eastAsia="zh-CN"/>
              </w:rPr>
              <w:t>t/a）。</w:t>
            </w:r>
          </w:p>
          <w:p w14:paraId="3D9900AA">
            <w:pPr>
              <w:keepNext w:val="0"/>
              <w:keepLines w:val="0"/>
              <w:suppressLineNumbers w:val="0"/>
              <w:bidi w:val="0"/>
              <w:spacing w:before="0" w:beforeAutospacing="0" w:after="0" w:afterAutospacing="0"/>
              <w:ind w:left="0" w:right="0"/>
              <w:rPr>
                <w:rFonts w:hint="default"/>
              </w:rPr>
            </w:pPr>
            <w:r>
              <w:rPr>
                <w:rFonts w:hint="default"/>
              </w:rPr>
              <w:t>项目水平衡图见图</w:t>
            </w:r>
            <w:r>
              <w:rPr>
                <w:rFonts w:hint="default"/>
                <w:lang w:val="en-US" w:eastAsia="zh-CN"/>
              </w:rPr>
              <w:t>2.</w:t>
            </w:r>
            <w:r>
              <w:rPr>
                <w:rFonts w:hint="eastAsia"/>
                <w:lang w:val="en-US" w:eastAsia="zh-CN"/>
              </w:rPr>
              <w:t>6-</w:t>
            </w:r>
            <w:r>
              <w:rPr>
                <w:rFonts w:hint="default"/>
                <w:lang w:val="en-US" w:eastAsia="zh-CN"/>
              </w:rPr>
              <w:t>1</w:t>
            </w:r>
            <w:r>
              <w:rPr>
                <w:rFonts w:hint="default"/>
              </w:rPr>
              <w:t>。</w:t>
            </w:r>
          </w:p>
          <w:p w14:paraId="146CDCC1">
            <w:pPr>
              <w:pStyle w:val="15"/>
              <w:keepNext w:val="0"/>
              <w:keepLines w:val="0"/>
              <w:suppressLineNumbers w:val="0"/>
              <w:bidi w:val="0"/>
              <w:spacing w:before="0" w:beforeAutospacing="0" w:after="0" w:afterAutospacing="0"/>
              <w:ind w:left="0" w:right="0"/>
              <w:rPr>
                <w:rFonts w:hint="default"/>
              </w:rPr>
            </w:pPr>
            <w:r>
              <w:rPr>
                <w:rFonts w:hint="default"/>
                <w:lang w:val="en-US" w:eastAsia="zh-CN"/>
              </w:rPr>
              <w:drawing>
                <wp:inline distT="0" distB="0" distL="114300" distR="114300">
                  <wp:extent cx="4697095" cy="2304415"/>
                  <wp:effectExtent l="0" t="0" r="8255" b="635"/>
                  <wp:docPr id="79" name="F360BE8B-6686-4F3D-AEAF-501FE73E4058-1" descr="C:/Users/Administrator/AppData/Local/Temp/绘图1(5).png绘图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360BE8B-6686-4F3D-AEAF-501FE73E4058-1" descr="C:/Users/Administrator/AppData/Local/Temp/绘图1(5).png绘图1(5)"/>
                          <pic:cNvPicPr>
                            <a:picLocks noChangeAspect="1"/>
                          </pic:cNvPicPr>
                        </pic:nvPicPr>
                        <pic:blipFill>
                          <a:blip r:embed="rId21"/>
                          <a:stretch>
                            <a:fillRect/>
                          </a:stretch>
                        </pic:blipFill>
                        <pic:spPr>
                          <a:xfrm>
                            <a:off x="0" y="0"/>
                            <a:ext cx="4696968" cy="2304288"/>
                          </a:xfrm>
                          <a:prstGeom prst="rect">
                            <a:avLst/>
                          </a:prstGeom>
                        </pic:spPr>
                      </pic:pic>
                    </a:graphicData>
                  </a:graphic>
                </wp:inline>
              </w:drawing>
            </w:r>
          </w:p>
          <w:p w14:paraId="60DA1599">
            <w:pPr>
              <w:pStyle w:val="39"/>
              <w:keepNext w:val="0"/>
              <w:keepLines w:val="0"/>
              <w:suppressLineNumbers w:val="0"/>
              <w:bidi w:val="0"/>
              <w:spacing w:before="0" w:beforeAutospacing="0" w:after="0" w:afterAutospacing="0"/>
              <w:ind w:left="0" w:right="0"/>
              <w:rPr>
                <w:rFonts w:hint="eastAsia"/>
                <w:lang w:eastAsia="zh-CN"/>
              </w:rPr>
            </w:pPr>
            <w:r>
              <w:rPr>
                <w:rFonts w:hint="default"/>
              </w:rPr>
              <w:t>图</w:t>
            </w:r>
            <w:r>
              <w:rPr>
                <w:rFonts w:hint="default"/>
                <w:lang w:val="en-US" w:eastAsia="zh-CN"/>
              </w:rPr>
              <w:t>2.</w:t>
            </w:r>
            <w:r>
              <w:rPr>
                <w:rFonts w:hint="eastAsia"/>
                <w:lang w:val="en-US" w:eastAsia="zh-CN"/>
              </w:rPr>
              <w:t>6</w:t>
            </w:r>
            <w:r>
              <w:rPr>
                <w:rFonts w:hint="default"/>
                <w:lang w:val="en-US" w:eastAsia="zh-CN"/>
              </w:rPr>
              <w:t>-1  项目</w:t>
            </w:r>
            <w:r>
              <w:rPr>
                <w:rFonts w:hint="default"/>
              </w:rPr>
              <w:t>水平衡图</w:t>
            </w:r>
            <w:r>
              <w:rPr>
                <w:rFonts w:hint="eastAsia"/>
                <w:lang w:eastAsia="zh-CN"/>
              </w:rPr>
              <w:t>（</w:t>
            </w:r>
            <w:r>
              <w:rPr>
                <w:rFonts w:hint="eastAsia"/>
                <w:lang w:val="en-US" w:eastAsia="zh-CN"/>
              </w:rPr>
              <w:t>t/a</w:t>
            </w:r>
            <w:r>
              <w:rPr>
                <w:rFonts w:hint="eastAsia"/>
                <w:lang w:eastAsia="zh-CN"/>
              </w:rPr>
              <w:t>）</w:t>
            </w:r>
          </w:p>
          <w:p w14:paraId="0B9C29E4">
            <w:pPr>
              <w:pStyle w:val="4"/>
              <w:suppressLineNumbers w:val="0"/>
              <w:bidi w:val="0"/>
              <w:spacing w:before="0" w:beforeAutospacing="0" w:after="0" w:afterAutospacing="0"/>
              <w:ind w:left="0" w:right="0"/>
              <w:rPr>
                <w:rFonts w:hint="eastAsia"/>
                <w:lang w:val="en-US" w:eastAsia="zh-CN"/>
              </w:rPr>
            </w:pPr>
            <w:r>
              <w:rPr>
                <w:rFonts w:hint="eastAsia"/>
                <w:lang w:val="en-US" w:eastAsia="zh-CN"/>
              </w:rPr>
              <w:t xml:space="preserve">平面布置合理性分析 </w:t>
            </w:r>
          </w:p>
          <w:p w14:paraId="7A16A708">
            <w:pPr>
              <w:keepNext w:val="0"/>
              <w:keepLines w:val="0"/>
              <w:suppressLineNumbers w:val="0"/>
              <w:bidi w:val="0"/>
              <w:spacing w:before="0" w:beforeAutospacing="0" w:after="0" w:afterAutospacing="0"/>
              <w:ind w:left="0" w:right="0"/>
              <w:rPr>
                <w:rFonts w:hint="eastAsia"/>
              </w:rPr>
            </w:pPr>
            <w:r>
              <w:rPr>
                <w:rFonts w:hint="eastAsia"/>
              </w:rPr>
              <w:t>项目位于</w:t>
            </w:r>
            <w:r>
              <w:rPr>
                <w:rFonts w:hint="eastAsia"/>
                <w:lang w:eastAsia="zh-CN"/>
              </w:rPr>
              <w:t>福清市阳下街道玉岭村147号，</w:t>
            </w:r>
            <w:r>
              <w:rPr>
                <w:rFonts w:hint="default"/>
                <w:lang w:eastAsia="zh-CN"/>
              </w:rPr>
              <w:t>租赁</w:t>
            </w:r>
            <w:r>
              <w:rPr>
                <w:rFonts w:hint="eastAsia"/>
                <w:lang w:eastAsia="zh-CN"/>
              </w:rPr>
              <w:t>福清洪添科技有限公司车间2三楼作为生产车间</w:t>
            </w:r>
            <w:r>
              <w:rPr>
                <w:rFonts w:hint="eastAsia"/>
              </w:rPr>
              <w:t>，主要建筑面积</w:t>
            </w:r>
            <w:r>
              <w:rPr>
                <w:rFonts w:hint="eastAsia"/>
                <w:lang w:val="en-US" w:eastAsia="zh-CN"/>
              </w:rPr>
              <w:t>2212.46m</w:t>
            </w:r>
            <w:r>
              <w:rPr>
                <w:rFonts w:hint="eastAsia"/>
                <w:vertAlign w:val="superscript"/>
                <w:lang w:val="en-US" w:eastAsia="zh-CN"/>
              </w:rPr>
              <w:t>2</w:t>
            </w:r>
            <w:r>
              <w:rPr>
                <w:rFonts w:hint="eastAsia"/>
              </w:rPr>
              <w:t>。厂房内主要包括</w:t>
            </w:r>
            <w:r>
              <w:rPr>
                <w:rFonts w:hint="eastAsia"/>
                <w:lang w:val="en-US" w:eastAsia="zh-CN"/>
              </w:rPr>
              <w:t>生产区（投料区、检验区、打磨房、喷漆烘干房、加烤区）</w:t>
            </w:r>
            <w:r>
              <w:rPr>
                <w:rFonts w:hint="eastAsia"/>
                <w:lang w:eastAsia="zh-CN"/>
              </w:rPr>
              <w:t>、</w:t>
            </w:r>
            <w:r>
              <w:rPr>
                <w:rFonts w:hint="eastAsia"/>
              </w:rPr>
              <w:t>原料区</w:t>
            </w:r>
            <w:r>
              <w:rPr>
                <w:rFonts w:hint="eastAsia"/>
                <w:highlight w:val="none"/>
              </w:rPr>
              <w:t>和成品区，生产区位于车间</w:t>
            </w:r>
            <w:r>
              <w:rPr>
                <w:rFonts w:hint="eastAsia"/>
                <w:highlight w:val="none"/>
                <w:lang w:val="en-US" w:eastAsia="zh-CN"/>
              </w:rPr>
              <w:t>西侧</w:t>
            </w:r>
            <w:r>
              <w:rPr>
                <w:rFonts w:hint="eastAsia"/>
                <w:highlight w:val="none"/>
              </w:rPr>
              <w:t>，原料区、成品区位于车间</w:t>
            </w:r>
            <w:r>
              <w:rPr>
                <w:rFonts w:hint="eastAsia"/>
                <w:highlight w:val="none"/>
                <w:lang w:val="en-US" w:eastAsia="zh-CN"/>
              </w:rPr>
              <w:t>东</w:t>
            </w:r>
            <w:r>
              <w:rPr>
                <w:rFonts w:hint="eastAsia"/>
                <w:highlight w:val="none"/>
              </w:rPr>
              <w:t>侧。</w:t>
            </w:r>
          </w:p>
          <w:p w14:paraId="5F9F2798">
            <w:pPr>
              <w:keepNext w:val="0"/>
              <w:keepLines w:val="0"/>
              <w:suppressLineNumbers w:val="0"/>
              <w:bidi w:val="0"/>
              <w:spacing w:before="0" w:beforeAutospacing="0" w:after="0" w:afterAutospacing="0"/>
              <w:ind w:left="0" w:right="0"/>
              <w:rPr>
                <w:rFonts w:hint="eastAsia"/>
                <w:color w:val="auto"/>
              </w:rPr>
            </w:pPr>
            <w:r>
              <w:rPr>
                <w:rFonts w:hint="eastAsia"/>
              </w:rPr>
              <w:t>此平面布置方案功能划分相对清晰，各</w:t>
            </w:r>
            <w:r>
              <w:rPr>
                <w:rFonts w:hint="eastAsia"/>
                <w:lang w:val="en-US" w:eastAsia="zh-CN"/>
              </w:rPr>
              <w:t>区域</w:t>
            </w:r>
            <w:r>
              <w:rPr>
                <w:rFonts w:hint="eastAsia"/>
              </w:rPr>
              <w:t>之间物流顺畅，运输距离较短，有利于生产布置</w:t>
            </w:r>
            <w:r>
              <w:rPr>
                <w:rFonts w:hint="eastAsia"/>
                <w:lang w:eastAsia="zh-CN"/>
              </w:rPr>
              <w:t>。</w:t>
            </w:r>
            <w:r>
              <w:rPr>
                <w:rFonts w:hint="eastAsia"/>
              </w:rPr>
              <w:t>在满足生产条件要求的前提下，充分利用厂区空间进行设备布置，布局紧凑，生产流程比较流畅，布局基本合理，物料流向顺畅，符合防火、安全、卫生等有关规范，总体布局功能分区明确，便于生产的连续性，项目平面布置基本合理</w:t>
            </w:r>
            <w:r>
              <w:rPr>
                <w:rFonts w:hint="eastAsia"/>
                <w:lang w:eastAsia="zh-CN"/>
              </w:rPr>
              <w:t>，</w:t>
            </w:r>
            <w:r>
              <w:rPr>
                <w:rFonts w:hint="eastAsia"/>
                <w:lang w:val="en-US" w:eastAsia="zh-CN"/>
              </w:rPr>
              <w:t>项目车间</w:t>
            </w:r>
            <w:r>
              <w:rPr>
                <w:rFonts w:hint="eastAsia"/>
              </w:rPr>
              <w:t>平面布置图见</w:t>
            </w:r>
            <w:r>
              <w:rPr>
                <w:rFonts w:hint="eastAsia"/>
                <w:lang w:eastAsia="zh-CN"/>
              </w:rPr>
              <w:fldChar w:fldCharType="begin"/>
            </w:r>
            <w:r>
              <w:rPr>
                <w:rFonts w:hint="eastAsia"/>
                <w:lang w:eastAsia="zh-CN"/>
              </w:rPr>
              <w:instrText xml:space="preserve"> REF _Ref22851 \h </w:instrText>
            </w:r>
            <w:r>
              <w:rPr>
                <w:rFonts w:hint="eastAsia"/>
                <w:lang w:eastAsia="zh-CN"/>
              </w:rPr>
              <w:fldChar w:fldCharType="separate"/>
            </w:r>
            <w:r>
              <w:rPr>
                <w:rFonts w:hint="eastAsia"/>
              </w:rPr>
              <w:t>附图 5</w:t>
            </w:r>
            <w:r>
              <w:rPr>
                <w:rFonts w:hint="eastAsia"/>
                <w:lang w:eastAsia="zh-CN"/>
              </w:rPr>
              <w:fldChar w:fldCharType="end"/>
            </w:r>
            <w:r>
              <w:rPr>
                <w:rFonts w:hint="eastAsia"/>
              </w:rPr>
              <w:t>。</w:t>
            </w:r>
          </w:p>
        </w:tc>
      </w:tr>
      <w:tr w14:paraId="2286A6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823" w:type="dxa"/>
            <w:noWrap w:val="0"/>
            <w:vAlign w:val="center"/>
          </w:tcPr>
          <w:p w14:paraId="3C646D91">
            <w:pPr>
              <w:pStyle w:val="40"/>
              <w:keepNext w:val="0"/>
              <w:keepLines w:val="0"/>
              <w:suppressLineNumbers w:val="0"/>
              <w:bidi w:val="0"/>
              <w:spacing w:before="0" w:beforeAutospacing="0" w:after="0" w:afterAutospacing="0"/>
              <w:ind w:left="0" w:right="0"/>
              <w:rPr>
                <w:rFonts w:hint="eastAsia"/>
              </w:rPr>
            </w:pPr>
            <w:r>
              <w:rPr>
                <w:rFonts w:hint="eastAsia"/>
              </w:rPr>
              <w:t>工艺流程和产排污环节</w:t>
            </w:r>
          </w:p>
        </w:tc>
        <w:tc>
          <w:tcPr>
            <w:tcW w:w="8161" w:type="dxa"/>
            <w:noWrap w:val="0"/>
            <w:vAlign w:val="top"/>
          </w:tcPr>
          <w:p w14:paraId="352C68B2">
            <w:pPr>
              <w:pStyle w:val="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生产工艺流程及产污环节</w:t>
            </w:r>
          </w:p>
          <w:p w14:paraId="17348412">
            <w:pPr>
              <w:pStyle w:val="4"/>
              <w:suppressLineNumbers w:val="0"/>
              <w:bidi w:val="0"/>
              <w:spacing w:before="0" w:beforeAutospacing="0" w:after="0" w:afterAutospacing="0"/>
              <w:ind w:left="0" w:right="0"/>
              <w:rPr>
                <w:rFonts w:hint="eastAsia"/>
                <w:lang w:eastAsia="zh-CN"/>
              </w:rPr>
            </w:pPr>
            <w:r>
              <w:rPr>
                <w:rFonts w:hint="eastAsia"/>
                <w:lang w:val="en-US" w:eastAsia="zh-CN"/>
              </w:rPr>
              <w:t>工艺流程及工艺介绍</w:t>
            </w:r>
          </w:p>
          <w:p w14:paraId="4F0C0C1F">
            <w:pPr>
              <w:keepNext w:val="0"/>
              <w:keepLines w:val="0"/>
              <w:suppressLineNumbers w:val="0"/>
              <w:bidi w:val="0"/>
              <w:spacing w:before="0" w:beforeAutospacing="0" w:after="0" w:afterAutospacing="0"/>
              <w:ind w:left="0" w:right="0"/>
              <w:rPr>
                <w:rFonts w:hint="eastAsia"/>
                <w:lang w:eastAsia="zh-CN"/>
              </w:rPr>
            </w:pPr>
            <w:r>
              <w:rPr>
                <w:rFonts w:hint="eastAsia"/>
              </w:rPr>
              <w:t>本项目设置</w:t>
            </w:r>
            <w:r>
              <w:rPr>
                <w:rFonts w:hint="eastAsia"/>
                <w:lang w:val="en-US" w:eastAsia="zh-CN"/>
              </w:rPr>
              <w:t>3</w:t>
            </w:r>
            <w:r>
              <w:rPr>
                <w:rFonts w:hint="eastAsia"/>
              </w:rPr>
              <w:t>条生产线，配套废气处理系统。</w:t>
            </w:r>
          </w:p>
          <w:p w14:paraId="0D5ED052">
            <w:pPr>
              <w:keepNext w:val="0"/>
              <w:keepLines w:val="0"/>
              <w:suppressLineNumbers w:val="0"/>
              <w:spacing w:before="0" w:beforeAutospacing="0" w:after="0" w:afterAutospacing="0"/>
              <w:ind w:left="0" w:right="0"/>
              <w:rPr>
                <w:rFonts w:hint="eastAsia"/>
                <w:color w:val="auto"/>
              </w:rPr>
            </w:pPr>
            <w:r>
              <w:rPr>
                <w:rFonts w:hint="eastAsia"/>
                <w:color w:val="auto"/>
                <w:lang w:eastAsia="zh-CN"/>
              </w:rPr>
              <w:t>本</w:t>
            </w:r>
            <w:r>
              <w:rPr>
                <w:rFonts w:hint="eastAsia"/>
                <w:color w:val="auto"/>
              </w:rPr>
              <w:t>项目生产工艺流程及产污环节图见图2</w:t>
            </w:r>
            <w:r>
              <w:rPr>
                <w:rFonts w:hint="eastAsia"/>
                <w:color w:val="auto"/>
                <w:lang w:val="en-US" w:eastAsia="zh-CN"/>
              </w:rPr>
              <w:t>.5</w:t>
            </w:r>
            <w:r>
              <w:rPr>
                <w:rFonts w:hint="eastAsia"/>
                <w:color w:val="auto"/>
              </w:rPr>
              <w:t>-1</w:t>
            </w:r>
            <w:r>
              <w:rPr>
                <w:rFonts w:hint="eastAsia"/>
                <w:color w:val="auto"/>
                <w:lang w:eastAsia="zh-CN"/>
              </w:rPr>
              <w:t>、</w:t>
            </w:r>
            <w:r>
              <w:rPr>
                <w:rFonts w:hint="eastAsia"/>
                <w:color w:val="auto"/>
              </w:rPr>
              <w:t>图2</w:t>
            </w:r>
            <w:r>
              <w:rPr>
                <w:rFonts w:hint="eastAsia"/>
                <w:color w:val="auto"/>
                <w:lang w:val="en-US" w:eastAsia="zh-CN"/>
              </w:rPr>
              <w:t>.5</w:t>
            </w:r>
            <w:r>
              <w:rPr>
                <w:rFonts w:hint="eastAsia"/>
                <w:color w:val="auto"/>
              </w:rPr>
              <w:t>-</w:t>
            </w:r>
            <w:r>
              <w:rPr>
                <w:rFonts w:hint="eastAsia"/>
                <w:color w:val="auto"/>
                <w:lang w:val="en-US" w:eastAsia="zh-CN"/>
              </w:rPr>
              <w:t>2</w:t>
            </w:r>
            <w:r>
              <w:rPr>
                <w:rFonts w:hint="eastAsia"/>
                <w:color w:val="auto"/>
              </w:rPr>
              <w:t>：</w:t>
            </w:r>
          </w:p>
          <w:p w14:paraId="3A17FECB">
            <w:pPr>
              <w:pStyle w:val="15"/>
              <w:keepNext w:val="0"/>
              <w:keepLines w:val="0"/>
              <w:suppressLineNumbers w:val="0"/>
              <w:bidi w:val="0"/>
              <w:spacing w:before="0" w:beforeAutospacing="0" w:after="0" w:afterAutospacing="0"/>
              <w:ind w:left="0" w:right="0"/>
              <w:rPr>
                <w:rFonts w:hint="eastAsia" w:eastAsia="宋体"/>
                <w:lang w:eastAsia="zh-CN"/>
              </w:rPr>
            </w:pPr>
            <w:r>
              <w:rPr>
                <w:rFonts w:hint="eastAsia"/>
                <w:lang w:eastAsia="zh-CN"/>
              </w:rPr>
              <w:drawing>
                <wp:inline distT="0" distB="0" distL="114300" distR="114300">
                  <wp:extent cx="4724400" cy="4742815"/>
                  <wp:effectExtent l="0" t="0" r="0" b="635"/>
                  <wp:docPr id="18" name="F360BE8B-6686-4F3D-AEAF-501FE73E4058-2" descr="C:/Users/Administrator/AppData/Local/Temp/绘图1(9).png绘图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360BE8B-6686-4F3D-AEAF-501FE73E4058-2" descr="C:/Users/Administrator/AppData/Local/Temp/绘图1(9).png绘图1(9)"/>
                          <pic:cNvPicPr>
                            <a:picLocks noChangeAspect="1"/>
                          </pic:cNvPicPr>
                        </pic:nvPicPr>
                        <pic:blipFill>
                          <a:blip r:embed="rId22"/>
                          <a:stretch>
                            <a:fillRect/>
                          </a:stretch>
                        </pic:blipFill>
                        <pic:spPr>
                          <a:xfrm>
                            <a:off x="0" y="0"/>
                            <a:ext cx="4724400" cy="4742688"/>
                          </a:xfrm>
                          <a:prstGeom prst="rect">
                            <a:avLst/>
                          </a:prstGeom>
                        </pic:spPr>
                      </pic:pic>
                    </a:graphicData>
                  </a:graphic>
                </wp:inline>
              </w:drawing>
            </w:r>
          </w:p>
          <w:p w14:paraId="0F779F51">
            <w:pPr>
              <w:pStyle w:val="39"/>
              <w:keepNext w:val="0"/>
              <w:keepLines w:val="0"/>
              <w:suppressLineNumbers w:val="0"/>
              <w:bidi w:val="0"/>
              <w:spacing w:before="0" w:beforeAutospacing="0" w:after="0" w:afterAutospacing="0"/>
              <w:ind w:left="0" w:right="0"/>
              <w:rPr>
                <w:rFonts w:hint="eastAsia"/>
                <w:color w:val="auto"/>
              </w:rPr>
            </w:pPr>
            <w:r>
              <w:rPr>
                <w:rFonts w:hint="eastAsia"/>
              </w:rPr>
              <w:t>图2</w:t>
            </w:r>
            <w:r>
              <w:rPr>
                <w:rFonts w:hint="eastAsia"/>
                <w:lang w:val="en-US" w:eastAsia="zh-CN"/>
              </w:rPr>
              <w:t>.5</w:t>
            </w:r>
            <w:r>
              <w:rPr>
                <w:rFonts w:hint="eastAsia"/>
              </w:rPr>
              <w:t xml:space="preserve">-1  </w:t>
            </w:r>
            <w:r>
              <w:rPr>
                <w:rFonts w:hint="eastAsia"/>
                <w:lang w:val="en-US" w:eastAsia="zh-CN"/>
              </w:rPr>
              <w:t>本项目</w:t>
            </w:r>
            <w:r>
              <w:rPr>
                <w:rFonts w:hint="eastAsia"/>
              </w:rPr>
              <w:t>工艺流程及产污环节示意图</w:t>
            </w:r>
          </w:p>
          <w:p w14:paraId="116A9A7C">
            <w:pPr>
              <w:keepNext w:val="0"/>
              <w:keepLines w:val="0"/>
              <w:suppressLineNumbers w:val="0"/>
              <w:spacing w:before="0" w:beforeAutospacing="0" w:after="0" w:afterAutospacing="0" w:line="360" w:lineRule="auto"/>
              <w:ind w:left="0" w:right="0" w:firstLine="482" w:firstLineChars="200"/>
              <w:rPr>
                <w:rFonts w:hint="eastAsia" w:ascii="Times New Roman" w:hAnsi="Times New Roman" w:eastAsia="宋体" w:cs="Times New Roman"/>
                <w:b/>
                <w:bCs/>
                <w:color w:val="auto"/>
                <w:kern w:val="0"/>
                <w:sz w:val="24"/>
                <w:szCs w:val="24"/>
                <w:lang w:val="en-US" w:eastAsia="zh-CN"/>
              </w:rPr>
            </w:pPr>
            <w:r>
              <w:rPr>
                <w:rFonts w:hint="eastAsia" w:ascii="Times New Roman" w:hAnsi="Times New Roman" w:eastAsia="宋体" w:cs="Times New Roman"/>
                <w:b/>
                <w:bCs/>
                <w:color w:val="auto"/>
                <w:kern w:val="0"/>
                <w:sz w:val="24"/>
                <w:szCs w:val="24"/>
                <w:lang w:val="en-US" w:eastAsia="zh-CN"/>
              </w:rPr>
              <w:t>生产线1#</w:t>
            </w:r>
            <w:r>
              <w:rPr>
                <w:rFonts w:hint="eastAsia" w:cs="Times New Roman"/>
                <w:b/>
                <w:bCs/>
                <w:color w:val="auto"/>
                <w:kern w:val="0"/>
                <w:sz w:val="24"/>
                <w:szCs w:val="24"/>
                <w:lang w:val="en-US" w:eastAsia="zh-CN"/>
              </w:rPr>
              <w:t>、生产线2#、生产线3#</w:t>
            </w:r>
            <w:r>
              <w:rPr>
                <w:rFonts w:hint="eastAsia" w:ascii="Times New Roman" w:hAnsi="Times New Roman" w:eastAsia="宋体" w:cs="Times New Roman"/>
                <w:b/>
                <w:bCs/>
                <w:color w:val="auto"/>
                <w:kern w:val="0"/>
                <w:sz w:val="24"/>
                <w:szCs w:val="24"/>
                <w:lang w:val="en-US" w:eastAsia="zh-CN"/>
              </w:rPr>
              <w:t>工艺流程简述：</w:t>
            </w:r>
          </w:p>
          <w:p w14:paraId="2380C2C9">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打磨：利用打磨机对压铸铝外表面不平整处进行打磨处理，使之变得平整、光滑，产生G1打磨废气。</w:t>
            </w:r>
          </w:p>
          <w:p w14:paraId="00D295B0">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喷漆、烘干</w:t>
            </w:r>
            <w:r>
              <w:rPr>
                <w:rFonts w:hint="eastAsia"/>
                <w:lang w:eastAsia="zh-CN"/>
              </w:rPr>
              <w:t>：</w:t>
            </w:r>
            <w:r>
              <w:rPr>
                <w:rFonts w:hint="eastAsia"/>
                <w:lang w:val="en-US" w:eastAsia="zh-CN"/>
              </w:rPr>
              <w:t>本项目根据产品的类型及用途选择不同的漆，在水帘喷漆台上对塑胶壳、钣金或经打磨后的压铸铝进行喷漆，然后进入喷漆平板线自带的电烘干设备（隧道炉）内烘干固化，再送入电面包炉内加烤，产生G2喷漆、烘干废气、S1水帘柜废液、S2废漆渣、S3废水性漆桶、S4废油性漆桶。根据涂料成分报告及VOCs检测报告（详见</w:t>
            </w:r>
            <w:r>
              <w:rPr>
                <w:rFonts w:hint="eastAsia"/>
                <w:lang w:val="en-US" w:eastAsia="zh-CN"/>
              </w:rPr>
              <w:fldChar w:fldCharType="begin"/>
            </w:r>
            <w:r>
              <w:rPr>
                <w:rFonts w:hint="eastAsia"/>
                <w:lang w:val="en-US" w:eastAsia="zh-CN"/>
              </w:rPr>
              <w:instrText xml:space="preserve"> REF _Ref22352 \h </w:instrText>
            </w:r>
            <w:r>
              <w:rPr>
                <w:rFonts w:hint="eastAsia"/>
                <w:lang w:val="en-US" w:eastAsia="zh-CN"/>
              </w:rPr>
              <w:fldChar w:fldCharType="separate"/>
            </w:r>
            <w:r>
              <w:rPr>
                <w:rFonts w:hint="eastAsia"/>
              </w:rPr>
              <w:t>附件 8</w:t>
            </w:r>
            <w:r>
              <w:rPr>
                <w:rFonts w:hint="eastAsia"/>
                <w:lang w:val="en-US" w:eastAsia="zh-CN"/>
              </w:rPr>
              <w:fldChar w:fldCharType="end"/>
            </w:r>
            <w:r>
              <w:rPr>
                <w:rFonts w:hint="eastAsia"/>
                <w:lang w:val="en-US" w:eastAsia="zh-CN"/>
              </w:rPr>
              <w:t>~</w:t>
            </w:r>
            <w:r>
              <w:rPr>
                <w:rFonts w:hint="eastAsia"/>
                <w:lang w:val="en-US" w:eastAsia="zh-CN"/>
              </w:rPr>
              <w:fldChar w:fldCharType="begin"/>
            </w:r>
            <w:r>
              <w:rPr>
                <w:rFonts w:hint="eastAsia"/>
                <w:lang w:val="en-US" w:eastAsia="zh-CN"/>
              </w:rPr>
              <w:instrText xml:space="preserve"> REF _Ref22378 \h </w:instrText>
            </w:r>
            <w:r>
              <w:rPr>
                <w:rFonts w:hint="eastAsia"/>
                <w:lang w:val="en-US" w:eastAsia="zh-CN"/>
              </w:rPr>
              <w:fldChar w:fldCharType="separate"/>
            </w:r>
            <w:r>
              <w:rPr>
                <w:rFonts w:hint="eastAsia"/>
              </w:rPr>
              <w:t>附件 14</w:t>
            </w:r>
            <w:r>
              <w:rPr>
                <w:rFonts w:hint="eastAsia"/>
                <w:lang w:val="en-US" w:eastAsia="zh-CN"/>
              </w:rPr>
              <w:fldChar w:fldCharType="end"/>
            </w:r>
            <w:r>
              <w:rPr>
                <w:rFonts w:hint="eastAsia"/>
                <w:lang w:val="en-US" w:eastAsia="zh-CN"/>
              </w:rPr>
              <w:t>），未含有苯、甲苯和二甲苯等特征污染物，因此，以非甲烷总烃进行表征。</w:t>
            </w:r>
          </w:p>
          <w:p w14:paraId="6DC53648">
            <w:pPr>
              <w:pStyle w:val="26"/>
              <w:keepNext w:val="0"/>
              <w:keepLines w:val="0"/>
              <w:suppressLineNumbers w:val="0"/>
              <w:spacing w:before="0" w:beforeAutospacing="0" w:after="0" w:afterAutospacing="0"/>
              <w:ind w:left="0" w:right="0"/>
              <w:rPr>
                <w:rFonts w:hint="eastAsia"/>
                <w:lang w:val="en-US" w:eastAsia="zh-CN"/>
              </w:rPr>
            </w:pPr>
            <w:r>
              <w:rPr>
                <w:rFonts w:hint="eastAsia"/>
                <w:lang w:val="en-US" w:eastAsia="zh-CN"/>
              </w:rPr>
              <w:t>检验：人工检验产品表面有无毛飞、沙孔等，产生S5不合格产品。</w:t>
            </w:r>
          </w:p>
          <w:p w14:paraId="35466ECD">
            <w:pPr>
              <w:pStyle w:val="26"/>
              <w:keepNext w:val="0"/>
              <w:keepLines w:val="0"/>
              <w:suppressLineNumbers w:val="0"/>
              <w:spacing w:before="0" w:beforeAutospacing="0" w:after="0" w:afterAutospacing="0"/>
              <w:ind w:left="0" w:right="0"/>
              <w:rPr>
                <w:rFonts w:hint="default"/>
                <w:lang w:val="en-US" w:eastAsia="zh-CN"/>
              </w:rPr>
            </w:pPr>
            <w:r>
              <w:rPr>
                <w:rFonts w:hint="eastAsia"/>
                <w:lang w:val="en-US" w:eastAsia="zh-CN"/>
              </w:rPr>
              <w:t>加烤：检验后的合格品送入电面包炉内加烤，产生G3加烤废气</w:t>
            </w:r>
          </w:p>
          <w:p w14:paraId="5BDCEDFD">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检验：再次进行人工检验产品表面有无毛飞、沙孔等，产生S5不合格产品。</w:t>
            </w:r>
          </w:p>
          <w:p w14:paraId="3A10A879">
            <w:pPr>
              <w:pStyle w:val="26"/>
              <w:keepNext w:val="0"/>
              <w:keepLines w:val="0"/>
              <w:suppressLineNumbers w:val="0"/>
              <w:spacing w:before="0" w:beforeAutospacing="0" w:after="0" w:afterAutospacing="0"/>
              <w:ind w:left="0" w:right="0"/>
              <w:rPr>
                <w:rFonts w:hint="eastAsia"/>
              </w:rPr>
            </w:pPr>
            <w:r>
              <w:rPr>
                <w:rFonts w:hint="eastAsia"/>
                <w:lang w:eastAsia="zh-CN"/>
              </w:rPr>
              <w:t>包装、</w:t>
            </w:r>
            <w:r>
              <w:rPr>
                <w:rFonts w:hint="eastAsia"/>
                <w:lang w:val="en-US" w:eastAsia="zh-CN"/>
              </w:rPr>
              <w:t>入库</w:t>
            </w:r>
            <w:r>
              <w:rPr>
                <w:rFonts w:hint="eastAsia"/>
                <w:lang w:eastAsia="zh-CN"/>
              </w:rPr>
              <w:t>：</w:t>
            </w:r>
            <w:r>
              <w:rPr>
                <w:rFonts w:hint="eastAsia"/>
                <w:lang w:val="en-US" w:eastAsia="zh-CN"/>
              </w:rPr>
              <w:t>检验合格的</w:t>
            </w:r>
            <w:r>
              <w:rPr>
                <w:rFonts w:hint="eastAsia"/>
                <w:lang w:eastAsia="zh-CN"/>
              </w:rPr>
              <w:t>成品</w:t>
            </w:r>
            <w:r>
              <w:rPr>
                <w:rFonts w:hint="eastAsia"/>
                <w:lang w:val="en-US" w:eastAsia="zh-CN"/>
              </w:rPr>
              <w:t>通过气泡袋包装好后再用来料装的包装箱（框）</w:t>
            </w:r>
            <w:r>
              <w:rPr>
                <w:rFonts w:hint="eastAsia"/>
                <w:lang w:eastAsia="zh-CN"/>
              </w:rPr>
              <w:t>包装</w:t>
            </w:r>
            <w:r>
              <w:rPr>
                <w:rFonts w:hint="eastAsia"/>
                <w:lang w:val="en-US" w:eastAsia="zh-CN"/>
              </w:rPr>
              <w:t>后即可</w:t>
            </w:r>
            <w:r>
              <w:rPr>
                <w:rFonts w:hint="eastAsia"/>
                <w:lang w:eastAsia="zh-CN"/>
              </w:rPr>
              <w:t>入库，</w:t>
            </w:r>
            <w:r>
              <w:rPr>
                <w:rFonts w:hint="eastAsia"/>
                <w:lang w:val="en-US" w:eastAsia="zh-CN"/>
              </w:rPr>
              <w:t>不产生废包装材料</w:t>
            </w:r>
            <w:r>
              <w:rPr>
                <w:rFonts w:hint="eastAsia"/>
                <w:lang w:eastAsia="zh-CN"/>
              </w:rPr>
              <w:t>。</w:t>
            </w:r>
          </w:p>
          <w:p w14:paraId="4B177BDA">
            <w:pPr>
              <w:keepNext w:val="0"/>
              <w:keepLines w:val="0"/>
              <w:suppressLineNumbers w:val="0"/>
              <w:spacing w:before="0" w:beforeAutospacing="0" w:after="0" w:afterAutospacing="0"/>
              <w:ind w:left="0" w:right="0"/>
              <w:rPr>
                <w:rFonts w:hint="eastAsia"/>
                <w:lang w:eastAsia="zh-CN"/>
              </w:rPr>
            </w:pPr>
            <w:r>
              <w:rPr>
                <w:rFonts w:hint="default" w:eastAsia="宋体"/>
                <w:b w:val="0"/>
                <w:bCs w:val="0"/>
                <w:iCs w:val="0"/>
                <w:lang w:val="en-US" w:eastAsia="zh-CN"/>
              </w:rPr>
              <w:t>废气治理设施</w:t>
            </w:r>
            <w:r>
              <w:rPr>
                <w:rFonts w:hint="eastAsia"/>
                <w:b w:val="0"/>
                <w:bCs w:val="0"/>
                <w:iCs w:val="0"/>
                <w:lang w:val="en-US" w:eastAsia="zh-CN"/>
              </w:rPr>
              <w:t>“</w:t>
            </w:r>
            <w:r>
              <w:rPr>
                <w:rFonts w:hint="eastAsia" w:eastAsia="宋体"/>
                <w:lang w:eastAsia="zh-CN"/>
              </w:rPr>
              <w:t>过滤棉+活性炭吸附装置</w:t>
            </w:r>
            <w:r>
              <w:rPr>
                <w:rFonts w:hint="eastAsia"/>
                <w:b w:val="0"/>
                <w:bCs w:val="0"/>
                <w:iCs w:val="0"/>
                <w:lang w:val="en-US" w:eastAsia="zh-CN"/>
              </w:rPr>
              <w:t>”会</w:t>
            </w:r>
            <w:r>
              <w:rPr>
                <w:rFonts w:hint="default" w:eastAsia="宋体"/>
                <w:b w:val="0"/>
                <w:bCs w:val="0"/>
                <w:iCs w:val="0"/>
                <w:lang w:val="en-US" w:eastAsia="zh-CN"/>
              </w:rPr>
              <w:t>产生S</w:t>
            </w:r>
            <w:r>
              <w:rPr>
                <w:rFonts w:hint="eastAsia"/>
                <w:b w:val="0"/>
                <w:bCs w:val="0"/>
                <w:iCs w:val="0"/>
                <w:lang w:val="en-US" w:eastAsia="zh-CN"/>
              </w:rPr>
              <w:t>6</w:t>
            </w:r>
            <w:r>
              <w:rPr>
                <w:rFonts w:hint="default" w:eastAsia="宋体"/>
                <w:b w:val="0"/>
                <w:bCs w:val="0"/>
                <w:iCs w:val="0"/>
                <w:lang w:val="en-US" w:eastAsia="zh-CN"/>
              </w:rPr>
              <w:t>废活性炭</w:t>
            </w:r>
            <w:r>
              <w:rPr>
                <w:rFonts w:hint="eastAsia" w:eastAsia="宋体"/>
                <w:b w:val="0"/>
                <w:bCs w:val="0"/>
                <w:iCs w:val="0"/>
                <w:lang w:val="en-US" w:eastAsia="zh-CN"/>
              </w:rPr>
              <w:t>、S</w:t>
            </w:r>
            <w:r>
              <w:rPr>
                <w:rFonts w:hint="eastAsia"/>
                <w:b w:val="0"/>
                <w:bCs w:val="0"/>
                <w:iCs w:val="0"/>
                <w:lang w:val="en-US" w:eastAsia="zh-CN"/>
              </w:rPr>
              <w:t>7</w:t>
            </w:r>
            <w:r>
              <w:rPr>
                <w:rFonts w:hint="eastAsia" w:eastAsia="宋体"/>
                <w:b w:val="0"/>
                <w:bCs w:val="0"/>
                <w:iCs w:val="0"/>
                <w:lang w:val="en-US" w:eastAsia="zh-CN"/>
              </w:rPr>
              <w:t>废过滤棉</w:t>
            </w:r>
            <w:r>
              <w:rPr>
                <w:rFonts w:hint="default" w:eastAsia="宋体"/>
                <w:b w:val="0"/>
                <w:bCs w:val="0"/>
                <w:iCs w:val="0"/>
                <w:lang w:val="en-US" w:eastAsia="zh-CN"/>
              </w:rPr>
              <w:t>；设备维护过程以及生产过程中会产生S</w:t>
            </w:r>
            <w:r>
              <w:rPr>
                <w:rFonts w:hint="eastAsia"/>
                <w:b w:val="0"/>
                <w:bCs w:val="0"/>
                <w:iCs w:val="0"/>
                <w:lang w:val="en-US" w:eastAsia="zh-CN"/>
              </w:rPr>
              <w:t>8</w:t>
            </w:r>
            <w:r>
              <w:rPr>
                <w:rFonts w:hint="default" w:eastAsia="宋体"/>
                <w:b w:val="0"/>
                <w:bCs w:val="0"/>
                <w:iCs w:val="0"/>
                <w:lang w:val="en-US" w:eastAsia="zh-CN"/>
              </w:rPr>
              <w:t>废</w:t>
            </w:r>
            <w:r>
              <w:rPr>
                <w:rFonts w:hint="eastAsia"/>
                <w:b w:val="0"/>
                <w:bCs w:val="0"/>
                <w:iCs w:val="0"/>
                <w:lang w:val="en-US" w:eastAsia="zh-CN"/>
              </w:rPr>
              <w:t>机</w:t>
            </w:r>
            <w:r>
              <w:rPr>
                <w:rFonts w:hint="default" w:eastAsia="宋体"/>
                <w:b w:val="0"/>
                <w:bCs w:val="0"/>
                <w:iCs w:val="0"/>
                <w:lang w:val="en-US" w:eastAsia="zh-CN"/>
              </w:rPr>
              <w:t>油。</w:t>
            </w:r>
          </w:p>
          <w:p w14:paraId="67AC26CC">
            <w:pPr>
              <w:pStyle w:val="4"/>
              <w:suppressLineNumbers w:val="0"/>
              <w:bidi w:val="0"/>
              <w:spacing w:before="0" w:beforeAutospacing="0" w:after="0" w:afterAutospacing="0"/>
              <w:ind w:left="0" w:right="0"/>
              <w:rPr>
                <w:rFonts w:hint="eastAsia"/>
              </w:rPr>
            </w:pPr>
            <w:r>
              <w:rPr>
                <w:rFonts w:hint="eastAsia"/>
                <w:lang w:val="en-US" w:eastAsia="zh-CN"/>
              </w:rPr>
              <w:t>产污环节</w:t>
            </w:r>
          </w:p>
          <w:p w14:paraId="1FE39E84">
            <w:pPr>
              <w:keepNext w:val="0"/>
              <w:keepLines w:val="0"/>
              <w:suppressLineNumbers w:val="0"/>
              <w:bidi w:val="0"/>
              <w:spacing w:before="0" w:beforeAutospacing="0" w:after="0" w:afterAutospacing="0"/>
              <w:ind w:left="0" w:right="0"/>
              <w:rPr>
                <w:rFonts w:hint="eastAsia"/>
              </w:rPr>
            </w:pPr>
            <w:r>
              <w:rPr>
                <w:rFonts w:hint="eastAsia"/>
              </w:rPr>
              <w:t>本项目运营期产物环节汇总见下表。</w:t>
            </w:r>
          </w:p>
          <w:p w14:paraId="127F68B9">
            <w:pPr>
              <w:pStyle w:val="39"/>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rPr>
            </w:pPr>
            <w:r>
              <w:rPr>
                <w:rFonts w:hint="default"/>
              </w:rPr>
              <w:t>表2.</w:t>
            </w:r>
            <w:r>
              <w:rPr>
                <w:rFonts w:hint="eastAsia"/>
                <w:lang w:val="en-US" w:eastAsia="zh-CN"/>
              </w:rPr>
              <w:t>5</w:t>
            </w:r>
            <w:r>
              <w:rPr>
                <w:rFonts w:hint="default"/>
              </w:rPr>
              <w:t>-1  项目运营期产污环节汇总表</w:t>
            </w:r>
          </w:p>
          <w:tbl>
            <w:tblPr>
              <w:tblStyle w:val="29"/>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00"/>
              <w:gridCol w:w="766"/>
              <w:gridCol w:w="1445"/>
              <w:gridCol w:w="2145"/>
              <w:gridCol w:w="3640"/>
            </w:tblGrid>
            <w:tr w14:paraId="0E360F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94" w:type="pct"/>
                  <w:gridSpan w:val="2"/>
                  <w:noWrap w:val="0"/>
                  <w:vAlign w:val="center"/>
                </w:tcPr>
                <w:p w14:paraId="13D901E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类别</w:t>
                  </w:r>
                </w:p>
              </w:tc>
              <w:tc>
                <w:tcPr>
                  <w:tcW w:w="860" w:type="pct"/>
                  <w:noWrap w:val="0"/>
                  <w:vAlign w:val="center"/>
                </w:tcPr>
                <w:p w14:paraId="4CB9CD7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污染源/污染工序</w:t>
                  </w:r>
                </w:p>
              </w:tc>
              <w:tc>
                <w:tcPr>
                  <w:tcW w:w="1277" w:type="pct"/>
                  <w:noWrap w:val="0"/>
                  <w:vAlign w:val="center"/>
                </w:tcPr>
                <w:p w14:paraId="133C40E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污染物</w:t>
                  </w:r>
                </w:p>
              </w:tc>
              <w:tc>
                <w:tcPr>
                  <w:tcW w:w="2167" w:type="pct"/>
                  <w:noWrap w:val="0"/>
                  <w:vAlign w:val="center"/>
                </w:tcPr>
                <w:p w14:paraId="638F65C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治理措施</w:t>
                  </w:r>
                </w:p>
              </w:tc>
            </w:tr>
            <w:tr w14:paraId="40A6E2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94" w:type="pct"/>
                  <w:gridSpan w:val="2"/>
                  <w:vMerge w:val="restart"/>
                  <w:noWrap w:val="0"/>
                  <w:vAlign w:val="center"/>
                </w:tcPr>
                <w:p w14:paraId="0980B50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废水</w:t>
                  </w:r>
                </w:p>
              </w:tc>
              <w:tc>
                <w:tcPr>
                  <w:tcW w:w="860" w:type="pct"/>
                  <w:noWrap w:val="0"/>
                  <w:vAlign w:val="center"/>
                </w:tcPr>
                <w:p w14:paraId="26862C2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职工生活污水</w:t>
                  </w:r>
                </w:p>
              </w:tc>
              <w:tc>
                <w:tcPr>
                  <w:tcW w:w="1277" w:type="pct"/>
                  <w:noWrap w:val="0"/>
                  <w:vAlign w:val="center"/>
                </w:tcPr>
                <w:p w14:paraId="645C852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pH、COD、BOD</w:t>
                  </w:r>
                  <w:r>
                    <w:rPr>
                      <w:rFonts w:hint="eastAsia"/>
                      <w:szCs w:val="22"/>
                      <w:vertAlign w:val="subscript"/>
                    </w:rPr>
                    <w:t>5</w:t>
                  </w:r>
                  <w:r>
                    <w:rPr>
                      <w:rFonts w:hint="eastAsia"/>
                      <w:szCs w:val="22"/>
                    </w:rPr>
                    <w:t>、SS、NH</w:t>
                  </w:r>
                  <w:r>
                    <w:rPr>
                      <w:rFonts w:hint="eastAsia"/>
                      <w:szCs w:val="22"/>
                      <w:vertAlign w:val="subscript"/>
                    </w:rPr>
                    <w:t>3</w:t>
                  </w:r>
                  <w:r>
                    <w:rPr>
                      <w:rFonts w:hint="eastAsia"/>
                      <w:szCs w:val="22"/>
                    </w:rPr>
                    <w:t>-N</w:t>
                  </w:r>
                </w:p>
              </w:tc>
              <w:tc>
                <w:tcPr>
                  <w:tcW w:w="2167" w:type="pct"/>
                  <w:noWrap w:val="0"/>
                  <w:vAlign w:val="center"/>
                </w:tcPr>
                <w:p w14:paraId="2F244FF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经化粪池预处理后接入市政污水管网排入福清市融元污水处理厂集中处理</w:t>
                  </w:r>
                </w:p>
              </w:tc>
            </w:tr>
            <w:tr w14:paraId="6FDAE96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94" w:type="pct"/>
                  <w:gridSpan w:val="2"/>
                  <w:vMerge w:val="continue"/>
                  <w:noWrap w:val="0"/>
                  <w:vAlign w:val="center"/>
                </w:tcPr>
                <w:p w14:paraId="0B028756">
                  <w:pPr>
                    <w:pStyle w:val="38"/>
                    <w:keepNext w:val="0"/>
                    <w:keepLines w:val="0"/>
                    <w:widowControl/>
                    <w:suppressLineNumbers w:val="0"/>
                    <w:bidi w:val="0"/>
                    <w:spacing w:before="0" w:beforeAutospacing="0" w:after="0" w:afterAutospacing="0"/>
                    <w:ind w:left="0" w:right="0"/>
                    <w:rPr>
                      <w:rFonts w:hint="eastAsia"/>
                      <w:szCs w:val="22"/>
                    </w:rPr>
                  </w:pPr>
                </w:p>
              </w:tc>
              <w:tc>
                <w:tcPr>
                  <w:tcW w:w="860" w:type="pct"/>
                  <w:noWrap w:val="0"/>
                  <w:vAlign w:val="center"/>
                </w:tcPr>
                <w:p w14:paraId="782788D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水帘喷漆废水</w:t>
                  </w:r>
                </w:p>
              </w:tc>
              <w:tc>
                <w:tcPr>
                  <w:tcW w:w="1277" w:type="pct"/>
                  <w:noWrap w:val="0"/>
                  <w:vAlign w:val="center"/>
                </w:tcPr>
                <w:p w14:paraId="10AF6890">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val="en-US" w:eastAsia="zh-CN"/>
                    </w:rPr>
                    <w:t>/</w:t>
                  </w:r>
                </w:p>
              </w:tc>
              <w:tc>
                <w:tcPr>
                  <w:tcW w:w="2167" w:type="pct"/>
                  <w:noWrap w:val="0"/>
                  <w:vAlign w:val="center"/>
                </w:tcPr>
                <w:p w14:paraId="62447827">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rPr>
                    <w:t>循环使用，不外排</w:t>
                  </w:r>
                  <w:r>
                    <w:rPr>
                      <w:rFonts w:hint="eastAsia"/>
                      <w:szCs w:val="22"/>
                      <w:lang w:eastAsia="zh-CN"/>
                    </w:rPr>
                    <w:t>。待浓度过高时按危废委托有资质的危废处置单位处置</w:t>
                  </w:r>
                </w:p>
              </w:tc>
            </w:tr>
            <w:tr w14:paraId="07D912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6" w:hRule="atLeast"/>
                <w:jc w:val="center"/>
              </w:trPr>
              <w:tc>
                <w:tcPr>
                  <w:tcW w:w="694" w:type="pct"/>
                  <w:gridSpan w:val="2"/>
                  <w:vMerge w:val="restart"/>
                  <w:noWrap w:val="0"/>
                  <w:vAlign w:val="center"/>
                </w:tcPr>
                <w:p w14:paraId="03A3F88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废气</w:t>
                  </w:r>
                </w:p>
              </w:tc>
              <w:tc>
                <w:tcPr>
                  <w:tcW w:w="860" w:type="pct"/>
                  <w:tcBorders>
                    <w:bottom w:val="single" w:color="auto" w:sz="4" w:space="0"/>
                  </w:tcBorders>
                  <w:noWrap w:val="0"/>
                  <w:vAlign w:val="center"/>
                </w:tcPr>
                <w:p w14:paraId="5340A5DE">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val="en-US" w:eastAsia="zh-CN"/>
                    </w:rPr>
                    <w:t>打磨</w:t>
                  </w:r>
                </w:p>
              </w:tc>
              <w:tc>
                <w:tcPr>
                  <w:tcW w:w="1277" w:type="pct"/>
                  <w:tcBorders>
                    <w:bottom w:val="single" w:color="auto" w:sz="4" w:space="0"/>
                  </w:tcBorders>
                  <w:noWrap w:val="0"/>
                  <w:vAlign w:val="center"/>
                </w:tcPr>
                <w:p w14:paraId="51D65A0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颗粒物</w:t>
                  </w:r>
                </w:p>
              </w:tc>
              <w:tc>
                <w:tcPr>
                  <w:tcW w:w="2167" w:type="pct"/>
                  <w:tcBorders>
                    <w:bottom w:val="single" w:color="auto" w:sz="4" w:space="0"/>
                  </w:tcBorders>
                  <w:noWrap w:val="0"/>
                  <w:vAlign w:val="center"/>
                </w:tcPr>
                <w:p w14:paraId="08517FAB">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设置密闭打磨房，无组织排放</w:t>
                  </w:r>
                </w:p>
              </w:tc>
            </w:tr>
            <w:tr w14:paraId="238156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82" w:hRule="atLeast"/>
                <w:jc w:val="center"/>
              </w:trPr>
              <w:tc>
                <w:tcPr>
                  <w:tcW w:w="694" w:type="pct"/>
                  <w:gridSpan w:val="2"/>
                  <w:vMerge w:val="continue"/>
                  <w:noWrap w:val="0"/>
                  <w:vAlign w:val="center"/>
                </w:tcPr>
                <w:p w14:paraId="49916AD2">
                  <w:pPr>
                    <w:pStyle w:val="38"/>
                    <w:keepNext w:val="0"/>
                    <w:keepLines w:val="0"/>
                    <w:widowControl/>
                    <w:suppressLineNumbers w:val="0"/>
                    <w:bidi w:val="0"/>
                    <w:spacing w:before="0" w:beforeAutospacing="0" w:after="0" w:afterAutospacing="0"/>
                    <w:ind w:left="0" w:right="0"/>
                    <w:rPr>
                      <w:rFonts w:hint="eastAsia"/>
                      <w:szCs w:val="22"/>
                    </w:rPr>
                  </w:pPr>
                </w:p>
              </w:tc>
              <w:tc>
                <w:tcPr>
                  <w:tcW w:w="860" w:type="pct"/>
                  <w:tcBorders>
                    <w:top w:val="single" w:color="auto" w:sz="4" w:space="0"/>
                    <w:bottom w:val="single" w:color="auto" w:sz="4" w:space="0"/>
                  </w:tcBorders>
                  <w:noWrap w:val="0"/>
                  <w:vAlign w:val="center"/>
                </w:tcPr>
                <w:p w14:paraId="3F33E67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喷漆、烘干、加烤废气</w:t>
                  </w:r>
                </w:p>
              </w:tc>
              <w:tc>
                <w:tcPr>
                  <w:tcW w:w="1277" w:type="pct"/>
                  <w:tcBorders>
                    <w:top w:val="single" w:color="auto" w:sz="4" w:space="0"/>
                    <w:bottom w:val="single" w:color="auto" w:sz="4" w:space="0"/>
                  </w:tcBorders>
                  <w:noWrap w:val="0"/>
                  <w:vAlign w:val="center"/>
                </w:tcPr>
                <w:p w14:paraId="0057799A">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val="en-US" w:eastAsia="zh-CN"/>
                    </w:rPr>
                    <w:t>非甲烷总烃、颗粒物</w:t>
                  </w:r>
                </w:p>
              </w:tc>
              <w:tc>
                <w:tcPr>
                  <w:tcW w:w="2167" w:type="pct"/>
                  <w:tcBorders>
                    <w:top w:val="single" w:color="auto" w:sz="4" w:space="0"/>
                  </w:tcBorders>
                  <w:noWrap w:val="0"/>
                  <w:vAlign w:val="center"/>
                </w:tcPr>
                <w:p w14:paraId="5B2146F5">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eastAsia="宋体"/>
                      <w:szCs w:val="22"/>
                      <w:lang w:eastAsia="zh-CN"/>
                    </w:rPr>
                    <w:t>生产线1</w:t>
                  </w:r>
                  <w:r>
                    <w:rPr>
                      <w:rFonts w:hint="eastAsia"/>
                      <w:szCs w:val="22"/>
                      <w:lang w:val="en-US" w:eastAsia="zh-CN"/>
                    </w:rPr>
                    <w:t>#</w:t>
                  </w:r>
                  <w:r>
                    <w:rPr>
                      <w:rFonts w:hint="eastAsia" w:eastAsia="宋体"/>
                      <w:szCs w:val="22"/>
                      <w:lang w:eastAsia="zh-CN"/>
                    </w:rPr>
                    <w:t>的烘干废气和加烤废气分别经密闭管道收集后，与经水帘柜处理后的喷漆废气合并，共同进入</w:t>
                  </w:r>
                  <w:r>
                    <w:rPr>
                      <w:rFonts w:hint="eastAsia"/>
                      <w:szCs w:val="22"/>
                      <w:lang w:eastAsia="zh-CN"/>
                    </w:rPr>
                    <w:t>“</w:t>
                  </w:r>
                  <w:r>
                    <w:rPr>
                      <w:rFonts w:hint="eastAsia" w:eastAsia="宋体"/>
                      <w:szCs w:val="22"/>
                      <w:lang w:eastAsia="zh-CN"/>
                    </w:rPr>
                    <w:t>过滤棉+活性炭吸附装置</w:t>
                  </w:r>
                  <w:r>
                    <w:rPr>
                      <w:rFonts w:hint="eastAsia"/>
                      <w:szCs w:val="22"/>
                      <w:lang w:eastAsia="zh-CN"/>
                    </w:rPr>
                    <w:t>”1#</w:t>
                  </w:r>
                  <w:r>
                    <w:rPr>
                      <w:rFonts w:hint="eastAsia" w:eastAsia="宋体"/>
                      <w:szCs w:val="22"/>
                      <w:lang w:eastAsia="zh-CN"/>
                    </w:rPr>
                    <w:t>进行处理，达标尾气通过一根15米高排气筒（DA001）排放。生产线2</w:t>
                  </w:r>
                  <w:r>
                    <w:rPr>
                      <w:rFonts w:hint="eastAsia"/>
                      <w:szCs w:val="22"/>
                      <w:lang w:val="en-US" w:eastAsia="zh-CN"/>
                    </w:rPr>
                    <w:t>#</w:t>
                  </w:r>
                  <w:r>
                    <w:rPr>
                      <w:rFonts w:hint="eastAsia" w:eastAsia="宋体"/>
                      <w:szCs w:val="22"/>
                      <w:lang w:eastAsia="zh-CN"/>
                    </w:rPr>
                    <w:t>的烘干废气、加烤废气分别经密闭管道收集后，与经水帘柜处理后的喷漆废气合并，共同进入</w:t>
                  </w:r>
                  <w:r>
                    <w:rPr>
                      <w:rFonts w:hint="eastAsia"/>
                      <w:szCs w:val="22"/>
                      <w:lang w:eastAsia="zh-CN"/>
                    </w:rPr>
                    <w:t>“</w:t>
                  </w:r>
                  <w:r>
                    <w:rPr>
                      <w:rFonts w:hint="eastAsia" w:eastAsia="宋体"/>
                      <w:szCs w:val="22"/>
                      <w:lang w:eastAsia="zh-CN"/>
                    </w:rPr>
                    <w:t>过滤棉+活性炭吸附装置</w:t>
                  </w:r>
                  <w:r>
                    <w:rPr>
                      <w:rFonts w:hint="eastAsia"/>
                      <w:szCs w:val="22"/>
                      <w:lang w:eastAsia="zh-CN"/>
                    </w:rPr>
                    <w:t>”2#</w:t>
                  </w:r>
                  <w:r>
                    <w:rPr>
                      <w:rFonts w:hint="eastAsia" w:eastAsia="宋体"/>
                      <w:szCs w:val="22"/>
                      <w:lang w:eastAsia="zh-CN"/>
                    </w:rPr>
                    <w:t>进行处理，达标尾气通过一根15米高排气筒（DA002）排放</w:t>
                  </w:r>
                  <w:r>
                    <w:rPr>
                      <w:rFonts w:hint="eastAsia"/>
                      <w:szCs w:val="22"/>
                      <w:lang w:eastAsia="zh-CN"/>
                    </w:rPr>
                    <w:t>；</w:t>
                  </w:r>
                  <w:r>
                    <w:rPr>
                      <w:rFonts w:hint="eastAsia"/>
                      <w:szCs w:val="22"/>
                      <w:lang w:val="en-US" w:eastAsia="zh-CN"/>
                    </w:rPr>
                    <w:t>生产线3#</w:t>
                  </w:r>
                  <w:r>
                    <w:rPr>
                      <w:rFonts w:hint="eastAsia" w:eastAsia="宋体"/>
                      <w:szCs w:val="22"/>
                      <w:lang w:eastAsia="zh-CN"/>
                    </w:rPr>
                    <w:t>的烘干废气、加烤废气分别经密闭管道收集后，与经水帘柜处理后的喷漆废气合并，共同进入</w:t>
                  </w:r>
                  <w:r>
                    <w:rPr>
                      <w:rFonts w:hint="eastAsia"/>
                      <w:szCs w:val="22"/>
                      <w:lang w:eastAsia="zh-CN"/>
                    </w:rPr>
                    <w:t>“</w:t>
                  </w:r>
                  <w:r>
                    <w:rPr>
                      <w:rFonts w:hint="eastAsia" w:eastAsia="宋体"/>
                      <w:szCs w:val="22"/>
                      <w:lang w:eastAsia="zh-CN"/>
                    </w:rPr>
                    <w:t>过滤棉+活性炭吸附装置</w:t>
                  </w:r>
                  <w:r>
                    <w:rPr>
                      <w:rFonts w:hint="eastAsia"/>
                      <w:szCs w:val="22"/>
                      <w:lang w:val="en-US" w:eastAsia="zh-CN"/>
                    </w:rPr>
                    <w:t>”3#</w:t>
                  </w:r>
                  <w:r>
                    <w:rPr>
                      <w:rFonts w:hint="eastAsia" w:eastAsia="宋体"/>
                      <w:szCs w:val="22"/>
                      <w:lang w:eastAsia="zh-CN"/>
                    </w:rPr>
                    <w:t>进行处理，达标尾气通过一根15米高排气筒（DA00</w:t>
                  </w:r>
                  <w:r>
                    <w:rPr>
                      <w:rFonts w:hint="eastAsia"/>
                      <w:szCs w:val="22"/>
                      <w:lang w:val="en-US" w:eastAsia="zh-CN"/>
                    </w:rPr>
                    <w:t>3</w:t>
                  </w:r>
                  <w:r>
                    <w:rPr>
                      <w:rFonts w:hint="eastAsia" w:eastAsia="宋体"/>
                      <w:szCs w:val="22"/>
                      <w:lang w:eastAsia="zh-CN"/>
                    </w:rPr>
                    <w:t>）排放。</w:t>
                  </w:r>
                </w:p>
              </w:tc>
            </w:tr>
            <w:tr w14:paraId="25E477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6" w:hRule="atLeast"/>
                <w:jc w:val="center"/>
              </w:trPr>
              <w:tc>
                <w:tcPr>
                  <w:tcW w:w="238" w:type="pct"/>
                  <w:vMerge w:val="restart"/>
                  <w:noWrap w:val="0"/>
                  <w:vAlign w:val="center"/>
                </w:tcPr>
                <w:p w14:paraId="64C6B99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固废</w:t>
                  </w:r>
                </w:p>
              </w:tc>
              <w:tc>
                <w:tcPr>
                  <w:tcW w:w="456" w:type="pct"/>
                  <w:noWrap w:val="0"/>
                  <w:vAlign w:val="center"/>
                </w:tcPr>
                <w:p w14:paraId="0713393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一般工业固废</w:t>
                  </w:r>
                </w:p>
              </w:tc>
              <w:tc>
                <w:tcPr>
                  <w:tcW w:w="860" w:type="pct"/>
                  <w:noWrap w:val="0"/>
                  <w:vAlign w:val="center"/>
                </w:tcPr>
                <w:p w14:paraId="15A39CB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检验</w:t>
                  </w:r>
                </w:p>
              </w:tc>
              <w:tc>
                <w:tcPr>
                  <w:tcW w:w="1277" w:type="pct"/>
                  <w:tcBorders>
                    <w:bottom w:val="single" w:color="auto" w:sz="4" w:space="0"/>
                  </w:tcBorders>
                  <w:noWrap w:val="0"/>
                  <w:vAlign w:val="center"/>
                </w:tcPr>
                <w:p w14:paraId="21EFB51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S5不合格产品</w:t>
                  </w:r>
                </w:p>
              </w:tc>
              <w:tc>
                <w:tcPr>
                  <w:tcW w:w="2167" w:type="pct"/>
                  <w:noWrap w:val="0"/>
                  <w:vAlign w:val="center"/>
                </w:tcPr>
                <w:p w14:paraId="66606C1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退回待加工产品综合利用</w:t>
                  </w:r>
                </w:p>
              </w:tc>
            </w:tr>
            <w:tr w14:paraId="02A5C1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1" w:hRule="atLeast"/>
                <w:jc w:val="center"/>
              </w:trPr>
              <w:tc>
                <w:tcPr>
                  <w:tcW w:w="238" w:type="pct"/>
                  <w:vMerge w:val="continue"/>
                  <w:noWrap w:val="0"/>
                  <w:vAlign w:val="center"/>
                </w:tcPr>
                <w:p w14:paraId="529A7271">
                  <w:pPr>
                    <w:pStyle w:val="38"/>
                    <w:keepNext w:val="0"/>
                    <w:keepLines w:val="0"/>
                    <w:widowControl/>
                    <w:suppressLineNumbers w:val="0"/>
                    <w:bidi w:val="0"/>
                    <w:spacing w:before="0" w:beforeAutospacing="0" w:after="0" w:afterAutospacing="0"/>
                    <w:ind w:left="0" w:right="0"/>
                    <w:rPr>
                      <w:rFonts w:hint="eastAsia"/>
                      <w:szCs w:val="22"/>
                    </w:rPr>
                  </w:pPr>
                </w:p>
              </w:tc>
              <w:tc>
                <w:tcPr>
                  <w:tcW w:w="456" w:type="pct"/>
                  <w:vMerge w:val="restart"/>
                  <w:noWrap w:val="0"/>
                  <w:vAlign w:val="center"/>
                </w:tcPr>
                <w:p w14:paraId="44A615D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危险废物</w:t>
                  </w:r>
                </w:p>
              </w:tc>
              <w:tc>
                <w:tcPr>
                  <w:tcW w:w="860" w:type="pct"/>
                  <w:vMerge w:val="restart"/>
                  <w:noWrap w:val="0"/>
                  <w:vAlign w:val="center"/>
                </w:tcPr>
                <w:p w14:paraId="43870C90">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喷漆</w:t>
                  </w:r>
                </w:p>
              </w:tc>
              <w:tc>
                <w:tcPr>
                  <w:tcW w:w="1277" w:type="pct"/>
                  <w:noWrap w:val="0"/>
                  <w:vAlign w:val="center"/>
                </w:tcPr>
                <w:p w14:paraId="5AA2772A">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val="en-US" w:eastAsia="zh-CN"/>
                    </w:rPr>
                    <w:t>S1</w:t>
                  </w:r>
                  <w:r>
                    <w:rPr>
                      <w:rFonts w:hint="default"/>
                      <w:szCs w:val="22"/>
                      <w:lang w:val="en-US" w:eastAsia="zh-CN"/>
                    </w:rPr>
                    <w:t>水帘柜废液</w:t>
                  </w:r>
                </w:p>
              </w:tc>
              <w:tc>
                <w:tcPr>
                  <w:tcW w:w="2167" w:type="pct"/>
                  <w:vMerge w:val="restart"/>
                  <w:noWrap w:val="0"/>
                  <w:vAlign w:val="center"/>
                </w:tcPr>
                <w:p w14:paraId="32DA52E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分类收集暂存于</w:t>
                  </w:r>
                  <w:r>
                    <w:rPr>
                      <w:rFonts w:hint="eastAsia"/>
                      <w:szCs w:val="22"/>
                      <w:lang w:eastAsia="zh-CN"/>
                    </w:rPr>
                    <w:t>危废贮存库</w:t>
                  </w:r>
                  <w:r>
                    <w:rPr>
                      <w:rFonts w:hint="eastAsia"/>
                      <w:szCs w:val="22"/>
                    </w:rPr>
                    <w:t>，委托资质的单位定期外运处置</w:t>
                  </w:r>
                </w:p>
              </w:tc>
            </w:tr>
            <w:tr w14:paraId="1B8630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7" w:hRule="atLeast"/>
                <w:jc w:val="center"/>
              </w:trPr>
              <w:tc>
                <w:tcPr>
                  <w:tcW w:w="238" w:type="pct"/>
                  <w:vMerge w:val="continue"/>
                  <w:noWrap w:val="0"/>
                  <w:vAlign w:val="center"/>
                </w:tcPr>
                <w:p w14:paraId="2AA99491">
                  <w:pPr>
                    <w:pStyle w:val="38"/>
                    <w:keepNext w:val="0"/>
                    <w:keepLines w:val="0"/>
                    <w:widowControl/>
                    <w:suppressLineNumbers w:val="0"/>
                    <w:bidi w:val="0"/>
                    <w:spacing w:before="0" w:beforeAutospacing="0" w:after="0" w:afterAutospacing="0"/>
                    <w:ind w:left="0" w:right="0"/>
                    <w:rPr>
                      <w:rFonts w:hint="eastAsia"/>
                      <w:szCs w:val="22"/>
                    </w:rPr>
                  </w:pPr>
                </w:p>
              </w:tc>
              <w:tc>
                <w:tcPr>
                  <w:tcW w:w="456" w:type="pct"/>
                  <w:vMerge w:val="continue"/>
                  <w:noWrap w:val="0"/>
                  <w:vAlign w:val="center"/>
                </w:tcPr>
                <w:p w14:paraId="4FB877D7">
                  <w:pPr>
                    <w:pStyle w:val="38"/>
                    <w:keepNext w:val="0"/>
                    <w:keepLines w:val="0"/>
                    <w:widowControl/>
                    <w:suppressLineNumbers w:val="0"/>
                    <w:bidi w:val="0"/>
                    <w:spacing w:before="0" w:beforeAutospacing="0" w:after="0" w:afterAutospacing="0"/>
                    <w:ind w:left="0" w:right="0"/>
                    <w:rPr>
                      <w:rFonts w:hint="eastAsia"/>
                      <w:szCs w:val="22"/>
                    </w:rPr>
                  </w:pPr>
                </w:p>
              </w:tc>
              <w:tc>
                <w:tcPr>
                  <w:tcW w:w="860" w:type="pct"/>
                  <w:vMerge w:val="continue"/>
                  <w:noWrap w:val="0"/>
                  <w:vAlign w:val="center"/>
                </w:tcPr>
                <w:p w14:paraId="6A0EA200">
                  <w:pPr>
                    <w:pStyle w:val="38"/>
                    <w:keepNext w:val="0"/>
                    <w:keepLines w:val="0"/>
                    <w:widowControl/>
                    <w:suppressLineNumbers w:val="0"/>
                    <w:bidi w:val="0"/>
                    <w:spacing w:before="0" w:beforeAutospacing="0" w:after="0" w:afterAutospacing="0"/>
                    <w:ind w:left="0" w:right="0"/>
                    <w:rPr>
                      <w:rFonts w:hint="eastAsia"/>
                      <w:szCs w:val="22"/>
                      <w:lang w:eastAsia="zh-CN"/>
                    </w:rPr>
                  </w:pPr>
                </w:p>
              </w:tc>
              <w:tc>
                <w:tcPr>
                  <w:tcW w:w="1277" w:type="pct"/>
                  <w:noWrap w:val="0"/>
                  <w:vAlign w:val="center"/>
                </w:tcPr>
                <w:p w14:paraId="1DC66F3A">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val="en-US" w:eastAsia="zh-CN"/>
                    </w:rPr>
                    <w:t>S2</w:t>
                  </w:r>
                  <w:r>
                    <w:rPr>
                      <w:rFonts w:hint="default"/>
                      <w:szCs w:val="22"/>
                      <w:lang w:val="en-US" w:eastAsia="zh-CN"/>
                    </w:rPr>
                    <w:t>废漆渣</w:t>
                  </w:r>
                </w:p>
              </w:tc>
              <w:tc>
                <w:tcPr>
                  <w:tcW w:w="2167" w:type="pct"/>
                  <w:vMerge w:val="continue"/>
                  <w:noWrap w:val="0"/>
                  <w:vAlign w:val="center"/>
                </w:tcPr>
                <w:p w14:paraId="0764D757">
                  <w:pPr>
                    <w:pStyle w:val="38"/>
                    <w:keepNext w:val="0"/>
                    <w:keepLines w:val="0"/>
                    <w:widowControl/>
                    <w:suppressLineNumbers w:val="0"/>
                    <w:bidi w:val="0"/>
                    <w:spacing w:before="0" w:beforeAutospacing="0" w:after="0" w:afterAutospacing="0"/>
                    <w:ind w:left="0" w:right="0"/>
                    <w:rPr>
                      <w:rFonts w:hint="eastAsia"/>
                      <w:szCs w:val="22"/>
                    </w:rPr>
                  </w:pPr>
                </w:p>
              </w:tc>
            </w:tr>
            <w:tr w14:paraId="060360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7" w:hRule="atLeast"/>
                <w:jc w:val="center"/>
              </w:trPr>
              <w:tc>
                <w:tcPr>
                  <w:tcW w:w="238" w:type="pct"/>
                  <w:vMerge w:val="continue"/>
                  <w:noWrap w:val="0"/>
                  <w:vAlign w:val="center"/>
                </w:tcPr>
                <w:p w14:paraId="209D9DBB">
                  <w:pPr>
                    <w:pStyle w:val="38"/>
                    <w:keepNext w:val="0"/>
                    <w:keepLines w:val="0"/>
                    <w:widowControl/>
                    <w:suppressLineNumbers w:val="0"/>
                    <w:bidi w:val="0"/>
                    <w:spacing w:before="0" w:beforeAutospacing="0" w:after="0" w:afterAutospacing="0"/>
                    <w:ind w:left="0" w:right="0"/>
                    <w:rPr>
                      <w:rFonts w:hint="eastAsia"/>
                      <w:szCs w:val="22"/>
                    </w:rPr>
                  </w:pPr>
                </w:p>
              </w:tc>
              <w:tc>
                <w:tcPr>
                  <w:tcW w:w="456" w:type="pct"/>
                  <w:vMerge w:val="continue"/>
                  <w:noWrap w:val="0"/>
                  <w:vAlign w:val="center"/>
                </w:tcPr>
                <w:p w14:paraId="3BB08C16">
                  <w:pPr>
                    <w:pStyle w:val="38"/>
                    <w:keepNext w:val="0"/>
                    <w:keepLines w:val="0"/>
                    <w:widowControl/>
                    <w:suppressLineNumbers w:val="0"/>
                    <w:bidi w:val="0"/>
                    <w:spacing w:before="0" w:beforeAutospacing="0" w:after="0" w:afterAutospacing="0"/>
                    <w:ind w:left="0" w:right="0"/>
                    <w:rPr>
                      <w:rFonts w:hint="eastAsia"/>
                      <w:szCs w:val="22"/>
                    </w:rPr>
                  </w:pPr>
                </w:p>
              </w:tc>
              <w:tc>
                <w:tcPr>
                  <w:tcW w:w="860" w:type="pct"/>
                  <w:vMerge w:val="continue"/>
                  <w:noWrap w:val="0"/>
                  <w:vAlign w:val="center"/>
                </w:tcPr>
                <w:p w14:paraId="382C4D44">
                  <w:pPr>
                    <w:pStyle w:val="38"/>
                    <w:keepNext w:val="0"/>
                    <w:keepLines w:val="0"/>
                    <w:widowControl/>
                    <w:suppressLineNumbers w:val="0"/>
                    <w:bidi w:val="0"/>
                    <w:spacing w:before="0" w:beforeAutospacing="0" w:after="0" w:afterAutospacing="0"/>
                    <w:ind w:left="0" w:right="0"/>
                    <w:rPr>
                      <w:rFonts w:hint="eastAsia"/>
                      <w:szCs w:val="22"/>
                      <w:lang w:eastAsia="zh-CN"/>
                    </w:rPr>
                  </w:pPr>
                </w:p>
              </w:tc>
              <w:tc>
                <w:tcPr>
                  <w:tcW w:w="1277" w:type="pct"/>
                  <w:noWrap w:val="0"/>
                  <w:vAlign w:val="center"/>
                </w:tcPr>
                <w:p w14:paraId="2B3617B7">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val="en-US" w:eastAsia="zh-CN"/>
                    </w:rPr>
                    <w:t>S3废水性漆桶</w:t>
                  </w:r>
                </w:p>
              </w:tc>
              <w:tc>
                <w:tcPr>
                  <w:tcW w:w="2167" w:type="pct"/>
                  <w:vMerge w:val="continue"/>
                  <w:noWrap w:val="0"/>
                  <w:vAlign w:val="center"/>
                </w:tcPr>
                <w:p w14:paraId="07698458">
                  <w:pPr>
                    <w:pStyle w:val="38"/>
                    <w:keepNext w:val="0"/>
                    <w:keepLines w:val="0"/>
                    <w:widowControl/>
                    <w:suppressLineNumbers w:val="0"/>
                    <w:bidi w:val="0"/>
                    <w:spacing w:before="0" w:beforeAutospacing="0" w:after="0" w:afterAutospacing="0"/>
                    <w:ind w:left="0" w:right="0"/>
                    <w:rPr>
                      <w:rFonts w:hint="eastAsia"/>
                      <w:szCs w:val="22"/>
                    </w:rPr>
                  </w:pPr>
                </w:p>
              </w:tc>
            </w:tr>
            <w:tr w14:paraId="3F529E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7" w:hRule="atLeast"/>
                <w:jc w:val="center"/>
              </w:trPr>
              <w:tc>
                <w:tcPr>
                  <w:tcW w:w="238" w:type="pct"/>
                  <w:vMerge w:val="continue"/>
                  <w:noWrap w:val="0"/>
                  <w:vAlign w:val="center"/>
                </w:tcPr>
                <w:p w14:paraId="3162DB22">
                  <w:pPr>
                    <w:pStyle w:val="38"/>
                    <w:keepNext w:val="0"/>
                    <w:keepLines w:val="0"/>
                    <w:widowControl/>
                    <w:suppressLineNumbers w:val="0"/>
                    <w:bidi w:val="0"/>
                    <w:spacing w:before="0" w:beforeAutospacing="0" w:after="0" w:afterAutospacing="0"/>
                    <w:ind w:left="0" w:right="0"/>
                    <w:rPr>
                      <w:rFonts w:hint="eastAsia"/>
                      <w:szCs w:val="22"/>
                    </w:rPr>
                  </w:pPr>
                </w:p>
              </w:tc>
              <w:tc>
                <w:tcPr>
                  <w:tcW w:w="456" w:type="pct"/>
                  <w:vMerge w:val="continue"/>
                  <w:noWrap w:val="0"/>
                  <w:vAlign w:val="center"/>
                </w:tcPr>
                <w:p w14:paraId="0034E8CF">
                  <w:pPr>
                    <w:pStyle w:val="38"/>
                    <w:keepNext w:val="0"/>
                    <w:keepLines w:val="0"/>
                    <w:widowControl/>
                    <w:suppressLineNumbers w:val="0"/>
                    <w:bidi w:val="0"/>
                    <w:spacing w:before="0" w:beforeAutospacing="0" w:after="0" w:afterAutospacing="0"/>
                    <w:ind w:left="0" w:right="0"/>
                    <w:rPr>
                      <w:rFonts w:hint="eastAsia"/>
                      <w:szCs w:val="22"/>
                    </w:rPr>
                  </w:pPr>
                </w:p>
              </w:tc>
              <w:tc>
                <w:tcPr>
                  <w:tcW w:w="860" w:type="pct"/>
                  <w:vMerge w:val="continue"/>
                  <w:noWrap w:val="0"/>
                  <w:vAlign w:val="center"/>
                </w:tcPr>
                <w:p w14:paraId="2DCFF0B3">
                  <w:pPr>
                    <w:pStyle w:val="38"/>
                    <w:keepNext w:val="0"/>
                    <w:keepLines w:val="0"/>
                    <w:widowControl/>
                    <w:suppressLineNumbers w:val="0"/>
                    <w:bidi w:val="0"/>
                    <w:spacing w:before="0" w:beforeAutospacing="0" w:after="0" w:afterAutospacing="0"/>
                    <w:ind w:left="0" w:right="0"/>
                    <w:rPr>
                      <w:rFonts w:hint="eastAsia"/>
                      <w:szCs w:val="22"/>
                      <w:lang w:eastAsia="zh-CN"/>
                    </w:rPr>
                  </w:pPr>
                </w:p>
              </w:tc>
              <w:tc>
                <w:tcPr>
                  <w:tcW w:w="1277" w:type="pct"/>
                  <w:noWrap w:val="0"/>
                  <w:vAlign w:val="center"/>
                </w:tcPr>
                <w:p w14:paraId="0F6620ED">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val="en-US" w:eastAsia="zh-CN"/>
                    </w:rPr>
                    <w:t>S4废油性漆桶</w:t>
                  </w:r>
                </w:p>
              </w:tc>
              <w:tc>
                <w:tcPr>
                  <w:tcW w:w="2167" w:type="pct"/>
                  <w:vMerge w:val="continue"/>
                  <w:noWrap w:val="0"/>
                  <w:vAlign w:val="center"/>
                </w:tcPr>
                <w:p w14:paraId="735C4577">
                  <w:pPr>
                    <w:pStyle w:val="38"/>
                    <w:keepNext w:val="0"/>
                    <w:keepLines w:val="0"/>
                    <w:widowControl/>
                    <w:suppressLineNumbers w:val="0"/>
                    <w:bidi w:val="0"/>
                    <w:spacing w:before="0" w:beforeAutospacing="0" w:after="0" w:afterAutospacing="0"/>
                    <w:ind w:left="0" w:right="0"/>
                    <w:rPr>
                      <w:rFonts w:hint="eastAsia"/>
                      <w:szCs w:val="22"/>
                    </w:rPr>
                  </w:pPr>
                </w:p>
              </w:tc>
            </w:tr>
            <w:tr w14:paraId="74C8C6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7" w:hRule="atLeast"/>
                <w:jc w:val="center"/>
              </w:trPr>
              <w:tc>
                <w:tcPr>
                  <w:tcW w:w="238" w:type="pct"/>
                  <w:vMerge w:val="continue"/>
                  <w:noWrap w:val="0"/>
                  <w:vAlign w:val="center"/>
                </w:tcPr>
                <w:p w14:paraId="3A8F5AD7">
                  <w:pPr>
                    <w:pStyle w:val="38"/>
                    <w:keepNext w:val="0"/>
                    <w:keepLines w:val="0"/>
                    <w:widowControl/>
                    <w:suppressLineNumbers w:val="0"/>
                    <w:bidi w:val="0"/>
                    <w:spacing w:before="0" w:beforeAutospacing="0" w:after="0" w:afterAutospacing="0"/>
                    <w:ind w:left="0" w:right="0"/>
                    <w:rPr>
                      <w:rFonts w:hint="eastAsia"/>
                      <w:szCs w:val="22"/>
                    </w:rPr>
                  </w:pPr>
                </w:p>
              </w:tc>
              <w:tc>
                <w:tcPr>
                  <w:tcW w:w="456" w:type="pct"/>
                  <w:vMerge w:val="continue"/>
                  <w:noWrap w:val="0"/>
                  <w:vAlign w:val="center"/>
                </w:tcPr>
                <w:p w14:paraId="1F6258F7">
                  <w:pPr>
                    <w:pStyle w:val="38"/>
                    <w:keepNext w:val="0"/>
                    <w:keepLines w:val="0"/>
                    <w:widowControl/>
                    <w:suppressLineNumbers w:val="0"/>
                    <w:bidi w:val="0"/>
                    <w:spacing w:before="0" w:beforeAutospacing="0" w:after="0" w:afterAutospacing="0"/>
                    <w:ind w:left="0" w:right="0"/>
                    <w:rPr>
                      <w:rFonts w:hint="eastAsia"/>
                      <w:szCs w:val="22"/>
                    </w:rPr>
                  </w:pPr>
                </w:p>
              </w:tc>
              <w:tc>
                <w:tcPr>
                  <w:tcW w:w="860" w:type="pct"/>
                  <w:vMerge w:val="restart"/>
                  <w:noWrap w:val="0"/>
                  <w:vAlign w:val="center"/>
                </w:tcPr>
                <w:p w14:paraId="1A548A15">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废气处理</w:t>
                  </w:r>
                </w:p>
              </w:tc>
              <w:tc>
                <w:tcPr>
                  <w:tcW w:w="1277" w:type="pct"/>
                  <w:noWrap w:val="0"/>
                  <w:vAlign w:val="center"/>
                </w:tcPr>
                <w:p w14:paraId="34F74EFC">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S6</w:t>
                  </w:r>
                  <w:r>
                    <w:rPr>
                      <w:rFonts w:hint="default"/>
                      <w:szCs w:val="22"/>
                      <w:lang w:val="en-US" w:eastAsia="zh-CN"/>
                    </w:rPr>
                    <w:t>废活性炭</w:t>
                  </w:r>
                </w:p>
              </w:tc>
              <w:tc>
                <w:tcPr>
                  <w:tcW w:w="2167" w:type="pct"/>
                  <w:vMerge w:val="continue"/>
                  <w:noWrap w:val="0"/>
                  <w:vAlign w:val="center"/>
                </w:tcPr>
                <w:p w14:paraId="394A5D5C">
                  <w:pPr>
                    <w:pStyle w:val="38"/>
                    <w:keepNext w:val="0"/>
                    <w:keepLines w:val="0"/>
                    <w:widowControl/>
                    <w:suppressLineNumbers w:val="0"/>
                    <w:bidi w:val="0"/>
                    <w:spacing w:before="0" w:beforeAutospacing="0" w:after="0" w:afterAutospacing="0"/>
                    <w:ind w:left="0" w:right="0"/>
                    <w:rPr>
                      <w:rFonts w:hint="eastAsia"/>
                      <w:szCs w:val="22"/>
                    </w:rPr>
                  </w:pPr>
                </w:p>
              </w:tc>
            </w:tr>
            <w:tr w14:paraId="52EFB7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7" w:hRule="atLeast"/>
                <w:jc w:val="center"/>
              </w:trPr>
              <w:tc>
                <w:tcPr>
                  <w:tcW w:w="238" w:type="pct"/>
                  <w:vMerge w:val="continue"/>
                  <w:noWrap w:val="0"/>
                  <w:vAlign w:val="center"/>
                </w:tcPr>
                <w:p w14:paraId="14CA0B0B">
                  <w:pPr>
                    <w:pStyle w:val="38"/>
                    <w:keepNext w:val="0"/>
                    <w:keepLines w:val="0"/>
                    <w:widowControl/>
                    <w:suppressLineNumbers w:val="0"/>
                    <w:bidi w:val="0"/>
                    <w:spacing w:before="0" w:beforeAutospacing="0" w:after="0" w:afterAutospacing="0"/>
                    <w:ind w:left="0" w:right="0"/>
                    <w:rPr>
                      <w:rFonts w:hint="eastAsia"/>
                      <w:szCs w:val="22"/>
                    </w:rPr>
                  </w:pPr>
                </w:p>
              </w:tc>
              <w:tc>
                <w:tcPr>
                  <w:tcW w:w="456" w:type="pct"/>
                  <w:vMerge w:val="continue"/>
                  <w:noWrap w:val="0"/>
                  <w:vAlign w:val="center"/>
                </w:tcPr>
                <w:p w14:paraId="7E9922C1">
                  <w:pPr>
                    <w:pStyle w:val="38"/>
                    <w:keepNext w:val="0"/>
                    <w:keepLines w:val="0"/>
                    <w:widowControl/>
                    <w:suppressLineNumbers w:val="0"/>
                    <w:bidi w:val="0"/>
                    <w:spacing w:before="0" w:beforeAutospacing="0" w:after="0" w:afterAutospacing="0"/>
                    <w:ind w:left="0" w:right="0"/>
                    <w:rPr>
                      <w:rFonts w:hint="eastAsia"/>
                      <w:szCs w:val="22"/>
                    </w:rPr>
                  </w:pPr>
                </w:p>
              </w:tc>
              <w:tc>
                <w:tcPr>
                  <w:tcW w:w="860" w:type="pct"/>
                  <w:vMerge w:val="continue"/>
                  <w:noWrap w:val="0"/>
                  <w:vAlign w:val="center"/>
                </w:tcPr>
                <w:p w14:paraId="0F6F7FCD">
                  <w:pPr>
                    <w:pStyle w:val="38"/>
                    <w:keepNext w:val="0"/>
                    <w:keepLines w:val="0"/>
                    <w:widowControl/>
                    <w:suppressLineNumbers w:val="0"/>
                    <w:bidi w:val="0"/>
                    <w:spacing w:before="0" w:beforeAutospacing="0" w:after="0" w:afterAutospacing="0"/>
                    <w:ind w:left="0" w:right="0"/>
                    <w:rPr>
                      <w:rFonts w:hint="default"/>
                      <w:szCs w:val="22"/>
                      <w:lang w:val="en-US" w:eastAsia="zh-CN"/>
                    </w:rPr>
                  </w:pPr>
                </w:p>
              </w:tc>
              <w:tc>
                <w:tcPr>
                  <w:tcW w:w="1277" w:type="pct"/>
                  <w:noWrap w:val="0"/>
                  <w:vAlign w:val="center"/>
                </w:tcPr>
                <w:p w14:paraId="3FAB8C0F">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S7废过滤棉</w:t>
                  </w:r>
                </w:p>
              </w:tc>
              <w:tc>
                <w:tcPr>
                  <w:tcW w:w="2167" w:type="pct"/>
                  <w:vMerge w:val="continue"/>
                  <w:noWrap w:val="0"/>
                  <w:vAlign w:val="center"/>
                </w:tcPr>
                <w:p w14:paraId="47323F9B">
                  <w:pPr>
                    <w:pStyle w:val="38"/>
                    <w:keepNext w:val="0"/>
                    <w:keepLines w:val="0"/>
                    <w:widowControl/>
                    <w:suppressLineNumbers w:val="0"/>
                    <w:bidi w:val="0"/>
                    <w:spacing w:before="0" w:beforeAutospacing="0" w:after="0" w:afterAutospacing="0"/>
                    <w:ind w:left="0" w:right="0"/>
                    <w:rPr>
                      <w:rFonts w:hint="eastAsia"/>
                      <w:szCs w:val="22"/>
                    </w:rPr>
                  </w:pPr>
                </w:p>
              </w:tc>
            </w:tr>
            <w:tr w14:paraId="64BC81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7" w:hRule="atLeast"/>
                <w:jc w:val="center"/>
              </w:trPr>
              <w:tc>
                <w:tcPr>
                  <w:tcW w:w="238" w:type="pct"/>
                  <w:vMerge w:val="continue"/>
                  <w:noWrap w:val="0"/>
                  <w:vAlign w:val="center"/>
                </w:tcPr>
                <w:p w14:paraId="268EE161">
                  <w:pPr>
                    <w:pStyle w:val="38"/>
                    <w:keepNext w:val="0"/>
                    <w:keepLines w:val="0"/>
                    <w:widowControl/>
                    <w:suppressLineNumbers w:val="0"/>
                    <w:bidi w:val="0"/>
                    <w:spacing w:before="0" w:beforeAutospacing="0" w:after="0" w:afterAutospacing="0"/>
                    <w:ind w:left="0" w:right="0"/>
                    <w:rPr>
                      <w:rFonts w:hint="eastAsia"/>
                      <w:szCs w:val="22"/>
                    </w:rPr>
                  </w:pPr>
                </w:p>
              </w:tc>
              <w:tc>
                <w:tcPr>
                  <w:tcW w:w="456" w:type="pct"/>
                  <w:vMerge w:val="continue"/>
                  <w:noWrap w:val="0"/>
                  <w:vAlign w:val="center"/>
                </w:tcPr>
                <w:p w14:paraId="4E67D782">
                  <w:pPr>
                    <w:pStyle w:val="38"/>
                    <w:keepNext w:val="0"/>
                    <w:keepLines w:val="0"/>
                    <w:widowControl/>
                    <w:suppressLineNumbers w:val="0"/>
                    <w:bidi w:val="0"/>
                    <w:spacing w:before="0" w:beforeAutospacing="0" w:after="0" w:afterAutospacing="0"/>
                    <w:ind w:left="0" w:right="0"/>
                    <w:rPr>
                      <w:rFonts w:hint="eastAsia"/>
                      <w:szCs w:val="22"/>
                    </w:rPr>
                  </w:pPr>
                </w:p>
              </w:tc>
              <w:tc>
                <w:tcPr>
                  <w:tcW w:w="860" w:type="pct"/>
                  <w:noWrap w:val="0"/>
                  <w:vAlign w:val="center"/>
                </w:tcPr>
                <w:p w14:paraId="4529294A">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设备保养、检修等</w:t>
                  </w:r>
                </w:p>
              </w:tc>
              <w:tc>
                <w:tcPr>
                  <w:tcW w:w="1277" w:type="pct"/>
                  <w:noWrap w:val="0"/>
                  <w:vAlign w:val="center"/>
                </w:tcPr>
                <w:p w14:paraId="3DF06205">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S8</w:t>
                  </w:r>
                  <w:r>
                    <w:rPr>
                      <w:rFonts w:hint="default"/>
                      <w:szCs w:val="22"/>
                    </w:rPr>
                    <w:t>废机油</w:t>
                  </w:r>
                </w:p>
              </w:tc>
              <w:tc>
                <w:tcPr>
                  <w:tcW w:w="2167" w:type="pct"/>
                  <w:vMerge w:val="continue"/>
                  <w:noWrap w:val="0"/>
                  <w:vAlign w:val="center"/>
                </w:tcPr>
                <w:p w14:paraId="0D1CDAC8">
                  <w:pPr>
                    <w:pStyle w:val="38"/>
                    <w:keepNext w:val="0"/>
                    <w:keepLines w:val="0"/>
                    <w:widowControl/>
                    <w:suppressLineNumbers w:val="0"/>
                    <w:bidi w:val="0"/>
                    <w:spacing w:before="0" w:beforeAutospacing="0" w:after="0" w:afterAutospacing="0"/>
                    <w:ind w:left="0" w:right="0"/>
                    <w:rPr>
                      <w:rFonts w:hint="eastAsia"/>
                      <w:szCs w:val="22"/>
                    </w:rPr>
                  </w:pPr>
                </w:p>
              </w:tc>
            </w:tr>
            <w:tr w14:paraId="174D9E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noWrap w:val="0"/>
                  <w:vAlign w:val="center"/>
                </w:tcPr>
                <w:p w14:paraId="7C1BE2F6">
                  <w:pPr>
                    <w:pStyle w:val="38"/>
                    <w:keepNext w:val="0"/>
                    <w:keepLines w:val="0"/>
                    <w:widowControl/>
                    <w:suppressLineNumbers w:val="0"/>
                    <w:bidi w:val="0"/>
                    <w:spacing w:before="0" w:beforeAutospacing="0" w:after="0" w:afterAutospacing="0"/>
                    <w:ind w:left="0" w:right="0"/>
                    <w:rPr>
                      <w:rFonts w:hint="eastAsia"/>
                      <w:szCs w:val="22"/>
                    </w:rPr>
                  </w:pPr>
                </w:p>
              </w:tc>
              <w:tc>
                <w:tcPr>
                  <w:tcW w:w="1316" w:type="pct"/>
                  <w:gridSpan w:val="2"/>
                  <w:noWrap w:val="0"/>
                  <w:vAlign w:val="center"/>
                </w:tcPr>
                <w:p w14:paraId="0F9F354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职工生活垃圾</w:t>
                  </w:r>
                </w:p>
              </w:tc>
              <w:tc>
                <w:tcPr>
                  <w:tcW w:w="1277" w:type="pct"/>
                  <w:noWrap w:val="0"/>
                  <w:vAlign w:val="center"/>
                </w:tcPr>
                <w:p w14:paraId="0A39F64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纸屑、果皮、塑料盒、塑料袋等</w:t>
                  </w:r>
                </w:p>
              </w:tc>
              <w:tc>
                <w:tcPr>
                  <w:tcW w:w="2167" w:type="pct"/>
                  <w:noWrap w:val="0"/>
                  <w:vAlign w:val="center"/>
                </w:tcPr>
                <w:p w14:paraId="163D90F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委托环卫部门统一外运处置</w:t>
                  </w:r>
                </w:p>
              </w:tc>
            </w:tr>
            <w:tr w14:paraId="3E99E6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94" w:type="pct"/>
                  <w:gridSpan w:val="2"/>
                  <w:noWrap w:val="0"/>
                  <w:vAlign w:val="center"/>
                </w:tcPr>
                <w:p w14:paraId="4185D04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噪声</w:t>
                  </w:r>
                </w:p>
              </w:tc>
              <w:tc>
                <w:tcPr>
                  <w:tcW w:w="860" w:type="pct"/>
                  <w:noWrap w:val="0"/>
                  <w:vAlign w:val="center"/>
                </w:tcPr>
                <w:p w14:paraId="0E48C78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机械设备</w:t>
                  </w:r>
                </w:p>
              </w:tc>
              <w:tc>
                <w:tcPr>
                  <w:tcW w:w="1277" w:type="pct"/>
                  <w:noWrap w:val="0"/>
                  <w:vAlign w:val="center"/>
                </w:tcPr>
                <w:p w14:paraId="5DCDFDD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Leq</w:t>
                  </w:r>
                </w:p>
              </w:tc>
              <w:tc>
                <w:tcPr>
                  <w:tcW w:w="2167" w:type="pct"/>
                  <w:noWrap w:val="0"/>
                  <w:vAlign w:val="center"/>
                </w:tcPr>
                <w:p w14:paraId="11F09FB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厂房隔声、设备基础减振等综合降噪措施</w:t>
                  </w:r>
                </w:p>
              </w:tc>
            </w:tr>
          </w:tbl>
          <w:p w14:paraId="13FC5C4D">
            <w:pPr>
              <w:keepNext w:val="0"/>
              <w:keepLines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kern w:val="2"/>
                <w:sz w:val="24"/>
                <w:szCs w:val="24"/>
                <w:lang w:val="en-US" w:eastAsia="zh-CN" w:bidi="ar-SA"/>
              </w:rPr>
            </w:pPr>
          </w:p>
        </w:tc>
      </w:tr>
      <w:tr w14:paraId="2B50A0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823" w:type="dxa"/>
            <w:noWrap w:val="0"/>
            <w:vAlign w:val="center"/>
          </w:tcPr>
          <w:p w14:paraId="3D42C0A6">
            <w:pPr>
              <w:pStyle w:val="40"/>
              <w:keepNext w:val="0"/>
              <w:keepLines w:val="0"/>
              <w:suppressLineNumbers w:val="0"/>
              <w:bidi w:val="0"/>
              <w:spacing w:before="0" w:beforeAutospacing="0" w:after="0" w:afterAutospacing="0"/>
              <w:ind w:left="0" w:right="0"/>
              <w:rPr>
                <w:rFonts w:hint="eastAsia"/>
              </w:rPr>
            </w:pPr>
            <w:r>
              <w:rPr>
                <w:rFonts w:hint="eastAsia"/>
              </w:rPr>
              <w:t>与项目有关的原有环境污染问题</w:t>
            </w:r>
          </w:p>
        </w:tc>
        <w:tc>
          <w:tcPr>
            <w:tcW w:w="8161" w:type="dxa"/>
            <w:noWrap w:val="0"/>
            <w:vAlign w:val="center"/>
          </w:tcPr>
          <w:p w14:paraId="1E089155">
            <w:pPr>
              <w:pStyle w:val="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现有工程概况和污染源分析</w:t>
            </w:r>
          </w:p>
          <w:p w14:paraId="0D71C0B7">
            <w:pPr>
              <w:pStyle w:val="4"/>
              <w:suppressLineNumbers w:val="0"/>
              <w:bidi w:val="0"/>
              <w:spacing w:before="0" w:beforeAutospacing="0" w:after="0" w:afterAutospacing="0"/>
              <w:ind w:left="0" w:right="0"/>
              <w:rPr>
                <w:rFonts w:hint="eastAsia"/>
                <w:color w:val="000000"/>
                <w:lang w:val="en-US" w:eastAsia="zh-CN"/>
              </w:rPr>
            </w:pPr>
            <w:r>
              <w:rPr>
                <w:rFonts w:hint="eastAsia"/>
                <w:color w:val="000000"/>
                <w:lang w:val="en-US" w:eastAsia="zh-CN"/>
              </w:rPr>
              <w:t>现有项目基本情况</w:t>
            </w:r>
          </w:p>
          <w:p w14:paraId="1DDD6C66">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本公司现有项目位于福建省福州市福清融侨经济技术开发区（租赁东光精密钟表（福清）有限公司5号厂房2层），</w:t>
            </w:r>
            <w:r>
              <w:rPr>
                <w:rFonts w:hint="eastAsia" w:ascii="Times New Roman" w:hAnsi="Times New Roman" w:eastAsia="宋体" w:cs="Times New Roman"/>
                <w:color w:val="auto"/>
                <w:sz w:val="24"/>
                <w:szCs w:val="24"/>
                <w:highlight w:val="none"/>
                <w:lang w:val="en-US" w:eastAsia="zh-CN"/>
              </w:rPr>
              <w:t>年加工铝合金20万套、塑胶件5万套、钣金件5万套</w:t>
            </w:r>
            <w:r>
              <w:rPr>
                <w:rFonts w:hint="eastAsia"/>
                <w:b w:val="0"/>
                <w:color w:val="000000"/>
                <w:lang w:val="en-US" w:eastAsia="zh-CN"/>
              </w:rPr>
              <w:t>，</w:t>
            </w:r>
            <w:r>
              <w:rPr>
                <w:rFonts w:hint="eastAsia"/>
                <w:lang w:val="en-US" w:eastAsia="zh-CN"/>
              </w:rPr>
              <w:t>2023年7月委托福州朴诚至信环保科技有限公司编写了《</w:t>
            </w:r>
            <w:r>
              <w:rPr>
                <w:rFonts w:hint="eastAsia"/>
                <w:lang w:eastAsia="zh-CN"/>
              </w:rPr>
              <w:t>福清市三合电子科技有限公司年加工铝合金20万套、塑胶件5万套、板金件5万套项目</w:t>
            </w:r>
            <w:r>
              <w:rPr>
                <w:rFonts w:hint="eastAsia"/>
                <w:lang w:val="en-US" w:eastAsia="zh-CN"/>
              </w:rPr>
              <w:t>环境影响评价报告表》，2023年9月1日通过福清市生态环境局的审批（榕融环评〔2023〕80号）。</w:t>
            </w:r>
            <w:r>
              <w:rPr>
                <w:rFonts w:hint="eastAsia"/>
                <w:b w:val="0"/>
                <w:color w:val="000000"/>
                <w:lang w:val="en-US" w:eastAsia="zh-CN"/>
              </w:rPr>
              <w:t>2023年11月通过验收，实际验收</w:t>
            </w:r>
            <w:r>
              <w:rPr>
                <w:rFonts w:hint="eastAsia" w:ascii="Times New Roman" w:hAnsi="Times New Roman" w:eastAsia="宋体" w:cs="Times New Roman"/>
                <w:color w:val="auto"/>
                <w:sz w:val="24"/>
                <w:szCs w:val="24"/>
                <w:highlight w:val="none"/>
                <w:lang w:val="en-US" w:eastAsia="zh-CN"/>
              </w:rPr>
              <w:t>年加工铝合金20万套、塑胶件5万套、钣金件5万套</w:t>
            </w:r>
            <w:r>
              <w:rPr>
                <w:rFonts w:hint="eastAsia"/>
                <w:b w:val="0"/>
                <w:color w:val="000000"/>
                <w:lang w:val="en-US" w:eastAsia="zh-CN"/>
              </w:rPr>
              <w:t>，现有项目员工10人，均</w:t>
            </w:r>
            <w:r>
              <w:rPr>
                <w:rFonts w:hint="default"/>
              </w:rPr>
              <w:t>不住厂</w:t>
            </w:r>
            <w:r>
              <w:rPr>
                <w:rFonts w:hint="eastAsia"/>
                <w:lang w:eastAsia="zh-CN"/>
              </w:rPr>
              <w:t>，</w:t>
            </w:r>
            <w:r>
              <w:rPr>
                <w:rFonts w:hint="eastAsia"/>
                <w:lang w:val="en-US" w:eastAsia="zh-CN"/>
              </w:rPr>
              <w:t>全年工作300天，2023年11月13日取得</w:t>
            </w:r>
            <w:r>
              <w:rPr>
                <w:rFonts w:hint="eastAsia" w:ascii="Times New Roman" w:hAnsi="Times New Roman" w:eastAsia="宋体" w:cs="Times New Roman"/>
                <w:color w:val="auto"/>
                <w:sz w:val="24"/>
                <w:szCs w:val="24"/>
                <w:highlight w:val="none"/>
                <w:lang w:val="en-US" w:eastAsia="zh-CN"/>
              </w:rPr>
              <w:t>固定污染源排污登记回执（登记编号：91350181MACMRCPFOR001X）</w:t>
            </w:r>
            <w:r>
              <w:rPr>
                <w:rFonts w:hint="eastAsia"/>
                <w:lang w:val="en-US" w:eastAsia="zh-CN"/>
              </w:rPr>
              <w:t>。现有项目环保手续一览表见表2.4-1。</w:t>
            </w:r>
          </w:p>
          <w:p w14:paraId="25117A4A">
            <w:pPr>
              <w:pStyle w:val="39"/>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表2.4-1现有项目环保手续一览表</w:t>
            </w:r>
          </w:p>
          <w:tbl>
            <w:tblPr>
              <w:tblStyle w:val="29"/>
              <w:tblW w:w="491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1579"/>
              <w:gridCol w:w="1211"/>
              <w:gridCol w:w="1394"/>
              <w:gridCol w:w="641"/>
              <w:gridCol w:w="3421"/>
            </w:tblGrid>
            <w:tr w14:paraId="7E0CA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409" w:hRule="atLeast"/>
                <w:jc w:val="center"/>
              </w:trPr>
              <w:tc>
                <w:tcPr>
                  <w:tcW w:w="1123" w:type="pct"/>
                  <w:tcBorders>
                    <w:top w:val="single" w:color="000000" w:sz="12" w:space="0"/>
                    <w:left w:val="nil"/>
                    <w:tl2br w:val="nil"/>
                    <w:tr2bl w:val="nil"/>
                  </w:tcBorders>
                  <w:shd w:val="clear" w:color="auto" w:fill="auto"/>
                  <w:noWrap w:val="0"/>
                  <w:vAlign w:val="center"/>
                </w:tcPr>
                <w:p w14:paraId="3531D7A8">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eastAsia="zh-CN"/>
                    </w:rPr>
                    <w:t>项目</w:t>
                  </w:r>
                  <w:r>
                    <w:rPr>
                      <w:rFonts w:hint="default"/>
                      <w:b w:val="0"/>
                      <w:color w:val="000000"/>
                      <w:szCs w:val="22"/>
                    </w:rPr>
                    <w:t>名称</w:t>
                  </w:r>
                </w:p>
              </w:tc>
              <w:tc>
                <w:tcPr>
                  <w:tcW w:w="900" w:type="pct"/>
                  <w:tcBorders>
                    <w:top w:val="single" w:color="000000" w:sz="12" w:space="0"/>
                    <w:tl2br w:val="nil"/>
                    <w:tr2bl w:val="nil"/>
                  </w:tcBorders>
                  <w:shd w:val="clear" w:color="auto" w:fill="auto"/>
                  <w:noWrap w:val="0"/>
                  <w:vAlign w:val="center"/>
                </w:tcPr>
                <w:p w14:paraId="7D53BBF1">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 xml:space="preserve">建设内容 </w:t>
                  </w:r>
                </w:p>
              </w:tc>
              <w:tc>
                <w:tcPr>
                  <w:tcW w:w="1011" w:type="pct"/>
                  <w:tcBorders>
                    <w:top w:val="single" w:color="000000" w:sz="12" w:space="0"/>
                    <w:tl2br w:val="nil"/>
                    <w:tr2bl w:val="nil"/>
                  </w:tcBorders>
                  <w:shd w:val="clear" w:color="auto" w:fill="auto"/>
                  <w:noWrap w:val="0"/>
                  <w:vAlign w:val="center"/>
                </w:tcPr>
                <w:p w14:paraId="42F1129E">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default"/>
                      <w:b w:val="0"/>
                      <w:color w:val="000000"/>
                      <w:szCs w:val="22"/>
                      <w:lang w:val="en-US" w:eastAsia="zh-CN"/>
                    </w:rPr>
                    <w:t>环评批复</w:t>
                  </w:r>
                </w:p>
              </w:tc>
              <w:tc>
                <w:tcPr>
                  <w:tcW w:w="554" w:type="pct"/>
                  <w:tcBorders>
                    <w:top w:val="single" w:color="000000" w:sz="12" w:space="0"/>
                    <w:tl2br w:val="nil"/>
                    <w:tr2bl w:val="nil"/>
                  </w:tcBorders>
                  <w:shd w:val="clear" w:color="auto" w:fill="auto"/>
                  <w:noWrap w:val="0"/>
                  <w:vAlign w:val="center"/>
                </w:tcPr>
                <w:p w14:paraId="0817C21D">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default"/>
                      <w:b w:val="0"/>
                      <w:color w:val="000000"/>
                      <w:szCs w:val="22"/>
                      <w:lang w:val="en-US" w:eastAsia="zh-CN"/>
                    </w:rPr>
                    <w:t>环保验收情况</w:t>
                  </w:r>
                </w:p>
              </w:tc>
              <w:tc>
                <w:tcPr>
                  <w:tcW w:w="1410" w:type="pct"/>
                  <w:tcBorders>
                    <w:top w:val="single" w:color="000000" w:sz="12" w:space="0"/>
                    <w:right w:val="nil"/>
                    <w:tl2br w:val="nil"/>
                    <w:tr2bl w:val="nil"/>
                  </w:tcBorders>
                  <w:shd w:val="clear" w:color="auto" w:fill="auto"/>
                  <w:noWrap w:val="0"/>
                  <w:vAlign w:val="center"/>
                </w:tcPr>
                <w:p w14:paraId="7D303413">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eastAsia"/>
                      <w:b w:val="0"/>
                      <w:color w:val="000000"/>
                      <w:szCs w:val="22"/>
                      <w:lang w:val="en-US" w:eastAsia="zh-CN"/>
                    </w:rPr>
                    <w:t>排污许可手续</w:t>
                  </w:r>
                </w:p>
              </w:tc>
            </w:tr>
            <w:tr w14:paraId="1E9E3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73" w:hRule="atLeast"/>
                <w:jc w:val="center"/>
              </w:trPr>
              <w:tc>
                <w:tcPr>
                  <w:tcW w:w="1123" w:type="pct"/>
                  <w:tcBorders>
                    <w:left w:val="nil"/>
                    <w:bottom w:val="single" w:color="000000" w:sz="12" w:space="0"/>
                    <w:tl2br w:val="nil"/>
                    <w:tr2bl w:val="nil"/>
                  </w:tcBorders>
                  <w:shd w:val="clear" w:color="auto" w:fill="auto"/>
                  <w:noWrap w:val="0"/>
                  <w:vAlign w:val="center"/>
                </w:tcPr>
                <w:p w14:paraId="182E2A3A">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eastAsia"/>
                      <w:b w:val="0"/>
                      <w:color w:val="000000"/>
                      <w:szCs w:val="22"/>
                      <w:lang w:val="en-US" w:eastAsia="zh-CN"/>
                    </w:rPr>
                    <w:t>《</w:t>
                  </w:r>
                  <w:r>
                    <w:rPr>
                      <w:rFonts w:hint="eastAsia"/>
                      <w:b w:val="0"/>
                      <w:color w:val="000000"/>
                      <w:szCs w:val="22"/>
                      <w:lang w:eastAsia="zh-CN"/>
                    </w:rPr>
                    <w:t>福清市三合电子科技有限公司年加工铝合金20万套、塑胶件5万套、板金件5万套项目</w:t>
                  </w:r>
                  <w:r>
                    <w:rPr>
                      <w:rFonts w:hint="eastAsia"/>
                      <w:b w:val="0"/>
                      <w:color w:val="000000"/>
                      <w:szCs w:val="22"/>
                      <w:lang w:val="en-US" w:eastAsia="zh-CN"/>
                    </w:rPr>
                    <w:t>》</w:t>
                  </w:r>
                </w:p>
              </w:tc>
              <w:tc>
                <w:tcPr>
                  <w:tcW w:w="900" w:type="pct"/>
                  <w:tcBorders>
                    <w:bottom w:val="single" w:color="000000" w:sz="12" w:space="0"/>
                    <w:tl2br w:val="nil"/>
                    <w:tr2bl w:val="nil"/>
                  </w:tcBorders>
                  <w:shd w:val="clear" w:color="auto" w:fill="auto"/>
                  <w:noWrap w:val="0"/>
                  <w:vAlign w:val="center"/>
                </w:tcPr>
                <w:p w14:paraId="37A7BECC">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eastAsia"/>
                      <w:b w:val="0"/>
                      <w:color w:val="000000"/>
                      <w:szCs w:val="22"/>
                      <w:lang w:eastAsia="zh-CN"/>
                    </w:rPr>
                    <w:t>年加工铝合金20万套、塑胶件5万套、板金件5万套</w:t>
                  </w:r>
                </w:p>
              </w:tc>
              <w:tc>
                <w:tcPr>
                  <w:tcW w:w="1011" w:type="pct"/>
                  <w:tcBorders>
                    <w:bottom w:val="single" w:color="000000" w:sz="12" w:space="0"/>
                    <w:tl2br w:val="nil"/>
                    <w:tr2bl w:val="nil"/>
                  </w:tcBorders>
                  <w:shd w:val="clear" w:color="auto" w:fill="auto"/>
                  <w:noWrap w:val="0"/>
                  <w:vAlign w:val="center"/>
                </w:tcPr>
                <w:p w14:paraId="68634DCB">
                  <w:pPr>
                    <w:pStyle w:val="38"/>
                    <w:keepNext w:val="0"/>
                    <w:keepLines w:val="0"/>
                    <w:widowControl/>
                    <w:suppressLineNumbers w:val="0"/>
                    <w:bidi w:val="0"/>
                    <w:spacing w:before="0" w:beforeAutospacing="0" w:after="0" w:afterAutospacing="0"/>
                    <w:ind w:left="0" w:right="0"/>
                    <w:rPr>
                      <w:rFonts w:hint="eastAsia"/>
                      <w:b w:val="0"/>
                      <w:color w:val="000000"/>
                      <w:szCs w:val="22"/>
                      <w:lang w:val="en-US" w:eastAsia="zh-CN"/>
                    </w:rPr>
                  </w:pPr>
                  <w:r>
                    <w:rPr>
                      <w:rFonts w:hint="eastAsia"/>
                      <w:b w:val="0"/>
                      <w:color w:val="000000"/>
                      <w:szCs w:val="22"/>
                      <w:lang w:val="en-US" w:eastAsia="zh-CN"/>
                    </w:rPr>
                    <w:t>2023年9月1日通过福清市生态环境局的审批（榕融环评〔2023〕80号）</w:t>
                  </w:r>
                </w:p>
              </w:tc>
              <w:tc>
                <w:tcPr>
                  <w:tcW w:w="554" w:type="pct"/>
                  <w:tcBorders>
                    <w:bottom w:val="single" w:color="000000" w:sz="12" w:space="0"/>
                    <w:tl2br w:val="nil"/>
                    <w:tr2bl w:val="nil"/>
                  </w:tcBorders>
                  <w:shd w:val="clear" w:color="auto" w:fill="auto"/>
                  <w:noWrap w:val="0"/>
                  <w:vAlign w:val="center"/>
                </w:tcPr>
                <w:p w14:paraId="7782CD92">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eastAsia"/>
                      <w:b w:val="0"/>
                      <w:color w:val="000000"/>
                      <w:szCs w:val="22"/>
                      <w:lang w:val="en-US" w:eastAsia="zh-CN"/>
                    </w:rPr>
                    <w:t>于2023年11月通过验收</w:t>
                  </w:r>
                </w:p>
              </w:tc>
              <w:tc>
                <w:tcPr>
                  <w:tcW w:w="1410" w:type="pct"/>
                  <w:tcBorders>
                    <w:bottom w:val="single" w:color="000000" w:sz="12" w:space="0"/>
                    <w:right w:val="nil"/>
                    <w:tl2br w:val="nil"/>
                    <w:tr2bl w:val="nil"/>
                  </w:tcBorders>
                  <w:shd w:val="clear" w:color="auto" w:fill="auto"/>
                  <w:noWrap w:val="0"/>
                  <w:vAlign w:val="center"/>
                </w:tcPr>
                <w:p w14:paraId="7CB86B05">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eastAsia"/>
                      <w:b w:val="0"/>
                      <w:color w:val="000000"/>
                      <w:szCs w:val="22"/>
                      <w:lang w:val="en-US" w:eastAsia="zh-CN"/>
                    </w:rPr>
                    <w:t>2023年11月13日取得</w:t>
                  </w:r>
                  <w:r>
                    <w:rPr>
                      <w:rFonts w:hint="eastAsia" w:ascii="Times New Roman" w:hAnsi="Times New Roman" w:eastAsia="宋体" w:cs="Times New Roman"/>
                      <w:b w:val="0"/>
                      <w:color w:val="000000"/>
                      <w:sz w:val="24"/>
                      <w:szCs w:val="24"/>
                      <w:highlight w:val="none"/>
                      <w:lang w:val="en-US" w:eastAsia="zh-CN"/>
                    </w:rPr>
                    <w:t>固定污染源排污登记回执（登记编号：91350181MACMRCPFOR001X）</w:t>
                  </w:r>
                </w:p>
              </w:tc>
            </w:tr>
          </w:tbl>
          <w:p w14:paraId="61C33BBA">
            <w:pPr>
              <w:pStyle w:val="4"/>
              <w:suppressLineNumbers w:val="0"/>
              <w:tabs>
                <w:tab w:val="left" w:pos="420"/>
                <w:tab w:val="clear" w:pos="0"/>
              </w:tabs>
              <w:bidi w:val="0"/>
              <w:spacing w:before="0" w:beforeAutospacing="0" w:after="0" w:afterAutospacing="0"/>
              <w:ind w:left="0" w:right="0"/>
              <w:rPr>
                <w:rFonts w:hint="eastAsia"/>
                <w:lang w:val="en-US" w:eastAsia="zh-CN"/>
              </w:rPr>
            </w:pPr>
            <w:r>
              <w:rPr>
                <w:rFonts w:hint="eastAsia"/>
                <w:lang w:val="en-US" w:eastAsia="zh-CN"/>
              </w:rPr>
              <w:t>现有项目基本概况</w:t>
            </w:r>
          </w:p>
          <w:p w14:paraId="51653520">
            <w:pPr>
              <w:keepNext w:val="0"/>
              <w:keepLines w:val="0"/>
              <w:suppressLineNumbers w:val="0"/>
              <w:bidi w:val="0"/>
              <w:spacing w:before="0" w:beforeAutospacing="0" w:after="0" w:afterAutospacing="0"/>
              <w:ind w:left="0" w:right="0"/>
              <w:rPr>
                <w:rFonts w:hint="eastAsia"/>
                <w:lang w:eastAsia="zh-CN"/>
              </w:rPr>
            </w:pPr>
            <w:r>
              <w:rPr>
                <w:rFonts w:hint="eastAsia"/>
                <w:lang w:eastAsia="zh-CN"/>
              </w:rPr>
              <w:t>（</w:t>
            </w:r>
            <w:r>
              <w:rPr>
                <w:rFonts w:hint="eastAsia"/>
                <w:lang w:val="en-US" w:eastAsia="zh-CN"/>
              </w:rPr>
              <w:t>1</w:t>
            </w:r>
            <w:r>
              <w:rPr>
                <w:rFonts w:hint="eastAsia"/>
                <w:lang w:eastAsia="zh-CN"/>
              </w:rPr>
              <w:t>）</w:t>
            </w:r>
            <w:r>
              <w:rPr>
                <w:rFonts w:hint="eastAsia"/>
              </w:rPr>
              <w:t>项目名称：</w:t>
            </w:r>
            <w:r>
              <w:rPr>
                <w:rFonts w:hint="eastAsia"/>
                <w:lang w:eastAsia="zh-CN"/>
              </w:rPr>
              <w:t>福清市三合电子科技有限公司年加工铝合金20万套、塑胶件5万套、板金件5万套项目</w:t>
            </w:r>
          </w:p>
          <w:p w14:paraId="03583448">
            <w:pPr>
              <w:keepNext w:val="0"/>
              <w:keepLines w:val="0"/>
              <w:suppressLineNumbers w:val="0"/>
              <w:bidi w:val="0"/>
              <w:spacing w:before="0" w:beforeAutospacing="0" w:after="0" w:afterAutospacing="0"/>
              <w:ind w:left="0" w:right="0"/>
              <w:rPr>
                <w:rFonts w:hint="eastAsia"/>
              </w:rPr>
            </w:pPr>
            <w:r>
              <w:rPr>
                <w:rFonts w:hint="eastAsia"/>
              </w:rPr>
              <w:t>（2）建设单位：</w:t>
            </w:r>
            <w:r>
              <w:rPr>
                <w:rFonts w:hint="eastAsia"/>
                <w:lang w:eastAsia="zh-CN"/>
              </w:rPr>
              <w:t>福清市三合电子科技有限公司</w:t>
            </w:r>
          </w:p>
          <w:p w14:paraId="5CCC167C">
            <w:pPr>
              <w:keepNext w:val="0"/>
              <w:keepLines w:val="0"/>
              <w:suppressLineNumbers w:val="0"/>
              <w:bidi w:val="0"/>
              <w:spacing w:before="0" w:beforeAutospacing="0" w:after="0" w:afterAutospacing="0"/>
              <w:ind w:left="0" w:right="0"/>
              <w:rPr>
                <w:rFonts w:hint="default"/>
              </w:rPr>
            </w:pPr>
            <w:r>
              <w:rPr>
                <w:rFonts w:hint="eastAsia"/>
              </w:rPr>
              <w:t>（3）建设地点：福建省福州市福清融侨经济技术开发区</w:t>
            </w:r>
            <w:r>
              <w:rPr>
                <w:rFonts w:hint="eastAsia"/>
                <w:lang w:eastAsia="zh-CN"/>
              </w:rPr>
              <w:t>（</w:t>
            </w:r>
            <w:r>
              <w:rPr>
                <w:rFonts w:hint="eastAsia"/>
              </w:rPr>
              <w:t>租赁东光精密钟表</w:t>
            </w:r>
            <w:r>
              <w:rPr>
                <w:rFonts w:hint="eastAsia"/>
                <w:lang w:eastAsia="zh-CN"/>
              </w:rPr>
              <w:t>（</w:t>
            </w:r>
            <w:r>
              <w:rPr>
                <w:rFonts w:hint="eastAsia"/>
              </w:rPr>
              <w:t>福清</w:t>
            </w:r>
            <w:r>
              <w:rPr>
                <w:rFonts w:hint="eastAsia"/>
                <w:lang w:eastAsia="zh-CN"/>
              </w:rPr>
              <w:t>）</w:t>
            </w:r>
            <w:r>
              <w:rPr>
                <w:rFonts w:hint="eastAsia"/>
              </w:rPr>
              <w:t>有限公司</w:t>
            </w:r>
            <w:r>
              <w:rPr>
                <w:rFonts w:hint="eastAsia"/>
                <w:lang w:eastAsia="zh-CN"/>
              </w:rPr>
              <w:t>5号厂房2层</w:t>
            </w:r>
            <w:r>
              <w:rPr>
                <w:rFonts w:hint="eastAsia"/>
              </w:rPr>
              <w:t>）</w:t>
            </w:r>
          </w:p>
          <w:p w14:paraId="014EDAB1">
            <w:pPr>
              <w:keepNext w:val="0"/>
              <w:keepLines w:val="0"/>
              <w:suppressLineNumbers w:val="0"/>
              <w:bidi w:val="0"/>
              <w:spacing w:before="0" w:beforeAutospacing="0" w:after="0" w:afterAutospacing="0"/>
              <w:ind w:left="0" w:right="0"/>
              <w:rPr>
                <w:rFonts w:hint="eastAsia"/>
              </w:rPr>
            </w:pPr>
            <w:r>
              <w:rPr>
                <w:rFonts w:hint="eastAsia"/>
              </w:rPr>
              <w:t>（4）总 投 资：</w:t>
            </w:r>
            <w:r>
              <w:rPr>
                <w:rFonts w:hint="eastAsia"/>
                <w:lang w:val="en-US" w:eastAsia="zh-CN"/>
              </w:rPr>
              <w:t>60</w:t>
            </w:r>
            <w:r>
              <w:rPr>
                <w:rFonts w:hint="eastAsia"/>
              </w:rPr>
              <w:t>万元</w:t>
            </w:r>
          </w:p>
          <w:p w14:paraId="53DA104A">
            <w:pPr>
              <w:keepNext w:val="0"/>
              <w:keepLines w:val="0"/>
              <w:suppressLineNumbers w:val="0"/>
              <w:bidi w:val="0"/>
              <w:spacing w:before="0" w:beforeAutospacing="0" w:after="0" w:afterAutospacing="0"/>
              <w:ind w:left="0" w:right="0"/>
              <w:rPr>
                <w:rFonts w:hint="eastAsia"/>
              </w:rPr>
            </w:pPr>
            <w:r>
              <w:rPr>
                <w:rFonts w:hint="eastAsia"/>
              </w:rPr>
              <w:t>（5）生产规模：</w:t>
            </w:r>
            <w:r>
              <w:rPr>
                <w:rFonts w:hint="eastAsia"/>
                <w:lang w:val="en-US" w:eastAsia="zh-CN"/>
              </w:rPr>
              <w:t>年加工铝合金20万套、塑胶件5万套、钣金件5万套</w:t>
            </w:r>
          </w:p>
          <w:p w14:paraId="237A3C0F">
            <w:pPr>
              <w:keepNext w:val="0"/>
              <w:keepLines w:val="0"/>
              <w:suppressLineNumbers w:val="0"/>
              <w:bidi w:val="0"/>
              <w:spacing w:before="0" w:beforeAutospacing="0" w:after="0" w:afterAutospacing="0"/>
              <w:ind w:left="0" w:right="0"/>
              <w:rPr>
                <w:rFonts w:hint="eastAsia"/>
              </w:rPr>
            </w:pPr>
            <w:r>
              <w:rPr>
                <w:rFonts w:hint="eastAsia"/>
              </w:rPr>
              <w:t>（6）工程规模：主要建筑面积</w:t>
            </w:r>
            <w:r>
              <w:rPr>
                <w:rFonts w:hint="eastAsia"/>
                <w:lang w:val="en-US" w:eastAsia="zh-CN"/>
              </w:rPr>
              <w:t>749</w:t>
            </w:r>
            <w:r>
              <w:rPr>
                <w:rFonts w:hint="eastAsia"/>
              </w:rPr>
              <w:t>m</w:t>
            </w:r>
            <w:r>
              <w:rPr>
                <w:rFonts w:hint="eastAsia"/>
                <w:vertAlign w:val="superscript"/>
              </w:rPr>
              <w:t>2</w:t>
            </w:r>
          </w:p>
          <w:p w14:paraId="14F03530">
            <w:pPr>
              <w:keepNext w:val="0"/>
              <w:keepLines w:val="0"/>
              <w:suppressLineNumbers w:val="0"/>
              <w:bidi w:val="0"/>
              <w:spacing w:before="0" w:beforeAutospacing="0" w:after="0" w:afterAutospacing="0"/>
              <w:ind w:left="0" w:right="0"/>
              <w:rPr>
                <w:rFonts w:hint="default"/>
                <w:lang w:val="en-US" w:eastAsia="zh-CN"/>
              </w:rPr>
            </w:pPr>
            <w:r>
              <w:rPr>
                <w:rFonts w:hint="eastAsia"/>
              </w:rPr>
              <w:t>（7）生产定员：员工</w:t>
            </w:r>
            <w:r>
              <w:rPr>
                <w:rFonts w:hint="eastAsia"/>
                <w:lang w:val="en-US" w:eastAsia="zh-CN"/>
              </w:rPr>
              <w:t>10</w:t>
            </w:r>
            <w:r>
              <w:rPr>
                <w:rFonts w:hint="eastAsia"/>
              </w:rPr>
              <w:t>人（均</w:t>
            </w:r>
            <w:r>
              <w:rPr>
                <w:rFonts w:hint="eastAsia"/>
                <w:lang w:eastAsia="zh-CN"/>
              </w:rPr>
              <w:t>不</w:t>
            </w:r>
            <w:r>
              <w:rPr>
                <w:rFonts w:hint="eastAsia"/>
              </w:rPr>
              <w:t>住厂）</w:t>
            </w:r>
          </w:p>
          <w:p w14:paraId="4C4E3D1E">
            <w:pPr>
              <w:keepNext w:val="0"/>
              <w:keepLines w:val="0"/>
              <w:suppressLineNumbers w:val="0"/>
              <w:bidi w:val="0"/>
              <w:spacing w:before="0" w:beforeAutospacing="0" w:after="0" w:afterAutospacing="0"/>
              <w:ind w:left="0" w:right="0"/>
              <w:rPr>
                <w:rFonts w:hint="eastAsia"/>
                <w:lang w:val="en-US" w:eastAsia="zh-CN"/>
              </w:rPr>
            </w:pPr>
            <w:r>
              <w:rPr>
                <w:rFonts w:hint="eastAsia"/>
              </w:rPr>
              <w:t>（8）工作制度：</w:t>
            </w:r>
            <w:r>
              <w:rPr>
                <w:rFonts w:hint="default"/>
              </w:rPr>
              <w:t>年工作日</w:t>
            </w:r>
            <w:r>
              <w:rPr>
                <w:rFonts w:hint="default"/>
                <w:lang w:val="en-US" w:eastAsia="zh-CN"/>
              </w:rPr>
              <w:t>3</w:t>
            </w:r>
            <w:r>
              <w:rPr>
                <w:rFonts w:hint="eastAsia"/>
                <w:lang w:val="en-US" w:eastAsia="zh-CN"/>
              </w:rPr>
              <w:t>0</w:t>
            </w:r>
            <w:r>
              <w:rPr>
                <w:rFonts w:hint="default"/>
                <w:lang w:val="en-US" w:eastAsia="zh-CN"/>
              </w:rPr>
              <w:t>0</w:t>
            </w:r>
            <w:r>
              <w:rPr>
                <w:rFonts w:hint="default"/>
              </w:rPr>
              <w:t>天，实行</w:t>
            </w:r>
            <w:r>
              <w:rPr>
                <w:rFonts w:hint="eastAsia"/>
                <w:lang w:val="en-US" w:eastAsia="zh-CN"/>
              </w:rPr>
              <w:t>两</w:t>
            </w:r>
            <w:r>
              <w:rPr>
                <w:rFonts w:hint="default"/>
              </w:rPr>
              <w:t>班制，工作时间</w:t>
            </w:r>
            <w:r>
              <w:rPr>
                <w:rFonts w:hint="eastAsia"/>
                <w:lang w:val="en-US" w:eastAsia="zh-CN"/>
              </w:rPr>
              <w:t>12</w:t>
            </w:r>
            <w:r>
              <w:rPr>
                <w:rFonts w:hint="default"/>
              </w:rPr>
              <w:t>小时</w:t>
            </w:r>
            <w:r>
              <w:rPr>
                <w:rFonts w:hint="eastAsia"/>
                <w:lang w:val="en-US" w:eastAsia="zh-CN"/>
              </w:rPr>
              <w:t>/天</w:t>
            </w:r>
          </w:p>
          <w:p w14:paraId="64B5E884">
            <w:pPr>
              <w:pStyle w:val="4"/>
              <w:suppressLineNumbers w:val="0"/>
              <w:tabs>
                <w:tab w:val="left" w:pos="420"/>
                <w:tab w:val="clear" w:pos="0"/>
              </w:tabs>
              <w:bidi w:val="0"/>
              <w:spacing w:before="0" w:beforeAutospacing="0" w:after="0" w:afterAutospacing="0"/>
              <w:ind w:left="0" w:right="0"/>
              <w:rPr>
                <w:rFonts w:hint="eastAsia"/>
                <w:lang w:val="en-US" w:eastAsia="zh-CN"/>
              </w:rPr>
            </w:pPr>
            <w:r>
              <w:rPr>
                <w:rFonts w:hint="eastAsia"/>
                <w:lang w:val="en-US" w:eastAsia="zh-CN"/>
              </w:rPr>
              <w:t>现有项目产品方案</w:t>
            </w:r>
          </w:p>
          <w:p w14:paraId="481A0827">
            <w:pPr>
              <w:keepNext w:val="0"/>
              <w:keepLines w:val="0"/>
              <w:widowControl w:val="0"/>
              <w:suppressLineNumbers w:val="0"/>
              <w:bidi w:val="0"/>
              <w:spacing w:before="0" w:beforeAutospacing="0" w:after="0" w:afterAutospacing="0" w:line="360" w:lineRule="auto"/>
              <w:ind w:left="0" w:right="0" w:firstLine="480" w:firstLineChars="200"/>
              <w:jc w:val="both"/>
              <w:rPr>
                <w:rFonts w:hint="eastAsia" w:ascii="Times New Roman" w:hAnsi="Times New Roman" w:eastAsia="宋体" w:cs="宋体"/>
                <w:color w:val="000000"/>
                <w:kern w:val="2"/>
                <w:sz w:val="24"/>
                <w:szCs w:val="24"/>
                <w:lang w:val="en-US" w:eastAsia="zh-CN" w:bidi="ar-SA"/>
              </w:rPr>
            </w:pPr>
            <w:r>
              <w:rPr>
                <w:rFonts w:hint="eastAsia" w:ascii="Times New Roman" w:hAnsi="Times New Roman" w:eastAsia="宋体" w:cs="宋体"/>
                <w:color w:val="000000"/>
                <w:kern w:val="2"/>
                <w:sz w:val="24"/>
                <w:szCs w:val="24"/>
                <w:lang w:val="en-US" w:eastAsia="zh-CN" w:bidi="ar-SA"/>
              </w:rPr>
              <w:t>现有项目产品方案</w:t>
            </w:r>
            <w:r>
              <w:rPr>
                <w:rFonts w:hint="eastAsia" w:cs="宋体"/>
                <w:color w:val="000000"/>
                <w:kern w:val="2"/>
                <w:sz w:val="24"/>
                <w:szCs w:val="24"/>
                <w:lang w:val="en-US" w:eastAsia="zh-CN" w:bidi="ar-SA"/>
              </w:rPr>
              <w:t>详见表2.1-2</w:t>
            </w:r>
            <w:r>
              <w:rPr>
                <w:rFonts w:hint="eastAsia" w:ascii="Times New Roman" w:hAnsi="Times New Roman" w:eastAsia="宋体" w:cs="宋体"/>
                <w:color w:val="000000"/>
                <w:kern w:val="2"/>
                <w:sz w:val="24"/>
                <w:szCs w:val="24"/>
                <w:lang w:val="en-US" w:eastAsia="zh-CN" w:bidi="ar-SA"/>
              </w:rPr>
              <w:t>。</w:t>
            </w:r>
          </w:p>
          <w:p w14:paraId="00F3FB6C">
            <w:pPr>
              <w:pStyle w:val="4"/>
              <w:suppressLineNumbers w:val="0"/>
              <w:tabs>
                <w:tab w:val="left" w:pos="420"/>
                <w:tab w:val="clear" w:pos="0"/>
              </w:tabs>
              <w:bidi w:val="0"/>
              <w:spacing w:before="0" w:beforeAutospacing="0" w:after="0" w:afterAutospacing="0"/>
              <w:ind w:left="0" w:right="0"/>
              <w:rPr>
                <w:rFonts w:hint="eastAsia"/>
                <w:lang w:val="en-US" w:eastAsia="zh-CN"/>
              </w:rPr>
            </w:pPr>
            <w:r>
              <w:rPr>
                <w:rFonts w:hint="eastAsia"/>
                <w:lang w:val="en-US" w:eastAsia="zh-CN"/>
              </w:rPr>
              <w:t>现有项目主要原辅材料</w:t>
            </w:r>
          </w:p>
          <w:p w14:paraId="4BD8B4DF">
            <w:pPr>
              <w:keepNext w:val="0"/>
              <w:keepLines w:val="0"/>
              <w:widowControl w:val="0"/>
              <w:suppressLineNumbers w:val="0"/>
              <w:bidi w:val="0"/>
              <w:spacing w:before="0" w:beforeAutospacing="0" w:after="0" w:afterAutospacing="0" w:line="360" w:lineRule="auto"/>
              <w:ind w:left="0" w:right="0" w:firstLine="480" w:firstLineChars="200"/>
              <w:jc w:val="both"/>
              <w:rPr>
                <w:rFonts w:hint="eastAsia" w:ascii="Times New Roman" w:hAnsi="Times New Roman" w:eastAsia="宋体" w:cs="宋体"/>
                <w:color w:val="000000"/>
                <w:kern w:val="2"/>
                <w:sz w:val="24"/>
                <w:szCs w:val="24"/>
                <w:lang w:val="en-US" w:eastAsia="zh-CN" w:bidi="ar-SA"/>
              </w:rPr>
            </w:pPr>
            <w:r>
              <w:rPr>
                <w:rFonts w:hint="eastAsia" w:ascii="Times New Roman" w:hAnsi="Times New Roman" w:eastAsia="宋体" w:cs="宋体"/>
                <w:color w:val="000000"/>
                <w:kern w:val="2"/>
                <w:sz w:val="24"/>
                <w:szCs w:val="24"/>
                <w:lang w:val="en-US" w:eastAsia="zh-CN" w:bidi="ar-SA"/>
              </w:rPr>
              <w:t>现有项目主要原辅材料</w:t>
            </w:r>
            <w:r>
              <w:rPr>
                <w:rFonts w:hint="eastAsia" w:cs="宋体"/>
                <w:color w:val="000000"/>
                <w:kern w:val="2"/>
                <w:sz w:val="24"/>
                <w:szCs w:val="24"/>
                <w:lang w:val="en-US" w:eastAsia="zh-CN" w:bidi="ar-SA"/>
              </w:rPr>
              <w:t>详见表2.1-5</w:t>
            </w:r>
            <w:r>
              <w:rPr>
                <w:rFonts w:hint="eastAsia" w:ascii="Times New Roman" w:hAnsi="Times New Roman" w:eastAsia="宋体" w:cs="宋体"/>
                <w:color w:val="000000"/>
                <w:kern w:val="2"/>
                <w:sz w:val="24"/>
                <w:szCs w:val="24"/>
                <w:lang w:val="en-US" w:eastAsia="zh-CN" w:bidi="ar-SA"/>
              </w:rPr>
              <w:t>。</w:t>
            </w:r>
          </w:p>
          <w:p w14:paraId="4597985F">
            <w:pPr>
              <w:pStyle w:val="4"/>
              <w:suppressLineNumbers w:val="0"/>
              <w:tabs>
                <w:tab w:val="left" w:pos="420"/>
                <w:tab w:val="clear" w:pos="0"/>
              </w:tabs>
              <w:bidi w:val="0"/>
              <w:spacing w:before="0" w:beforeAutospacing="0" w:after="0" w:afterAutospacing="0"/>
              <w:ind w:left="0" w:right="0"/>
              <w:rPr>
                <w:rFonts w:hint="eastAsia"/>
                <w:lang w:val="en-US" w:eastAsia="zh-CN"/>
              </w:rPr>
            </w:pPr>
            <w:r>
              <w:rPr>
                <w:rFonts w:hint="eastAsia"/>
                <w:lang w:val="en-US" w:eastAsia="zh-CN"/>
              </w:rPr>
              <w:t>现有项目主要能源消耗</w:t>
            </w:r>
          </w:p>
          <w:p w14:paraId="39020315">
            <w:pPr>
              <w:keepNext w:val="0"/>
              <w:keepLines w:val="0"/>
              <w:widowControl w:val="0"/>
              <w:suppressLineNumbers w:val="0"/>
              <w:bidi w:val="0"/>
              <w:spacing w:before="0" w:beforeAutospacing="0" w:after="0" w:afterAutospacing="0" w:line="360" w:lineRule="auto"/>
              <w:ind w:left="0" w:right="0" w:firstLine="480" w:firstLineChars="200"/>
              <w:jc w:val="both"/>
              <w:rPr>
                <w:rFonts w:hint="eastAsia" w:ascii="Times New Roman" w:hAnsi="Times New Roman" w:eastAsia="宋体" w:cs="宋体"/>
                <w:color w:val="000000"/>
                <w:kern w:val="2"/>
                <w:sz w:val="24"/>
                <w:szCs w:val="24"/>
                <w:lang w:val="en-US" w:eastAsia="zh-CN" w:bidi="ar-SA"/>
              </w:rPr>
            </w:pPr>
            <w:r>
              <w:rPr>
                <w:rFonts w:hint="eastAsia" w:ascii="Times New Roman" w:hAnsi="Times New Roman" w:eastAsia="宋体" w:cs="宋体"/>
                <w:color w:val="000000"/>
                <w:kern w:val="2"/>
                <w:sz w:val="24"/>
                <w:szCs w:val="24"/>
                <w:lang w:val="en-US" w:eastAsia="zh-CN" w:bidi="ar-SA"/>
              </w:rPr>
              <w:t>现有项目主要能源消耗</w:t>
            </w:r>
            <w:r>
              <w:rPr>
                <w:rFonts w:hint="eastAsia" w:cs="宋体"/>
                <w:color w:val="000000"/>
                <w:kern w:val="2"/>
                <w:sz w:val="24"/>
                <w:szCs w:val="24"/>
                <w:lang w:val="en-US" w:eastAsia="zh-CN" w:bidi="ar-SA"/>
              </w:rPr>
              <w:t>详见表2.1-5</w:t>
            </w:r>
            <w:r>
              <w:rPr>
                <w:rFonts w:hint="eastAsia" w:ascii="Times New Roman" w:hAnsi="Times New Roman" w:eastAsia="宋体" w:cs="宋体"/>
                <w:color w:val="000000"/>
                <w:kern w:val="2"/>
                <w:sz w:val="24"/>
                <w:szCs w:val="24"/>
                <w:lang w:val="en-US" w:eastAsia="zh-CN" w:bidi="ar-SA"/>
              </w:rPr>
              <w:t>。</w:t>
            </w:r>
          </w:p>
          <w:p w14:paraId="7FF201BE">
            <w:pPr>
              <w:pStyle w:val="4"/>
              <w:suppressLineNumbers w:val="0"/>
              <w:tabs>
                <w:tab w:val="left" w:pos="420"/>
                <w:tab w:val="clear" w:pos="0"/>
              </w:tabs>
              <w:bidi w:val="0"/>
              <w:spacing w:before="0" w:beforeAutospacing="0" w:after="0" w:afterAutospacing="0"/>
              <w:ind w:left="0" w:right="0"/>
              <w:rPr>
                <w:rFonts w:hint="eastAsia"/>
                <w:lang w:val="en-US" w:eastAsia="zh-CN"/>
              </w:rPr>
            </w:pPr>
            <w:r>
              <w:rPr>
                <w:rFonts w:hint="eastAsia"/>
                <w:lang w:val="en-US" w:eastAsia="zh-CN"/>
              </w:rPr>
              <w:t>现有项目主要生产设备</w:t>
            </w:r>
          </w:p>
          <w:p w14:paraId="0939B408">
            <w:pPr>
              <w:keepNext w:val="0"/>
              <w:keepLines w:val="0"/>
              <w:widowControl w:val="0"/>
              <w:suppressLineNumbers w:val="0"/>
              <w:bidi w:val="0"/>
              <w:spacing w:before="0" w:beforeAutospacing="0" w:after="0" w:afterAutospacing="0" w:line="360" w:lineRule="auto"/>
              <w:ind w:left="0" w:right="0" w:firstLine="480" w:firstLineChars="200"/>
              <w:jc w:val="both"/>
              <w:rPr>
                <w:rFonts w:hint="eastAsia" w:ascii="Times New Roman" w:hAnsi="Times New Roman" w:eastAsia="宋体" w:cs="宋体"/>
                <w:color w:val="000000"/>
                <w:kern w:val="2"/>
                <w:sz w:val="24"/>
                <w:szCs w:val="24"/>
                <w:lang w:val="en-US" w:eastAsia="zh-CN" w:bidi="ar-SA"/>
              </w:rPr>
            </w:pPr>
            <w:r>
              <w:rPr>
                <w:rFonts w:hint="eastAsia" w:ascii="Times New Roman" w:hAnsi="Times New Roman" w:eastAsia="宋体" w:cs="宋体"/>
                <w:color w:val="000000"/>
                <w:kern w:val="2"/>
                <w:sz w:val="24"/>
                <w:szCs w:val="24"/>
                <w:lang w:val="en-US" w:eastAsia="zh-CN" w:bidi="ar-SA"/>
              </w:rPr>
              <w:t>现有项目主要生产设备</w:t>
            </w:r>
            <w:r>
              <w:rPr>
                <w:rFonts w:hint="eastAsia" w:cs="宋体"/>
                <w:color w:val="000000"/>
                <w:kern w:val="2"/>
                <w:sz w:val="24"/>
                <w:szCs w:val="24"/>
                <w:lang w:val="en-US" w:eastAsia="zh-CN" w:bidi="ar-SA"/>
              </w:rPr>
              <w:t>详见2.1-4</w:t>
            </w:r>
            <w:r>
              <w:rPr>
                <w:rFonts w:hint="eastAsia" w:ascii="Times New Roman" w:hAnsi="Times New Roman" w:eastAsia="宋体" w:cs="宋体"/>
                <w:color w:val="000000"/>
                <w:kern w:val="2"/>
                <w:sz w:val="24"/>
                <w:szCs w:val="24"/>
                <w:lang w:val="en-US" w:eastAsia="zh-CN" w:bidi="ar-SA"/>
              </w:rPr>
              <w:t>。</w:t>
            </w:r>
          </w:p>
          <w:p w14:paraId="60B55288">
            <w:pPr>
              <w:pStyle w:val="4"/>
              <w:suppressLineNumbers w:val="0"/>
              <w:bidi w:val="0"/>
              <w:spacing w:before="0" w:beforeAutospacing="0" w:after="0" w:afterAutospacing="0"/>
              <w:ind w:left="0" w:right="0"/>
              <w:rPr>
                <w:rFonts w:hint="eastAsia"/>
                <w:color w:val="000000"/>
                <w:lang w:val="en-US" w:eastAsia="zh-CN"/>
              </w:rPr>
            </w:pPr>
            <w:r>
              <w:rPr>
                <w:rFonts w:hint="eastAsia"/>
                <w:color w:val="000000"/>
                <w:lang w:val="en-US" w:eastAsia="zh-CN"/>
              </w:rPr>
              <w:t>现有项目工艺流程</w:t>
            </w:r>
          </w:p>
          <w:p w14:paraId="4DBC1750">
            <w:pPr>
              <w:pStyle w:val="15"/>
              <w:keepNext w:val="0"/>
              <w:keepLines w:val="0"/>
              <w:suppressLineNumbers w:val="0"/>
              <w:bidi w:val="0"/>
              <w:spacing w:before="0" w:beforeAutospacing="0" w:after="0" w:afterAutospacing="0"/>
              <w:ind w:left="0" w:right="0"/>
            </w:pPr>
            <w:r>
              <w:drawing>
                <wp:inline distT="0" distB="0" distL="114300" distR="114300">
                  <wp:extent cx="3602990" cy="3913505"/>
                  <wp:effectExtent l="0" t="0" r="16510" b="10795"/>
                  <wp:docPr id="10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3"/>
                          <pic:cNvPicPr>
                            <a:picLocks noChangeAspect="1"/>
                          </pic:cNvPicPr>
                        </pic:nvPicPr>
                        <pic:blipFill>
                          <a:blip r:embed="rId23"/>
                          <a:stretch>
                            <a:fillRect/>
                          </a:stretch>
                        </pic:blipFill>
                        <pic:spPr>
                          <a:xfrm>
                            <a:off x="0" y="0"/>
                            <a:ext cx="3602990" cy="3913505"/>
                          </a:xfrm>
                          <a:prstGeom prst="rect">
                            <a:avLst/>
                          </a:prstGeom>
                          <a:noFill/>
                          <a:ln>
                            <a:noFill/>
                          </a:ln>
                        </pic:spPr>
                      </pic:pic>
                    </a:graphicData>
                  </a:graphic>
                </wp:inline>
              </w:drawing>
            </w:r>
          </w:p>
          <w:p w14:paraId="0FCDB63A">
            <w:pPr>
              <w:keepNext w:val="0"/>
              <w:keepLines w:val="0"/>
              <w:suppressLineNumbers w:val="0"/>
              <w:spacing w:before="0" w:beforeAutospacing="0" w:after="0" w:afterAutospacing="0"/>
              <w:ind w:left="0" w:right="0"/>
              <w:jc w:val="center"/>
              <w:outlineLvl w:val="4"/>
              <w:rPr>
                <w:rFonts w:hint="eastAsia"/>
                <w:color w:val="auto"/>
              </w:rPr>
            </w:pPr>
            <w:r>
              <w:rPr>
                <w:rFonts w:hint="eastAsia" w:cs="Times New Roman"/>
                <w:color w:val="auto"/>
                <w:sz w:val="21"/>
                <w:lang w:val="en-US" w:eastAsia="zh-CN"/>
              </w:rPr>
              <w:t xml:space="preserve"> </w:t>
            </w:r>
            <w:r>
              <w:rPr>
                <w:rFonts w:hint="eastAsia"/>
                <w:b/>
                <w:color w:val="auto"/>
                <w:kern w:val="0"/>
                <w:sz w:val="24"/>
              </w:rPr>
              <w:t>图2</w:t>
            </w:r>
            <w:r>
              <w:rPr>
                <w:rFonts w:hint="eastAsia"/>
                <w:b/>
                <w:color w:val="auto"/>
                <w:kern w:val="0"/>
                <w:sz w:val="24"/>
                <w:lang w:val="en-US" w:eastAsia="zh-CN"/>
              </w:rPr>
              <w:t>.4</w:t>
            </w:r>
            <w:r>
              <w:rPr>
                <w:rFonts w:hint="eastAsia"/>
                <w:b/>
                <w:color w:val="auto"/>
                <w:kern w:val="0"/>
                <w:sz w:val="24"/>
              </w:rPr>
              <w:t xml:space="preserve">-1  </w:t>
            </w:r>
            <w:r>
              <w:rPr>
                <w:rFonts w:hint="eastAsia"/>
                <w:b/>
                <w:color w:val="auto"/>
                <w:kern w:val="0"/>
                <w:sz w:val="24"/>
                <w:lang w:val="en-US" w:eastAsia="zh-CN"/>
              </w:rPr>
              <w:t>本项目</w:t>
            </w:r>
            <w:r>
              <w:rPr>
                <w:rFonts w:hint="eastAsia"/>
                <w:b/>
                <w:color w:val="auto"/>
                <w:kern w:val="0"/>
                <w:sz w:val="24"/>
              </w:rPr>
              <w:t>工艺流程及产污环节示意图</w:t>
            </w:r>
          </w:p>
          <w:p w14:paraId="7C97120C">
            <w:pPr>
              <w:keepNext w:val="0"/>
              <w:keepLines w:val="0"/>
              <w:suppressLineNumbers w:val="0"/>
              <w:spacing w:before="0" w:beforeAutospacing="0" w:after="0" w:afterAutospacing="0" w:line="360" w:lineRule="auto"/>
              <w:ind w:left="0" w:right="0" w:firstLine="482" w:firstLineChars="200"/>
              <w:rPr>
                <w:rFonts w:hint="eastAsia" w:ascii="Times New Roman" w:hAnsi="Times New Roman" w:eastAsia="宋体" w:cs="Times New Roman"/>
                <w:b/>
                <w:bCs/>
                <w:color w:val="auto"/>
                <w:kern w:val="0"/>
                <w:sz w:val="24"/>
                <w:szCs w:val="24"/>
                <w:lang w:val="en-US" w:eastAsia="zh-CN"/>
              </w:rPr>
            </w:pPr>
            <w:r>
              <w:rPr>
                <w:rFonts w:hint="eastAsia" w:ascii="Times New Roman" w:hAnsi="Times New Roman" w:eastAsia="宋体" w:cs="Times New Roman"/>
                <w:b/>
                <w:bCs/>
                <w:color w:val="auto"/>
                <w:kern w:val="0"/>
                <w:sz w:val="24"/>
                <w:szCs w:val="24"/>
                <w:lang w:val="en-US" w:eastAsia="zh-CN"/>
              </w:rPr>
              <w:t>工艺流程简述：</w:t>
            </w:r>
          </w:p>
          <w:p w14:paraId="19154155">
            <w:pPr>
              <w:keepNext w:val="0"/>
              <w:keepLines w:val="0"/>
              <w:suppressLineNumbers w:val="0"/>
              <w:spacing w:before="0" w:beforeAutospacing="0" w:after="0" w:afterAutospacing="0" w:line="360" w:lineRule="auto"/>
              <w:ind w:left="0" w:right="0" w:firstLine="480" w:firstLineChars="200"/>
              <w:rPr>
                <w:rFonts w:hint="default"/>
                <w:color w:val="auto"/>
                <w:lang w:val="en-US" w:eastAsia="zh-CN"/>
              </w:rPr>
            </w:pPr>
            <w:r>
              <w:rPr>
                <w:rFonts w:hint="eastAsia" w:ascii="Times New Roman" w:hAnsi="Times New Roman" w:eastAsia="宋体" w:cs="Times New Roman"/>
                <w:color w:val="auto"/>
                <w:kern w:val="0"/>
                <w:sz w:val="24"/>
                <w:szCs w:val="24"/>
                <w:lang w:val="en-US" w:eastAsia="zh-CN"/>
              </w:rPr>
              <w:t>打磨：利用打磨机对压铸铝外表面不平整处进行打磨处理，使之变得平整、光滑。</w:t>
            </w:r>
          </w:p>
          <w:p w14:paraId="4F7E0F83">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喷漆、烘干、加烤</w:t>
            </w:r>
            <w:r>
              <w:rPr>
                <w:rFonts w:hint="eastAsia"/>
                <w:lang w:eastAsia="zh-CN"/>
              </w:rPr>
              <w:t>：</w:t>
            </w:r>
            <w:r>
              <w:rPr>
                <w:rFonts w:hint="eastAsia"/>
                <w:lang w:val="en-US" w:eastAsia="zh-CN"/>
              </w:rPr>
              <w:t>本项目根据产品的类型及用途选择不同的漆，在水帘喷漆台上对塑胶壳、钣金或经打磨后的压铸铝进行喷漆，然后进入喷漆平板线自带的电烘干设备内烘干固化，再送入电面包炉内加烤。</w:t>
            </w:r>
          </w:p>
          <w:p w14:paraId="67EB72FB">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检验：人工检验产品表面有无毛飞、沙孔等。</w:t>
            </w:r>
          </w:p>
          <w:p w14:paraId="7CCCCEC7">
            <w:pPr>
              <w:keepNext w:val="0"/>
              <w:keepLines w:val="0"/>
              <w:suppressLineNumbers w:val="0"/>
              <w:bidi w:val="0"/>
              <w:spacing w:before="0" w:beforeAutospacing="0" w:after="0" w:afterAutospacing="0"/>
              <w:ind w:left="0" w:right="0"/>
              <w:rPr>
                <w:rFonts w:hint="eastAsia"/>
                <w:lang w:eastAsia="zh-CN"/>
              </w:rPr>
            </w:pPr>
            <w:r>
              <w:rPr>
                <w:rFonts w:hint="eastAsia"/>
                <w:lang w:eastAsia="zh-CN"/>
              </w:rPr>
              <w:t>包装、</w:t>
            </w:r>
            <w:r>
              <w:rPr>
                <w:rFonts w:hint="eastAsia"/>
                <w:lang w:val="en-US" w:eastAsia="zh-CN"/>
              </w:rPr>
              <w:t>入库</w:t>
            </w:r>
            <w:r>
              <w:rPr>
                <w:rFonts w:hint="eastAsia"/>
                <w:lang w:eastAsia="zh-CN"/>
              </w:rPr>
              <w:t>：</w:t>
            </w:r>
            <w:r>
              <w:rPr>
                <w:rFonts w:hint="eastAsia"/>
                <w:lang w:val="en-US" w:eastAsia="zh-CN"/>
              </w:rPr>
              <w:t>检验合格的</w:t>
            </w:r>
            <w:r>
              <w:rPr>
                <w:rFonts w:hint="eastAsia"/>
                <w:lang w:eastAsia="zh-CN"/>
              </w:rPr>
              <w:t>成品</w:t>
            </w:r>
            <w:r>
              <w:rPr>
                <w:rFonts w:hint="eastAsia"/>
                <w:lang w:val="en-US" w:eastAsia="zh-CN"/>
              </w:rPr>
              <w:t>通过气泡袋包装好后再用来料装的包装箱（框）</w:t>
            </w:r>
            <w:r>
              <w:rPr>
                <w:rFonts w:hint="eastAsia"/>
                <w:lang w:eastAsia="zh-CN"/>
              </w:rPr>
              <w:t>包装</w:t>
            </w:r>
            <w:r>
              <w:rPr>
                <w:rFonts w:hint="eastAsia"/>
                <w:lang w:val="en-US" w:eastAsia="zh-CN"/>
              </w:rPr>
              <w:t>后即可</w:t>
            </w:r>
            <w:r>
              <w:rPr>
                <w:rFonts w:hint="eastAsia"/>
                <w:lang w:eastAsia="zh-CN"/>
              </w:rPr>
              <w:t>入库，</w:t>
            </w:r>
            <w:r>
              <w:rPr>
                <w:rFonts w:hint="eastAsia"/>
                <w:lang w:val="en-US" w:eastAsia="zh-CN"/>
              </w:rPr>
              <w:t>不产生废包装材料</w:t>
            </w:r>
            <w:r>
              <w:rPr>
                <w:rFonts w:hint="eastAsia"/>
                <w:lang w:eastAsia="zh-CN"/>
              </w:rPr>
              <w:t>。</w:t>
            </w:r>
          </w:p>
          <w:p w14:paraId="454672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表2.</w:t>
            </w:r>
            <w:r>
              <w:rPr>
                <w:rFonts w:hint="eastAsia" w:ascii="Times New Roman" w:hAnsi="Times New Roman" w:eastAsia="宋体" w:cs="Times New Roman"/>
                <w:b/>
                <w:bCs/>
                <w:color w:val="auto"/>
                <w:sz w:val="24"/>
                <w:lang w:val="en-US" w:eastAsia="zh-CN"/>
              </w:rPr>
              <w:t>4</w:t>
            </w:r>
            <w:r>
              <w:rPr>
                <w:rFonts w:hint="default" w:ascii="Times New Roman" w:hAnsi="Times New Roman" w:eastAsia="宋体" w:cs="Times New Roman"/>
                <w:b/>
                <w:bCs/>
                <w:color w:val="auto"/>
                <w:sz w:val="24"/>
              </w:rPr>
              <w:t>-1  项目运营期产污环节汇总表</w:t>
            </w:r>
          </w:p>
          <w:tbl>
            <w:tblPr>
              <w:tblStyle w:val="29"/>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03"/>
              <w:gridCol w:w="766"/>
              <w:gridCol w:w="1444"/>
              <w:gridCol w:w="2145"/>
              <w:gridCol w:w="3638"/>
            </w:tblGrid>
            <w:tr w14:paraId="6CC967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96" w:type="pct"/>
                  <w:gridSpan w:val="2"/>
                  <w:noWrap w:val="0"/>
                  <w:vAlign w:val="center"/>
                </w:tcPr>
                <w:p w14:paraId="425D387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类别</w:t>
                  </w:r>
                </w:p>
              </w:tc>
              <w:tc>
                <w:tcPr>
                  <w:tcW w:w="860" w:type="pct"/>
                  <w:noWrap w:val="0"/>
                  <w:vAlign w:val="center"/>
                </w:tcPr>
                <w:p w14:paraId="4433F41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污染源/污染工序</w:t>
                  </w:r>
                </w:p>
              </w:tc>
              <w:tc>
                <w:tcPr>
                  <w:tcW w:w="1277" w:type="pct"/>
                  <w:noWrap w:val="0"/>
                  <w:vAlign w:val="center"/>
                </w:tcPr>
                <w:p w14:paraId="7B37997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污染物</w:t>
                  </w:r>
                </w:p>
              </w:tc>
              <w:tc>
                <w:tcPr>
                  <w:tcW w:w="2166" w:type="pct"/>
                  <w:noWrap w:val="0"/>
                  <w:vAlign w:val="center"/>
                </w:tcPr>
                <w:p w14:paraId="602EFDC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治理措施</w:t>
                  </w:r>
                </w:p>
              </w:tc>
            </w:tr>
            <w:tr w14:paraId="54A000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96" w:type="pct"/>
                  <w:gridSpan w:val="2"/>
                  <w:vMerge w:val="restart"/>
                  <w:noWrap w:val="0"/>
                  <w:vAlign w:val="center"/>
                </w:tcPr>
                <w:p w14:paraId="1A7CBEC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废水</w:t>
                  </w:r>
                </w:p>
              </w:tc>
              <w:tc>
                <w:tcPr>
                  <w:tcW w:w="860" w:type="pct"/>
                  <w:noWrap w:val="0"/>
                  <w:vAlign w:val="center"/>
                </w:tcPr>
                <w:p w14:paraId="0FFE8F0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职工生活污水</w:t>
                  </w:r>
                </w:p>
              </w:tc>
              <w:tc>
                <w:tcPr>
                  <w:tcW w:w="1277" w:type="pct"/>
                  <w:noWrap w:val="0"/>
                  <w:vAlign w:val="center"/>
                </w:tcPr>
                <w:p w14:paraId="5759E3C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pH、COD、BOD</w:t>
                  </w:r>
                  <w:r>
                    <w:rPr>
                      <w:rFonts w:hint="eastAsia"/>
                      <w:szCs w:val="22"/>
                      <w:vertAlign w:val="subscript"/>
                    </w:rPr>
                    <w:t>5</w:t>
                  </w:r>
                  <w:r>
                    <w:rPr>
                      <w:rFonts w:hint="eastAsia"/>
                      <w:szCs w:val="22"/>
                    </w:rPr>
                    <w:t>、SS、NH</w:t>
                  </w:r>
                  <w:r>
                    <w:rPr>
                      <w:rFonts w:hint="eastAsia"/>
                      <w:szCs w:val="22"/>
                      <w:vertAlign w:val="subscript"/>
                    </w:rPr>
                    <w:t>3</w:t>
                  </w:r>
                  <w:r>
                    <w:rPr>
                      <w:rFonts w:hint="eastAsia"/>
                      <w:szCs w:val="22"/>
                    </w:rPr>
                    <w:t>-N</w:t>
                  </w:r>
                </w:p>
              </w:tc>
              <w:tc>
                <w:tcPr>
                  <w:tcW w:w="2166" w:type="pct"/>
                  <w:noWrap w:val="0"/>
                  <w:vAlign w:val="center"/>
                </w:tcPr>
                <w:p w14:paraId="04E58B7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经化粪池预处理后接入市政污水管网排入福清市融元污水处理厂集中处理</w:t>
                  </w:r>
                </w:p>
              </w:tc>
            </w:tr>
            <w:tr w14:paraId="75CFD54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96" w:type="pct"/>
                  <w:gridSpan w:val="2"/>
                  <w:vMerge w:val="continue"/>
                  <w:noWrap w:val="0"/>
                  <w:vAlign w:val="center"/>
                </w:tcPr>
                <w:p w14:paraId="293EC3EF">
                  <w:pPr>
                    <w:pStyle w:val="38"/>
                    <w:keepNext w:val="0"/>
                    <w:keepLines w:val="0"/>
                    <w:widowControl/>
                    <w:suppressLineNumbers w:val="0"/>
                    <w:bidi w:val="0"/>
                    <w:spacing w:before="0" w:beforeAutospacing="0" w:after="0" w:afterAutospacing="0"/>
                    <w:ind w:left="0" w:right="0"/>
                    <w:rPr>
                      <w:rFonts w:hint="eastAsia"/>
                      <w:szCs w:val="22"/>
                    </w:rPr>
                  </w:pPr>
                </w:p>
              </w:tc>
              <w:tc>
                <w:tcPr>
                  <w:tcW w:w="860" w:type="pct"/>
                  <w:noWrap w:val="0"/>
                  <w:vAlign w:val="center"/>
                </w:tcPr>
                <w:p w14:paraId="5E2A49A9">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水帘喷漆废水</w:t>
                  </w:r>
                </w:p>
              </w:tc>
              <w:tc>
                <w:tcPr>
                  <w:tcW w:w="1277" w:type="pct"/>
                  <w:noWrap w:val="0"/>
                  <w:vAlign w:val="center"/>
                </w:tcPr>
                <w:p w14:paraId="51E8E319">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val="en-US" w:eastAsia="zh-CN"/>
                    </w:rPr>
                    <w:t>/</w:t>
                  </w:r>
                </w:p>
              </w:tc>
              <w:tc>
                <w:tcPr>
                  <w:tcW w:w="2166" w:type="pct"/>
                  <w:noWrap w:val="0"/>
                  <w:vAlign w:val="center"/>
                </w:tcPr>
                <w:p w14:paraId="360B014C">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rPr>
                    <w:t>循环使用，不外排</w:t>
                  </w:r>
                  <w:r>
                    <w:rPr>
                      <w:rFonts w:hint="eastAsia"/>
                      <w:szCs w:val="22"/>
                      <w:lang w:eastAsia="zh-CN"/>
                    </w:rPr>
                    <w:t>。待浓度过高时按危废委托有资质的危废处置单位处置</w:t>
                  </w:r>
                </w:p>
              </w:tc>
            </w:tr>
            <w:tr w14:paraId="01E7AA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6" w:hRule="atLeast"/>
                <w:jc w:val="center"/>
              </w:trPr>
              <w:tc>
                <w:tcPr>
                  <w:tcW w:w="696" w:type="pct"/>
                  <w:gridSpan w:val="2"/>
                  <w:vMerge w:val="restart"/>
                  <w:noWrap w:val="0"/>
                  <w:vAlign w:val="center"/>
                </w:tcPr>
                <w:p w14:paraId="5945972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废气</w:t>
                  </w:r>
                </w:p>
              </w:tc>
              <w:tc>
                <w:tcPr>
                  <w:tcW w:w="860" w:type="pct"/>
                  <w:tcBorders>
                    <w:bottom w:val="single" w:color="auto" w:sz="4" w:space="0"/>
                  </w:tcBorders>
                  <w:noWrap w:val="0"/>
                  <w:vAlign w:val="center"/>
                </w:tcPr>
                <w:p w14:paraId="73FC4574">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val="en-US" w:eastAsia="zh-CN"/>
                    </w:rPr>
                    <w:t>打磨</w:t>
                  </w:r>
                </w:p>
              </w:tc>
              <w:tc>
                <w:tcPr>
                  <w:tcW w:w="1277" w:type="pct"/>
                  <w:tcBorders>
                    <w:bottom w:val="single" w:color="auto" w:sz="4" w:space="0"/>
                  </w:tcBorders>
                  <w:noWrap w:val="0"/>
                  <w:vAlign w:val="center"/>
                </w:tcPr>
                <w:p w14:paraId="3CDFEF9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颗粒物</w:t>
                  </w:r>
                </w:p>
              </w:tc>
              <w:tc>
                <w:tcPr>
                  <w:tcW w:w="2166" w:type="pct"/>
                  <w:tcBorders>
                    <w:bottom w:val="single" w:color="auto" w:sz="4" w:space="0"/>
                  </w:tcBorders>
                  <w:noWrap w:val="0"/>
                  <w:vAlign w:val="center"/>
                </w:tcPr>
                <w:p w14:paraId="1E6278A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设置密闭打磨房</w:t>
                  </w:r>
                </w:p>
              </w:tc>
            </w:tr>
            <w:tr w14:paraId="1A93915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3" w:hRule="atLeast"/>
                <w:jc w:val="center"/>
              </w:trPr>
              <w:tc>
                <w:tcPr>
                  <w:tcW w:w="696" w:type="pct"/>
                  <w:gridSpan w:val="2"/>
                  <w:vMerge w:val="continue"/>
                  <w:noWrap w:val="0"/>
                  <w:vAlign w:val="center"/>
                </w:tcPr>
                <w:p w14:paraId="63BC8AB9">
                  <w:pPr>
                    <w:pStyle w:val="38"/>
                    <w:keepNext w:val="0"/>
                    <w:keepLines w:val="0"/>
                    <w:widowControl/>
                    <w:suppressLineNumbers w:val="0"/>
                    <w:bidi w:val="0"/>
                    <w:spacing w:before="0" w:beforeAutospacing="0" w:after="0" w:afterAutospacing="0"/>
                    <w:ind w:left="0" w:right="0"/>
                    <w:rPr>
                      <w:rFonts w:hint="eastAsia"/>
                      <w:szCs w:val="22"/>
                    </w:rPr>
                  </w:pPr>
                </w:p>
              </w:tc>
              <w:tc>
                <w:tcPr>
                  <w:tcW w:w="860" w:type="pct"/>
                  <w:tcBorders>
                    <w:top w:val="single" w:color="auto" w:sz="4" w:space="0"/>
                    <w:bottom w:val="single" w:color="auto" w:sz="4" w:space="0"/>
                  </w:tcBorders>
                  <w:noWrap w:val="0"/>
                  <w:vAlign w:val="center"/>
                </w:tcPr>
                <w:p w14:paraId="056B366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喷漆、烘干、加烤废气</w:t>
                  </w:r>
                </w:p>
              </w:tc>
              <w:tc>
                <w:tcPr>
                  <w:tcW w:w="1277" w:type="pct"/>
                  <w:tcBorders>
                    <w:top w:val="single" w:color="auto" w:sz="4" w:space="0"/>
                    <w:bottom w:val="single" w:color="auto" w:sz="4" w:space="0"/>
                  </w:tcBorders>
                  <w:noWrap w:val="0"/>
                  <w:vAlign w:val="center"/>
                </w:tcPr>
                <w:p w14:paraId="030BCFC8">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val="en-US" w:eastAsia="zh-CN"/>
                    </w:rPr>
                    <w:t>非甲烷总烃、颗粒物</w:t>
                  </w:r>
                </w:p>
              </w:tc>
              <w:tc>
                <w:tcPr>
                  <w:tcW w:w="2166" w:type="pct"/>
                  <w:tcBorders>
                    <w:top w:val="single" w:color="auto" w:sz="4" w:space="0"/>
                    <w:bottom w:val="single" w:color="auto" w:sz="4" w:space="0"/>
                  </w:tcBorders>
                  <w:noWrap w:val="0"/>
                  <w:vAlign w:val="center"/>
                </w:tcPr>
                <w:p w14:paraId="6895466F">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rPr>
                    <w:t>烘干废气及加烤废气各自经管道密闭集气收集，然后与经水帘柜净化后的喷漆废气一起并入</w:t>
                  </w:r>
                  <w:r>
                    <w:rPr>
                      <w:rFonts w:hint="eastAsia"/>
                      <w:szCs w:val="22"/>
                      <w:lang w:eastAsia="zh-CN"/>
                    </w:rPr>
                    <w:t>“</w:t>
                  </w:r>
                  <w:r>
                    <w:rPr>
                      <w:rFonts w:hint="eastAsia"/>
                      <w:szCs w:val="22"/>
                    </w:rPr>
                    <w:t>过滤棉+活性炭吸附装置</w:t>
                  </w:r>
                  <w:r>
                    <w:rPr>
                      <w:rFonts w:hint="eastAsia"/>
                      <w:szCs w:val="22"/>
                      <w:lang w:eastAsia="zh-CN"/>
                    </w:rPr>
                    <w:t>”</w:t>
                  </w:r>
                  <w:r>
                    <w:rPr>
                      <w:rFonts w:hint="eastAsia"/>
                      <w:szCs w:val="22"/>
                    </w:rPr>
                    <w:t>处理达标后通过一根15m高排气筒排放</w:t>
                  </w:r>
                  <w:r>
                    <w:rPr>
                      <w:rFonts w:hint="eastAsia"/>
                      <w:szCs w:val="22"/>
                      <w:lang w:eastAsia="zh-CN"/>
                    </w:rPr>
                    <w:t>（</w:t>
                  </w:r>
                  <w:r>
                    <w:rPr>
                      <w:rFonts w:hint="eastAsia"/>
                      <w:szCs w:val="22"/>
                    </w:rPr>
                    <w:t>DA001</w:t>
                  </w:r>
                  <w:r>
                    <w:rPr>
                      <w:rFonts w:hint="eastAsia"/>
                      <w:szCs w:val="22"/>
                      <w:lang w:eastAsia="zh-CN"/>
                    </w:rPr>
                    <w:t>）</w:t>
                  </w:r>
                </w:p>
              </w:tc>
            </w:tr>
            <w:tr w14:paraId="19A378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6" w:hRule="atLeast"/>
                <w:jc w:val="center"/>
              </w:trPr>
              <w:tc>
                <w:tcPr>
                  <w:tcW w:w="240" w:type="pct"/>
                  <w:vMerge w:val="restart"/>
                  <w:noWrap w:val="0"/>
                  <w:vAlign w:val="center"/>
                </w:tcPr>
                <w:p w14:paraId="6A003CB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固废</w:t>
                  </w:r>
                </w:p>
              </w:tc>
              <w:tc>
                <w:tcPr>
                  <w:tcW w:w="456" w:type="pct"/>
                  <w:noWrap w:val="0"/>
                  <w:vAlign w:val="center"/>
                </w:tcPr>
                <w:p w14:paraId="1167D65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一般工业固废</w:t>
                  </w:r>
                </w:p>
              </w:tc>
              <w:tc>
                <w:tcPr>
                  <w:tcW w:w="860" w:type="pct"/>
                  <w:noWrap w:val="0"/>
                  <w:vAlign w:val="center"/>
                </w:tcPr>
                <w:p w14:paraId="7C971FA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检验</w:t>
                  </w:r>
                </w:p>
              </w:tc>
              <w:tc>
                <w:tcPr>
                  <w:tcW w:w="1277" w:type="pct"/>
                  <w:tcBorders>
                    <w:bottom w:val="single" w:color="auto" w:sz="4" w:space="0"/>
                  </w:tcBorders>
                  <w:noWrap w:val="0"/>
                  <w:vAlign w:val="center"/>
                </w:tcPr>
                <w:p w14:paraId="120BD88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不合格产品</w:t>
                  </w:r>
                </w:p>
              </w:tc>
              <w:tc>
                <w:tcPr>
                  <w:tcW w:w="2166" w:type="pct"/>
                  <w:noWrap w:val="0"/>
                  <w:vAlign w:val="center"/>
                </w:tcPr>
                <w:p w14:paraId="0B3B0B4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退回待加工产品综合利用</w:t>
                  </w:r>
                </w:p>
              </w:tc>
            </w:tr>
            <w:tr w14:paraId="0E9D65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3" w:hRule="atLeast"/>
                <w:jc w:val="center"/>
              </w:trPr>
              <w:tc>
                <w:tcPr>
                  <w:tcW w:w="240" w:type="pct"/>
                  <w:vMerge w:val="continue"/>
                  <w:noWrap w:val="0"/>
                  <w:vAlign w:val="center"/>
                </w:tcPr>
                <w:p w14:paraId="11C0C21E">
                  <w:pPr>
                    <w:pStyle w:val="38"/>
                    <w:keepNext w:val="0"/>
                    <w:keepLines w:val="0"/>
                    <w:widowControl/>
                    <w:suppressLineNumbers w:val="0"/>
                    <w:bidi w:val="0"/>
                    <w:spacing w:before="0" w:beforeAutospacing="0" w:after="0" w:afterAutospacing="0"/>
                    <w:ind w:left="0" w:right="0"/>
                    <w:rPr>
                      <w:rFonts w:hint="eastAsia"/>
                      <w:szCs w:val="22"/>
                    </w:rPr>
                  </w:pPr>
                </w:p>
              </w:tc>
              <w:tc>
                <w:tcPr>
                  <w:tcW w:w="456" w:type="pct"/>
                  <w:vMerge w:val="restart"/>
                  <w:noWrap w:val="0"/>
                  <w:vAlign w:val="center"/>
                </w:tcPr>
                <w:p w14:paraId="2D28892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危险废物</w:t>
                  </w:r>
                </w:p>
              </w:tc>
              <w:tc>
                <w:tcPr>
                  <w:tcW w:w="860" w:type="pct"/>
                  <w:noWrap w:val="0"/>
                  <w:vAlign w:val="center"/>
                </w:tcPr>
                <w:p w14:paraId="4FE58418">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废气处理</w:t>
                  </w:r>
                </w:p>
              </w:tc>
              <w:tc>
                <w:tcPr>
                  <w:tcW w:w="1277" w:type="pct"/>
                  <w:noWrap w:val="0"/>
                  <w:vAlign w:val="center"/>
                </w:tcPr>
                <w:p w14:paraId="5AA31959">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废活性炭</w:t>
                  </w:r>
                </w:p>
              </w:tc>
              <w:tc>
                <w:tcPr>
                  <w:tcW w:w="2166" w:type="pct"/>
                  <w:vMerge w:val="restart"/>
                  <w:noWrap w:val="0"/>
                  <w:vAlign w:val="center"/>
                </w:tcPr>
                <w:p w14:paraId="7CFE186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分类收集暂存于</w:t>
                  </w:r>
                  <w:r>
                    <w:rPr>
                      <w:rFonts w:hint="eastAsia"/>
                      <w:szCs w:val="22"/>
                      <w:lang w:eastAsia="zh-CN"/>
                    </w:rPr>
                    <w:t>危废贮存库</w:t>
                  </w:r>
                  <w:r>
                    <w:rPr>
                      <w:rFonts w:hint="eastAsia"/>
                      <w:szCs w:val="22"/>
                    </w:rPr>
                    <w:t>，委托资质的单位定期外运处置</w:t>
                  </w:r>
                </w:p>
              </w:tc>
            </w:tr>
            <w:tr w14:paraId="7F193E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7" w:hRule="atLeast"/>
                <w:jc w:val="center"/>
              </w:trPr>
              <w:tc>
                <w:tcPr>
                  <w:tcW w:w="240" w:type="pct"/>
                  <w:vMerge w:val="continue"/>
                  <w:noWrap w:val="0"/>
                  <w:vAlign w:val="center"/>
                </w:tcPr>
                <w:p w14:paraId="54B909D4">
                  <w:pPr>
                    <w:pStyle w:val="38"/>
                    <w:keepNext w:val="0"/>
                    <w:keepLines w:val="0"/>
                    <w:widowControl/>
                    <w:suppressLineNumbers w:val="0"/>
                    <w:bidi w:val="0"/>
                    <w:spacing w:before="0" w:beforeAutospacing="0" w:after="0" w:afterAutospacing="0"/>
                    <w:ind w:left="0" w:right="0"/>
                    <w:rPr>
                      <w:rFonts w:hint="eastAsia"/>
                      <w:szCs w:val="22"/>
                    </w:rPr>
                  </w:pPr>
                </w:p>
              </w:tc>
              <w:tc>
                <w:tcPr>
                  <w:tcW w:w="456" w:type="pct"/>
                  <w:vMerge w:val="continue"/>
                  <w:noWrap w:val="0"/>
                  <w:vAlign w:val="center"/>
                </w:tcPr>
                <w:p w14:paraId="6B6CAD80">
                  <w:pPr>
                    <w:pStyle w:val="38"/>
                    <w:keepNext w:val="0"/>
                    <w:keepLines w:val="0"/>
                    <w:widowControl/>
                    <w:suppressLineNumbers w:val="0"/>
                    <w:bidi w:val="0"/>
                    <w:spacing w:before="0" w:beforeAutospacing="0" w:after="0" w:afterAutospacing="0"/>
                    <w:ind w:left="0" w:right="0"/>
                    <w:rPr>
                      <w:rFonts w:hint="eastAsia"/>
                      <w:szCs w:val="22"/>
                    </w:rPr>
                  </w:pPr>
                </w:p>
              </w:tc>
              <w:tc>
                <w:tcPr>
                  <w:tcW w:w="860" w:type="pct"/>
                  <w:noWrap w:val="0"/>
                  <w:vAlign w:val="center"/>
                </w:tcPr>
                <w:p w14:paraId="5EE3FD2C">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设备保养、检修等</w:t>
                  </w:r>
                </w:p>
              </w:tc>
              <w:tc>
                <w:tcPr>
                  <w:tcW w:w="1277" w:type="pct"/>
                  <w:noWrap w:val="0"/>
                  <w:vAlign w:val="center"/>
                </w:tcPr>
                <w:p w14:paraId="12357F3F">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default"/>
                      <w:szCs w:val="22"/>
                    </w:rPr>
                    <w:t>废机油</w:t>
                  </w:r>
                </w:p>
              </w:tc>
              <w:tc>
                <w:tcPr>
                  <w:tcW w:w="2166" w:type="pct"/>
                  <w:vMerge w:val="continue"/>
                  <w:noWrap w:val="0"/>
                  <w:vAlign w:val="center"/>
                </w:tcPr>
                <w:p w14:paraId="376CDD8A">
                  <w:pPr>
                    <w:pStyle w:val="38"/>
                    <w:keepNext w:val="0"/>
                    <w:keepLines w:val="0"/>
                    <w:widowControl/>
                    <w:suppressLineNumbers w:val="0"/>
                    <w:bidi w:val="0"/>
                    <w:spacing w:before="0" w:beforeAutospacing="0" w:after="0" w:afterAutospacing="0"/>
                    <w:ind w:left="0" w:right="0"/>
                    <w:rPr>
                      <w:rFonts w:hint="eastAsia"/>
                      <w:szCs w:val="22"/>
                    </w:rPr>
                  </w:pPr>
                </w:p>
              </w:tc>
            </w:tr>
            <w:tr w14:paraId="081B3C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7" w:hRule="atLeast"/>
                <w:jc w:val="center"/>
              </w:trPr>
              <w:tc>
                <w:tcPr>
                  <w:tcW w:w="240" w:type="pct"/>
                  <w:vMerge w:val="continue"/>
                  <w:noWrap w:val="0"/>
                  <w:vAlign w:val="center"/>
                </w:tcPr>
                <w:p w14:paraId="1DD5D55F">
                  <w:pPr>
                    <w:pStyle w:val="38"/>
                    <w:keepNext w:val="0"/>
                    <w:keepLines w:val="0"/>
                    <w:widowControl/>
                    <w:suppressLineNumbers w:val="0"/>
                    <w:bidi w:val="0"/>
                    <w:spacing w:before="0" w:beforeAutospacing="0" w:after="0" w:afterAutospacing="0"/>
                    <w:ind w:left="0" w:right="0"/>
                    <w:rPr>
                      <w:rFonts w:hint="eastAsia"/>
                      <w:szCs w:val="22"/>
                    </w:rPr>
                  </w:pPr>
                </w:p>
              </w:tc>
              <w:tc>
                <w:tcPr>
                  <w:tcW w:w="456" w:type="pct"/>
                  <w:vMerge w:val="continue"/>
                  <w:noWrap w:val="0"/>
                  <w:vAlign w:val="center"/>
                </w:tcPr>
                <w:p w14:paraId="1CBD39A9">
                  <w:pPr>
                    <w:pStyle w:val="38"/>
                    <w:keepNext w:val="0"/>
                    <w:keepLines w:val="0"/>
                    <w:widowControl/>
                    <w:suppressLineNumbers w:val="0"/>
                    <w:bidi w:val="0"/>
                    <w:spacing w:before="0" w:beforeAutospacing="0" w:after="0" w:afterAutospacing="0"/>
                    <w:ind w:left="0" w:right="0"/>
                    <w:rPr>
                      <w:rFonts w:hint="eastAsia"/>
                      <w:szCs w:val="22"/>
                    </w:rPr>
                  </w:pPr>
                </w:p>
              </w:tc>
              <w:tc>
                <w:tcPr>
                  <w:tcW w:w="860" w:type="pct"/>
                  <w:vMerge w:val="restart"/>
                  <w:noWrap w:val="0"/>
                  <w:vAlign w:val="center"/>
                </w:tcPr>
                <w:p w14:paraId="466EC82C">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喷漆</w:t>
                  </w:r>
                </w:p>
              </w:tc>
              <w:tc>
                <w:tcPr>
                  <w:tcW w:w="1277" w:type="pct"/>
                  <w:noWrap w:val="0"/>
                  <w:vAlign w:val="center"/>
                </w:tcPr>
                <w:p w14:paraId="245C63BA">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default"/>
                      <w:szCs w:val="22"/>
                      <w:lang w:val="en-US" w:eastAsia="zh-CN"/>
                    </w:rPr>
                    <w:t>水帘柜废液</w:t>
                  </w:r>
                </w:p>
              </w:tc>
              <w:tc>
                <w:tcPr>
                  <w:tcW w:w="2166" w:type="pct"/>
                  <w:vMerge w:val="continue"/>
                  <w:noWrap w:val="0"/>
                  <w:vAlign w:val="center"/>
                </w:tcPr>
                <w:p w14:paraId="462FDCD9">
                  <w:pPr>
                    <w:pStyle w:val="38"/>
                    <w:keepNext w:val="0"/>
                    <w:keepLines w:val="0"/>
                    <w:widowControl/>
                    <w:suppressLineNumbers w:val="0"/>
                    <w:bidi w:val="0"/>
                    <w:spacing w:before="0" w:beforeAutospacing="0" w:after="0" w:afterAutospacing="0"/>
                    <w:ind w:left="0" w:right="0"/>
                    <w:rPr>
                      <w:rFonts w:hint="eastAsia"/>
                      <w:szCs w:val="22"/>
                    </w:rPr>
                  </w:pPr>
                </w:p>
              </w:tc>
            </w:tr>
            <w:tr w14:paraId="341FD4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7" w:hRule="atLeast"/>
                <w:jc w:val="center"/>
              </w:trPr>
              <w:tc>
                <w:tcPr>
                  <w:tcW w:w="240" w:type="pct"/>
                  <w:vMerge w:val="continue"/>
                  <w:noWrap w:val="0"/>
                  <w:vAlign w:val="center"/>
                </w:tcPr>
                <w:p w14:paraId="5257EE73">
                  <w:pPr>
                    <w:pStyle w:val="38"/>
                    <w:keepNext w:val="0"/>
                    <w:keepLines w:val="0"/>
                    <w:widowControl/>
                    <w:suppressLineNumbers w:val="0"/>
                    <w:bidi w:val="0"/>
                    <w:spacing w:before="0" w:beforeAutospacing="0" w:after="0" w:afterAutospacing="0"/>
                    <w:ind w:left="0" w:right="0"/>
                    <w:rPr>
                      <w:rFonts w:hint="eastAsia"/>
                      <w:szCs w:val="22"/>
                    </w:rPr>
                  </w:pPr>
                </w:p>
              </w:tc>
              <w:tc>
                <w:tcPr>
                  <w:tcW w:w="456" w:type="pct"/>
                  <w:vMerge w:val="continue"/>
                  <w:noWrap w:val="0"/>
                  <w:vAlign w:val="center"/>
                </w:tcPr>
                <w:p w14:paraId="5F777077">
                  <w:pPr>
                    <w:pStyle w:val="38"/>
                    <w:keepNext w:val="0"/>
                    <w:keepLines w:val="0"/>
                    <w:widowControl/>
                    <w:suppressLineNumbers w:val="0"/>
                    <w:bidi w:val="0"/>
                    <w:spacing w:before="0" w:beforeAutospacing="0" w:after="0" w:afterAutospacing="0"/>
                    <w:ind w:left="0" w:right="0"/>
                    <w:rPr>
                      <w:rFonts w:hint="eastAsia"/>
                      <w:szCs w:val="22"/>
                    </w:rPr>
                  </w:pPr>
                </w:p>
              </w:tc>
              <w:tc>
                <w:tcPr>
                  <w:tcW w:w="860" w:type="pct"/>
                  <w:vMerge w:val="continue"/>
                  <w:noWrap w:val="0"/>
                  <w:vAlign w:val="center"/>
                </w:tcPr>
                <w:p w14:paraId="025655C2">
                  <w:pPr>
                    <w:pStyle w:val="38"/>
                    <w:keepNext w:val="0"/>
                    <w:keepLines w:val="0"/>
                    <w:widowControl/>
                    <w:suppressLineNumbers w:val="0"/>
                    <w:bidi w:val="0"/>
                    <w:spacing w:before="0" w:beforeAutospacing="0" w:after="0" w:afterAutospacing="0"/>
                    <w:ind w:left="0" w:right="0"/>
                    <w:rPr>
                      <w:rFonts w:hint="eastAsia"/>
                      <w:szCs w:val="22"/>
                      <w:lang w:eastAsia="zh-CN"/>
                    </w:rPr>
                  </w:pPr>
                </w:p>
              </w:tc>
              <w:tc>
                <w:tcPr>
                  <w:tcW w:w="1277" w:type="pct"/>
                  <w:noWrap w:val="0"/>
                  <w:vAlign w:val="center"/>
                </w:tcPr>
                <w:p w14:paraId="539FBD2E">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default"/>
                      <w:szCs w:val="22"/>
                      <w:lang w:val="en-US" w:eastAsia="zh-CN"/>
                    </w:rPr>
                    <w:t>废漆渣</w:t>
                  </w:r>
                </w:p>
              </w:tc>
              <w:tc>
                <w:tcPr>
                  <w:tcW w:w="2166" w:type="pct"/>
                  <w:vMerge w:val="continue"/>
                  <w:noWrap w:val="0"/>
                  <w:vAlign w:val="center"/>
                </w:tcPr>
                <w:p w14:paraId="7374A6E6">
                  <w:pPr>
                    <w:pStyle w:val="38"/>
                    <w:keepNext w:val="0"/>
                    <w:keepLines w:val="0"/>
                    <w:widowControl/>
                    <w:suppressLineNumbers w:val="0"/>
                    <w:bidi w:val="0"/>
                    <w:spacing w:before="0" w:beforeAutospacing="0" w:after="0" w:afterAutospacing="0"/>
                    <w:ind w:left="0" w:right="0"/>
                    <w:rPr>
                      <w:rFonts w:hint="eastAsia"/>
                      <w:szCs w:val="22"/>
                    </w:rPr>
                  </w:pPr>
                </w:p>
              </w:tc>
            </w:tr>
            <w:tr w14:paraId="798C25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67" w:hRule="atLeast"/>
                <w:jc w:val="center"/>
              </w:trPr>
              <w:tc>
                <w:tcPr>
                  <w:tcW w:w="240" w:type="pct"/>
                  <w:vMerge w:val="continue"/>
                  <w:noWrap w:val="0"/>
                  <w:vAlign w:val="center"/>
                </w:tcPr>
                <w:p w14:paraId="163B65BD">
                  <w:pPr>
                    <w:pStyle w:val="38"/>
                    <w:keepNext w:val="0"/>
                    <w:keepLines w:val="0"/>
                    <w:widowControl/>
                    <w:suppressLineNumbers w:val="0"/>
                    <w:bidi w:val="0"/>
                    <w:spacing w:before="0" w:beforeAutospacing="0" w:after="0" w:afterAutospacing="0"/>
                    <w:ind w:left="0" w:right="0"/>
                    <w:rPr>
                      <w:rFonts w:hint="eastAsia"/>
                      <w:szCs w:val="22"/>
                    </w:rPr>
                  </w:pPr>
                </w:p>
              </w:tc>
              <w:tc>
                <w:tcPr>
                  <w:tcW w:w="456" w:type="pct"/>
                  <w:vMerge w:val="continue"/>
                  <w:noWrap w:val="0"/>
                  <w:vAlign w:val="center"/>
                </w:tcPr>
                <w:p w14:paraId="77EB7169">
                  <w:pPr>
                    <w:pStyle w:val="38"/>
                    <w:keepNext w:val="0"/>
                    <w:keepLines w:val="0"/>
                    <w:widowControl/>
                    <w:suppressLineNumbers w:val="0"/>
                    <w:bidi w:val="0"/>
                    <w:spacing w:before="0" w:beforeAutospacing="0" w:after="0" w:afterAutospacing="0"/>
                    <w:ind w:left="0" w:right="0"/>
                    <w:rPr>
                      <w:rFonts w:hint="eastAsia"/>
                      <w:szCs w:val="22"/>
                    </w:rPr>
                  </w:pPr>
                </w:p>
              </w:tc>
              <w:tc>
                <w:tcPr>
                  <w:tcW w:w="860" w:type="pct"/>
                  <w:vMerge w:val="continue"/>
                  <w:noWrap w:val="0"/>
                  <w:vAlign w:val="center"/>
                </w:tcPr>
                <w:p w14:paraId="0747881A">
                  <w:pPr>
                    <w:pStyle w:val="38"/>
                    <w:keepNext w:val="0"/>
                    <w:keepLines w:val="0"/>
                    <w:widowControl/>
                    <w:suppressLineNumbers w:val="0"/>
                    <w:bidi w:val="0"/>
                    <w:spacing w:before="0" w:beforeAutospacing="0" w:after="0" w:afterAutospacing="0"/>
                    <w:ind w:left="0" w:right="0"/>
                    <w:rPr>
                      <w:rFonts w:hint="eastAsia"/>
                      <w:szCs w:val="22"/>
                      <w:lang w:eastAsia="zh-CN"/>
                    </w:rPr>
                  </w:pPr>
                </w:p>
              </w:tc>
              <w:tc>
                <w:tcPr>
                  <w:tcW w:w="1277" w:type="pct"/>
                  <w:noWrap w:val="0"/>
                  <w:vAlign w:val="center"/>
                </w:tcPr>
                <w:p w14:paraId="555FB45E">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val="en-US" w:eastAsia="zh-CN"/>
                    </w:rPr>
                    <w:t>废水性漆桶</w:t>
                  </w:r>
                </w:p>
              </w:tc>
              <w:tc>
                <w:tcPr>
                  <w:tcW w:w="2166" w:type="pct"/>
                  <w:vMerge w:val="continue"/>
                  <w:noWrap w:val="0"/>
                  <w:vAlign w:val="center"/>
                </w:tcPr>
                <w:p w14:paraId="5BEE1F17">
                  <w:pPr>
                    <w:pStyle w:val="38"/>
                    <w:keepNext w:val="0"/>
                    <w:keepLines w:val="0"/>
                    <w:widowControl/>
                    <w:suppressLineNumbers w:val="0"/>
                    <w:bidi w:val="0"/>
                    <w:spacing w:before="0" w:beforeAutospacing="0" w:after="0" w:afterAutospacing="0"/>
                    <w:ind w:left="0" w:right="0"/>
                    <w:rPr>
                      <w:rFonts w:hint="eastAsia"/>
                      <w:szCs w:val="22"/>
                    </w:rPr>
                  </w:pPr>
                </w:p>
              </w:tc>
            </w:tr>
            <w:tr w14:paraId="3F3120C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67" w:hRule="atLeast"/>
                <w:jc w:val="center"/>
              </w:trPr>
              <w:tc>
                <w:tcPr>
                  <w:tcW w:w="240" w:type="pct"/>
                  <w:vMerge w:val="continue"/>
                  <w:noWrap w:val="0"/>
                  <w:vAlign w:val="center"/>
                </w:tcPr>
                <w:p w14:paraId="4FD1CCEA">
                  <w:pPr>
                    <w:pStyle w:val="38"/>
                    <w:keepNext w:val="0"/>
                    <w:keepLines w:val="0"/>
                    <w:widowControl/>
                    <w:suppressLineNumbers w:val="0"/>
                    <w:bidi w:val="0"/>
                    <w:spacing w:before="0" w:beforeAutospacing="0" w:after="0" w:afterAutospacing="0"/>
                    <w:ind w:left="0" w:right="0"/>
                    <w:rPr>
                      <w:rFonts w:hint="eastAsia"/>
                      <w:szCs w:val="22"/>
                    </w:rPr>
                  </w:pPr>
                </w:p>
              </w:tc>
              <w:tc>
                <w:tcPr>
                  <w:tcW w:w="456" w:type="pct"/>
                  <w:vMerge w:val="continue"/>
                  <w:noWrap w:val="0"/>
                  <w:vAlign w:val="center"/>
                </w:tcPr>
                <w:p w14:paraId="7C67DDEC">
                  <w:pPr>
                    <w:pStyle w:val="38"/>
                    <w:keepNext w:val="0"/>
                    <w:keepLines w:val="0"/>
                    <w:widowControl/>
                    <w:suppressLineNumbers w:val="0"/>
                    <w:bidi w:val="0"/>
                    <w:spacing w:before="0" w:beforeAutospacing="0" w:after="0" w:afterAutospacing="0"/>
                    <w:ind w:left="0" w:right="0"/>
                    <w:rPr>
                      <w:rFonts w:hint="eastAsia"/>
                      <w:szCs w:val="22"/>
                    </w:rPr>
                  </w:pPr>
                </w:p>
              </w:tc>
              <w:tc>
                <w:tcPr>
                  <w:tcW w:w="860" w:type="pct"/>
                  <w:vMerge w:val="continue"/>
                  <w:noWrap w:val="0"/>
                  <w:vAlign w:val="center"/>
                </w:tcPr>
                <w:p w14:paraId="07257688">
                  <w:pPr>
                    <w:pStyle w:val="38"/>
                    <w:keepNext w:val="0"/>
                    <w:keepLines w:val="0"/>
                    <w:widowControl/>
                    <w:suppressLineNumbers w:val="0"/>
                    <w:bidi w:val="0"/>
                    <w:spacing w:before="0" w:beforeAutospacing="0" w:after="0" w:afterAutospacing="0"/>
                    <w:ind w:left="0" w:right="0"/>
                    <w:rPr>
                      <w:rFonts w:hint="eastAsia"/>
                      <w:szCs w:val="22"/>
                      <w:lang w:eastAsia="zh-CN"/>
                    </w:rPr>
                  </w:pPr>
                </w:p>
              </w:tc>
              <w:tc>
                <w:tcPr>
                  <w:tcW w:w="1277" w:type="pct"/>
                  <w:noWrap w:val="0"/>
                  <w:vAlign w:val="center"/>
                </w:tcPr>
                <w:p w14:paraId="695E9AF9">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val="en-US" w:eastAsia="zh-CN"/>
                    </w:rPr>
                    <w:t>废油性漆桶</w:t>
                  </w:r>
                </w:p>
              </w:tc>
              <w:tc>
                <w:tcPr>
                  <w:tcW w:w="2166" w:type="pct"/>
                  <w:vMerge w:val="continue"/>
                  <w:noWrap w:val="0"/>
                  <w:vAlign w:val="center"/>
                </w:tcPr>
                <w:p w14:paraId="561CD71B">
                  <w:pPr>
                    <w:pStyle w:val="38"/>
                    <w:keepNext w:val="0"/>
                    <w:keepLines w:val="0"/>
                    <w:widowControl/>
                    <w:suppressLineNumbers w:val="0"/>
                    <w:bidi w:val="0"/>
                    <w:spacing w:before="0" w:beforeAutospacing="0" w:after="0" w:afterAutospacing="0"/>
                    <w:ind w:left="0" w:right="0"/>
                    <w:rPr>
                      <w:rFonts w:hint="eastAsia"/>
                      <w:szCs w:val="22"/>
                    </w:rPr>
                  </w:pPr>
                </w:p>
              </w:tc>
            </w:tr>
            <w:tr w14:paraId="74C824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7" w:hRule="atLeast"/>
                <w:jc w:val="center"/>
              </w:trPr>
              <w:tc>
                <w:tcPr>
                  <w:tcW w:w="240" w:type="pct"/>
                  <w:vMerge w:val="continue"/>
                  <w:noWrap w:val="0"/>
                  <w:vAlign w:val="center"/>
                </w:tcPr>
                <w:p w14:paraId="18F5F665">
                  <w:pPr>
                    <w:pStyle w:val="38"/>
                    <w:keepNext w:val="0"/>
                    <w:keepLines w:val="0"/>
                    <w:widowControl/>
                    <w:suppressLineNumbers w:val="0"/>
                    <w:bidi w:val="0"/>
                    <w:spacing w:before="0" w:beforeAutospacing="0" w:after="0" w:afterAutospacing="0"/>
                    <w:ind w:left="0" w:right="0"/>
                    <w:rPr>
                      <w:rFonts w:hint="eastAsia"/>
                      <w:szCs w:val="22"/>
                    </w:rPr>
                  </w:pPr>
                </w:p>
              </w:tc>
              <w:tc>
                <w:tcPr>
                  <w:tcW w:w="456" w:type="pct"/>
                  <w:vMerge w:val="continue"/>
                  <w:noWrap w:val="0"/>
                  <w:vAlign w:val="center"/>
                </w:tcPr>
                <w:p w14:paraId="45050510">
                  <w:pPr>
                    <w:pStyle w:val="38"/>
                    <w:keepNext w:val="0"/>
                    <w:keepLines w:val="0"/>
                    <w:widowControl/>
                    <w:suppressLineNumbers w:val="0"/>
                    <w:bidi w:val="0"/>
                    <w:spacing w:before="0" w:beforeAutospacing="0" w:after="0" w:afterAutospacing="0"/>
                    <w:ind w:left="0" w:right="0"/>
                    <w:rPr>
                      <w:rFonts w:hint="eastAsia"/>
                      <w:szCs w:val="22"/>
                    </w:rPr>
                  </w:pPr>
                </w:p>
              </w:tc>
              <w:tc>
                <w:tcPr>
                  <w:tcW w:w="860" w:type="pct"/>
                  <w:noWrap w:val="0"/>
                  <w:vAlign w:val="center"/>
                </w:tcPr>
                <w:p w14:paraId="38089346">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废气处理</w:t>
                  </w:r>
                </w:p>
              </w:tc>
              <w:tc>
                <w:tcPr>
                  <w:tcW w:w="1277" w:type="pct"/>
                  <w:noWrap w:val="0"/>
                  <w:vAlign w:val="center"/>
                </w:tcPr>
                <w:p w14:paraId="24995EBD">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废过滤棉</w:t>
                  </w:r>
                </w:p>
              </w:tc>
              <w:tc>
                <w:tcPr>
                  <w:tcW w:w="2166" w:type="pct"/>
                  <w:vMerge w:val="continue"/>
                  <w:noWrap w:val="0"/>
                  <w:vAlign w:val="center"/>
                </w:tcPr>
                <w:p w14:paraId="66C0B6E7">
                  <w:pPr>
                    <w:pStyle w:val="38"/>
                    <w:keepNext w:val="0"/>
                    <w:keepLines w:val="0"/>
                    <w:widowControl/>
                    <w:suppressLineNumbers w:val="0"/>
                    <w:bidi w:val="0"/>
                    <w:spacing w:before="0" w:beforeAutospacing="0" w:after="0" w:afterAutospacing="0"/>
                    <w:ind w:left="0" w:right="0"/>
                    <w:rPr>
                      <w:rFonts w:hint="eastAsia"/>
                      <w:szCs w:val="22"/>
                    </w:rPr>
                  </w:pPr>
                </w:p>
              </w:tc>
            </w:tr>
            <w:tr w14:paraId="55CD8D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40" w:type="pct"/>
                  <w:vMerge w:val="continue"/>
                  <w:noWrap w:val="0"/>
                  <w:vAlign w:val="center"/>
                </w:tcPr>
                <w:p w14:paraId="770C1C80">
                  <w:pPr>
                    <w:pStyle w:val="38"/>
                    <w:keepNext w:val="0"/>
                    <w:keepLines w:val="0"/>
                    <w:widowControl/>
                    <w:suppressLineNumbers w:val="0"/>
                    <w:bidi w:val="0"/>
                    <w:spacing w:before="0" w:beforeAutospacing="0" w:after="0" w:afterAutospacing="0"/>
                    <w:ind w:left="0" w:right="0"/>
                    <w:rPr>
                      <w:rFonts w:hint="eastAsia"/>
                      <w:szCs w:val="22"/>
                    </w:rPr>
                  </w:pPr>
                </w:p>
              </w:tc>
              <w:tc>
                <w:tcPr>
                  <w:tcW w:w="1316" w:type="pct"/>
                  <w:gridSpan w:val="2"/>
                  <w:noWrap w:val="0"/>
                  <w:vAlign w:val="center"/>
                </w:tcPr>
                <w:p w14:paraId="01CDC57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职工生活垃圾</w:t>
                  </w:r>
                </w:p>
              </w:tc>
              <w:tc>
                <w:tcPr>
                  <w:tcW w:w="1277" w:type="pct"/>
                  <w:noWrap w:val="0"/>
                  <w:vAlign w:val="center"/>
                </w:tcPr>
                <w:p w14:paraId="6C21B21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纸屑、果皮、塑料盒、塑料袋等</w:t>
                  </w:r>
                </w:p>
              </w:tc>
              <w:tc>
                <w:tcPr>
                  <w:tcW w:w="2166" w:type="pct"/>
                  <w:noWrap w:val="0"/>
                  <w:vAlign w:val="center"/>
                </w:tcPr>
                <w:p w14:paraId="2605DDC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委托环卫部门统一外运处置</w:t>
                  </w:r>
                </w:p>
              </w:tc>
            </w:tr>
            <w:tr w14:paraId="29C039E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96" w:type="pct"/>
                  <w:gridSpan w:val="2"/>
                  <w:noWrap w:val="0"/>
                  <w:vAlign w:val="center"/>
                </w:tcPr>
                <w:p w14:paraId="4EF1884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噪声</w:t>
                  </w:r>
                </w:p>
              </w:tc>
              <w:tc>
                <w:tcPr>
                  <w:tcW w:w="860" w:type="pct"/>
                  <w:noWrap w:val="0"/>
                  <w:vAlign w:val="center"/>
                </w:tcPr>
                <w:p w14:paraId="7F7EFBF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机械设备</w:t>
                  </w:r>
                </w:p>
              </w:tc>
              <w:tc>
                <w:tcPr>
                  <w:tcW w:w="1277" w:type="pct"/>
                  <w:noWrap w:val="0"/>
                  <w:vAlign w:val="center"/>
                </w:tcPr>
                <w:p w14:paraId="4489730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Leq</w:t>
                  </w:r>
                </w:p>
              </w:tc>
              <w:tc>
                <w:tcPr>
                  <w:tcW w:w="2166" w:type="pct"/>
                  <w:noWrap w:val="0"/>
                  <w:vAlign w:val="center"/>
                </w:tcPr>
                <w:p w14:paraId="7EC894A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厂房隔声、设备基础减振等综合降噪措施</w:t>
                  </w:r>
                </w:p>
              </w:tc>
            </w:tr>
          </w:tbl>
          <w:p w14:paraId="79DEA42C">
            <w:pPr>
              <w:pStyle w:val="4"/>
              <w:suppressLineNumbers w:val="0"/>
              <w:bidi w:val="0"/>
              <w:spacing w:before="0" w:beforeAutospacing="0" w:after="0" w:afterAutospacing="0"/>
              <w:ind w:left="0" w:right="0"/>
              <w:rPr>
                <w:rFonts w:hint="eastAsia"/>
                <w:color w:val="000000"/>
                <w:lang w:val="en-US" w:eastAsia="zh-CN"/>
              </w:rPr>
            </w:pPr>
            <w:r>
              <w:rPr>
                <w:rFonts w:hint="eastAsia"/>
                <w:color w:val="000000"/>
                <w:lang w:val="en-US" w:eastAsia="zh-CN"/>
              </w:rPr>
              <w:t>现有项目污染物产排情况</w:t>
            </w:r>
          </w:p>
          <w:p w14:paraId="48CF9C76">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（1）废水</w:t>
            </w:r>
          </w:p>
          <w:p w14:paraId="37CDCB79">
            <w:pPr>
              <w:keepNext w:val="0"/>
              <w:keepLines w:val="0"/>
              <w:suppressLineNumbers w:val="0"/>
              <w:bidi w:val="0"/>
              <w:spacing w:before="0" w:beforeAutospacing="0" w:after="0" w:afterAutospacing="0"/>
              <w:ind w:left="0" w:right="0"/>
              <w:rPr>
                <w:rFonts w:hint="default"/>
                <w:lang w:val="en-US" w:eastAsia="zh-CN"/>
              </w:rPr>
            </w:pPr>
            <w:r>
              <w:rPr>
                <w:rFonts w:hint="default"/>
              </w:rPr>
              <w:t>项目运营期产生的废水主要为生活污水，</w:t>
            </w:r>
            <w:r>
              <w:rPr>
                <w:rFonts w:hint="eastAsia"/>
                <w:lang w:eastAsia="zh-CN"/>
              </w:rPr>
              <w:t>外排</w:t>
            </w:r>
            <w:r>
              <w:rPr>
                <w:rFonts w:hint="eastAsia"/>
                <w:lang w:val="en-US" w:eastAsia="zh-CN"/>
              </w:rPr>
              <w:t>废水主要为员工生活污水。水帘喷漆用水循环使用不外排，循环使用到一定程度后作为危险废物暂存于危废间，后委托有资质单位清运处置。生活污水依托出租方已建化粪池处理达标后，经市政污水管网进入福清市融元污水处理厂集中处理</w:t>
            </w:r>
            <w:r>
              <w:rPr>
                <w:rFonts w:hint="default"/>
                <w:lang w:eastAsia="zh-CN"/>
              </w:rPr>
              <w:t>。</w:t>
            </w:r>
            <w:r>
              <w:rPr>
                <w:rFonts w:hint="eastAsia"/>
                <w:lang w:val="en-US" w:eastAsia="zh-CN"/>
              </w:rPr>
              <w:t>根据福建九五检测技术服务有限公司关于《福清市三合电子科技有限公司年加工铝合金20万套、塑胶件5万套、板金件5万套项目竣工验收监测》的检测报告（报告编号：JWJC231016012），现有项目废水检测结果如下表。</w:t>
            </w:r>
          </w:p>
          <w:p w14:paraId="404A2210">
            <w:pPr>
              <w:pStyle w:val="39"/>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表2.3-2生活污水检测结果</w:t>
            </w:r>
          </w:p>
          <w:tbl>
            <w:tblPr>
              <w:tblStyle w:val="47"/>
              <w:tblW w:w="4998" w:type="pct"/>
              <w:tblInd w:w="12" w:type="dxa"/>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672"/>
              <w:gridCol w:w="675"/>
              <w:gridCol w:w="1289"/>
              <w:gridCol w:w="960"/>
              <w:gridCol w:w="960"/>
              <w:gridCol w:w="960"/>
              <w:gridCol w:w="960"/>
              <w:gridCol w:w="991"/>
              <w:gridCol w:w="924"/>
            </w:tblGrid>
            <w:tr w14:paraId="4247F33A">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490" w:hRule="atLeast"/>
              </w:trPr>
              <w:tc>
                <w:tcPr>
                  <w:tcW w:w="400" w:type="pct"/>
                  <w:vMerge w:val="restart"/>
                  <w:tcBorders>
                    <w:top w:val="single" w:color="000000" w:sz="12" w:space="0"/>
                    <w:left w:val="nil"/>
                    <w:tl2br w:val="nil"/>
                  </w:tcBorders>
                  <w:shd w:val="clear" w:color="auto" w:fill="auto"/>
                  <w:vAlign w:val="center"/>
                </w:tcPr>
                <w:p w14:paraId="75A50A53">
                  <w:pPr>
                    <w:pStyle w:val="38"/>
                    <w:bidi w:val="0"/>
                    <w:rPr>
                      <w:rFonts w:hint="default"/>
                      <w:b w:val="0"/>
                      <w:color w:val="000000"/>
                    </w:rPr>
                  </w:pPr>
                  <w:r>
                    <w:rPr>
                      <w:rFonts w:hint="default"/>
                      <w:b w:val="0"/>
                      <w:color w:val="000000"/>
                    </w:rPr>
                    <w:t>采样</w:t>
                  </w:r>
                </w:p>
                <w:p w14:paraId="7F4C06FC">
                  <w:pPr>
                    <w:pStyle w:val="38"/>
                    <w:bidi w:val="0"/>
                    <w:rPr>
                      <w:rFonts w:hint="default"/>
                      <w:b w:val="0"/>
                      <w:color w:val="000000"/>
                    </w:rPr>
                  </w:pPr>
                  <w:r>
                    <w:rPr>
                      <w:rFonts w:hint="default"/>
                      <w:b w:val="0"/>
                      <w:color w:val="000000"/>
                    </w:rPr>
                    <w:t>日期</w:t>
                  </w:r>
                </w:p>
              </w:tc>
              <w:tc>
                <w:tcPr>
                  <w:tcW w:w="402" w:type="pct"/>
                  <w:vMerge w:val="restart"/>
                  <w:tcBorders>
                    <w:top w:val="single" w:color="000000" w:sz="12" w:space="0"/>
                  </w:tcBorders>
                  <w:shd w:val="clear" w:color="auto" w:fill="auto"/>
                  <w:vAlign w:val="center"/>
                </w:tcPr>
                <w:p w14:paraId="2C680456">
                  <w:pPr>
                    <w:pStyle w:val="38"/>
                    <w:bidi w:val="0"/>
                    <w:rPr>
                      <w:rFonts w:hint="default"/>
                      <w:b w:val="0"/>
                      <w:color w:val="000000"/>
                    </w:rPr>
                  </w:pPr>
                  <w:r>
                    <w:rPr>
                      <w:rFonts w:hint="default"/>
                      <w:b w:val="0"/>
                      <w:color w:val="000000"/>
                    </w:rPr>
                    <w:t>检测</w:t>
                  </w:r>
                </w:p>
                <w:p w14:paraId="038A1C35">
                  <w:pPr>
                    <w:pStyle w:val="38"/>
                    <w:bidi w:val="0"/>
                    <w:rPr>
                      <w:rFonts w:hint="default"/>
                      <w:b w:val="0"/>
                      <w:color w:val="000000"/>
                    </w:rPr>
                  </w:pPr>
                  <w:r>
                    <w:rPr>
                      <w:rFonts w:hint="default"/>
                      <w:b w:val="0"/>
                      <w:color w:val="000000"/>
                    </w:rPr>
                    <w:t>点位</w:t>
                  </w:r>
                </w:p>
              </w:tc>
              <w:tc>
                <w:tcPr>
                  <w:tcW w:w="768" w:type="pct"/>
                  <w:vMerge w:val="restart"/>
                  <w:tcBorders>
                    <w:top w:val="single" w:color="000000" w:sz="12" w:space="0"/>
                  </w:tcBorders>
                  <w:shd w:val="clear" w:color="auto" w:fill="auto"/>
                  <w:vAlign w:val="center"/>
                </w:tcPr>
                <w:p w14:paraId="5EC32220">
                  <w:pPr>
                    <w:pStyle w:val="38"/>
                    <w:bidi w:val="0"/>
                    <w:rPr>
                      <w:rFonts w:hint="default"/>
                      <w:b w:val="0"/>
                      <w:color w:val="000000"/>
                    </w:rPr>
                  </w:pPr>
                </w:p>
                <w:p w14:paraId="03727DBC">
                  <w:pPr>
                    <w:pStyle w:val="38"/>
                    <w:bidi w:val="0"/>
                    <w:rPr>
                      <w:rFonts w:hint="default"/>
                      <w:b w:val="0"/>
                      <w:color w:val="000000"/>
                    </w:rPr>
                  </w:pPr>
                  <w:r>
                    <w:rPr>
                      <w:rFonts w:hint="default"/>
                      <w:b w:val="0"/>
                      <w:color w:val="000000"/>
                    </w:rPr>
                    <w:t>检测项目</w:t>
                  </w:r>
                </w:p>
              </w:tc>
              <w:tc>
                <w:tcPr>
                  <w:tcW w:w="2878" w:type="pct"/>
                  <w:gridSpan w:val="5"/>
                  <w:tcBorders>
                    <w:top w:val="single" w:color="000000" w:sz="12" w:space="0"/>
                  </w:tcBorders>
                  <w:shd w:val="clear" w:color="auto" w:fill="auto"/>
                  <w:vAlign w:val="center"/>
                </w:tcPr>
                <w:p w14:paraId="43005CEA">
                  <w:pPr>
                    <w:pStyle w:val="38"/>
                    <w:bidi w:val="0"/>
                    <w:rPr>
                      <w:rFonts w:hint="default"/>
                      <w:b w:val="0"/>
                      <w:color w:val="000000"/>
                    </w:rPr>
                  </w:pPr>
                  <w:r>
                    <w:rPr>
                      <w:rFonts w:hint="default"/>
                      <w:b w:val="0"/>
                      <w:color w:val="000000"/>
                    </w:rPr>
                    <w:t>检测频次及结果（mg/L）</w:t>
                  </w:r>
                </w:p>
              </w:tc>
              <w:tc>
                <w:tcPr>
                  <w:tcW w:w="550" w:type="pct"/>
                  <w:vMerge w:val="restart"/>
                  <w:tcBorders>
                    <w:top w:val="single" w:color="000000" w:sz="12" w:space="0"/>
                    <w:right w:val="nil"/>
                  </w:tcBorders>
                  <w:shd w:val="clear" w:color="auto" w:fill="auto"/>
                  <w:vAlign w:val="center"/>
                </w:tcPr>
                <w:p w14:paraId="0FB77DF7">
                  <w:pPr>
                    <w:pStyle w:val="38"/>
                    <w:bidi w:val="0"/>
                    <w:rPr>
                      <w:rFonts w:hint="default"/>
                      <w:b w:val="0"/>
                      <w:color w:val="000000"/>
                    </w:rPr>
                  </w:pPr>
                  <w:r>
                    <w:rPr>
                      <w:rFonts w:hint="default"/>
                      <w:b w:val="0"/>
                      <w:color w:val="000000"/>
                    </w:rPr>
                    <w:t>标准</w:t>
                  </w:r>
                </w:p>
                <w:p w14:paraId="5689A6E3">
                  <w:pPr>
                    <w:pStyle w:val="38"/>
                    <w:bidi w:val="0"/>
                    <w:rPr>
                      <w:rFonts w:hint="default"/>
                      <w:b w:val="0"/>
                      <w:color w:val="000000"/>
                    </w:rPr>
                  </w:pPr>
                  <w:r>
                    <w:rPr>
                      <w:rFonts w:hint="default"/>
                      <w:b w:val="0"/>
                      <w:color w:val="000000"/>
                    </w:rPr>
                    <w:t>限值</w:t>
                  </w:r>
                </w:p>
                <w:p w14:paraId="1CFD3CB4">
                  <w:pPr>
                    <w:pStyle w:val="38"/>
                    <w:bidi w:val="0"/>
                    <w:rPr>
                      <w:rFonts w:hint="eastAsia" w:eastAsia="宋体"/>
                      <w:b w:val="0"/>
                      <w:color w:val="000000"/>
                      <w:lang w:eastAsia="zh-CN"/>
                    </w:rPr>
                  </w:pPr>
                  <w:r>
                    <w:rPr>
                      <w:rFonts w:hint="eastAsia"/>
                      <w:b w:val="0"/>
                      <w:color w:val="000000"/>
                      <w:lang w:eastAsia="zh-CN"/>
                    </w:rPr>
                    <w:t>（</w:t>
                  </w:r>
                  <w:r>
                    <w:rPr>
                      <w:rFonts w:hint="default"/>
                      <w:b w:val="0"/>
                      <w:color w:val="000000"/>
                    </w:rPr>
                    <w:t>mg/L</w:t>
                  </w:r>
                  <w:r>
                    <w:rPr>
                      <w:rFonts w:hint="eastAsia"/>
                      <w:b w:val="0"/>
                      <w:color w:val="000000"/>
                      <w:lang w:eastAsia="zh-CN"/>
                    </w:rPr>
                    <w:t>）</w:t>
                  </w:r>
                </w:p>
              </w:tc>
            </w:tr>
            <w:tr w14:paraId="14282176">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25" w:hRule="atLeast"/>
              </w:trPr>
              <w:tc>
                <w:tcPr>
                  <w:tcW w:w="400" w:type="pct"/>
                  <w:vMerge w:val="continue"/>
                  <w:tcBorders>
                    <w:left w:val="nil"/>
                  </w:tcBorders>
                  <w:shd w:val="clear" w:color="auto" w:fill="auto"/>
                  <w:vAlign w:val="center"/>
                </w:tcPr>
                <w:p w14:paraId="0378B066">
                  <w:pPr>
                    <w:pStyle w:val="38"/>
                    <w:bidi w:val="0"/>
                    <w:rPr>
                      <w:rFonts w:hint="default"/>
                      <w:b w:val="0"/>
                      <w:color w:val="000000"/>
                    </w:rPr>
                  </w:pPr>
                </w:p>
              </w:tc>
              <w:tc>
                <w:tcPr>
                  <w:tcW w:w="402" w:type="pct"/>
                  <w:vMerge w:val="continue"/>
                  <w:shd w:val="clear" w:color="auto" w:fill="auto"/>
                  <w:vAlign w:val="center"/>
                </w:tcPr>
                <w:p w14:paraId="2FA07EF4">
                  <w:pPr>
                    <w:pStyle w:val="38"/>
                    <w:bidi w:val="0"/>
                    <w:rPr>
                      <w:rFonts w:hint="default"/>
                      <w:b w:val="0"/>
                      <w:color w:val="000000"/>
                    </w:rPr>
                  </w:pPr>
                </w:p>
              </w:tc>
              <w:tc>
                <w:tcPr>
                  <w:tcW w:w="768" w:type="pct"/>
                  <w:vMerge w:val="continue"/>
                  <w:shd w:val="clear" w:color="auto" w:fill="auto"/>
                  <w:vAlign w:val="center"/>
                </w:tcPr>
                <w:p w14:paraId="0D0B4F57">
                  <w:pPr>
                    <w:pStyle w:val="38"/>
                    <w:bidi w:val="0"/>
                    <w:rPr>
                      <w:rFonts w:hint="default"/>
                      <w:b w:val="0"/>
                      <w:color w:val="000000"/>
                    </w:rPr>
                  </w:pPr>
                </w:p>
              </w:tc>
              <w:tc>
                <w:tcPr>
                  <w:tcW w:w="572" w:type="pct"/>
                  <w:shd w:val="clear" w:color="auto" w:fill="auto"/>
                  <w:vAlign w:val="center"/>
                </w:tcPr>
                <w:p w14:paraId="224C2488">
                  <w:pPr>
                    <w:pStyle w:val="38"/>
                    <w:bidi w:val="0"/>
                    <w:rPr>
                      <w:rFonts w:hint="default"/>
                      <w:b w:val="0"/>
                      <w:color w:val="000000"/>
                    </w:rPr>
                  </w:pPr>
                  <w:r>
                    <w:rPr>
                      <w:rFonts w:hint="default"/>
                      <w:b w:val="0"/>
                      <w:color w:val="000000"/>
                    </w:rPr>
                    <w:t>1</w:t>
                  </w:r>
                </w:p>
              </w:tc>
              <w:tc>
                <w:tcPr>
                  <w:tcW w:w="572" w:type="pct"/>
                  <w:shd w:val="clear" w:color="auto" w:fill="auto"/>
                  <w:vAlign w:val="center"/>
                </w:tcPr>
                <w:p w14:paraId="7806F51E">
                  <w:pPr>
                    <w:pStyle w:val="38"/>
                    <w:bidi w:val="0"/>
                    <w:rPr>
                      <w:rFonts w:hint="default"/>
                      <w:b w:val="0"/>
                      <w:color w:val="000000"/>
                    </w:rPr>
                  </w:pPr>
                  <w:r>
                    <w:rPr>
                      <w:rFonts w:hint="default"/>
                      <w:b w:val="0"/>
                      <w:color w:val="000000"/>
                    </w:rPr>
                    <w:t>2</w:t>
                  </w:r>
                </w:p>
              </w:tc>
              <w:tc>
                <w:tcPr>
                  <w:tcW w:w="572" w:type="pct"/>
                  <w:shd w:val="clear" w:color="auto" w:fill="auto"/>
                  <w:vAlign w:val="center"/>
                </w:tcPr>
                <w:p w14:paraId="33C1F57B">
                  <w:pPr>
                    <w:pStyle w:val="38"/>
                    <w:bidi w:val="0"/>
                    <w:rPr>
                      <w:rFonts w:hint="default"/>
                      <w:b w:val="0"/>
                      <w:color w:val="000000"/>
                    </w:rPr>
                  </w:pPr>
                  <w:r>
                    <w:rPr>
                      <w:rFonts w:hint="default"/>
                      <w:b w:val="0"/>
                      <w:color w:val="000000"/>
                    </w:rPr>
                    <w:t>3</w:t>
                  </w:r>
                </w:p>
              </w:tc>
              <w:tc>
                <w:tcPr>
                  <w:tcW w:w="572" w:type="pct"/>
                  <w:shd w:val="clear" w:color="auto" w:fill="auto"/>
                  <w:vAlign w:val="center"/>
                </w:tcPr>
                <w:p w14:paraId="44CF727F">
                  <w:pPr>
                    <w:pStyle w:val="38"/>
                    <w:bidi w:val="0"/>
                    <w:rPr>
                      <w:rFonts w:hint="default"/>
                      <w:b w:val="0"/>
                      <w:color w:val="000000"/>
                    </w:rPr>
                  </w:pPr>
                  <w:r>
                    <w:rPr>
                      <w:rFonts w:hint="default"/>
                      <w:b w:val="0"/>
                      <w:color w:val="000000"/>
                    </w:rPr>
                    <w:t>4</w:t>
                  </w:r>
                </w:p>
              </w:tc>
              <w:tc>
                <w:tcPr>
                  <w:tcW w:w="588" w:type="pct"/>
                  <w:shd w:val="clear" w:color="auto" w:fill="auto"/>
                  <w:vAlign w:val="center"/>
                </w:tcPr>
                <w:p w14:paraId="6863AA92">
                  <w:pPr>
                    <w:pStyle w:val="38"/>
                    <w:bidi w:val="0"/>
                    <w:rPr>
                      <w:rFonts w:hint="default"/>
                      <w:b w:val="0"/>
                      <w:color w:val="000000"/>
                    </w:rPr>
                  </w:pPr>
                  <w:r>
                    <w:rPr>
                      <w:rFonts w:hint="default"/>
                      <w:b w:val="0"/>
                      <w:color w:val="000000"/>
                    </w:rPr>
                    <w:t>平均值或范围</w:t>
                  </w:r>
                </w:p>
              </w:tc>
              <w:tc>
                <w:tcPr>
                  <w:tcW w:w="550" w:type="pct"/>
                  <w:vMerge w:val="continue"/>
                  <w:tcBorders>
                    <w:right w:val="nil"/>
                  </w:tcBorders>
                  <w:shd w:val="clear" w:color="auto" w:fill="auto"/>
                  <w:vAlign w:val="center"/>
                </w:tcPr>
                <w:p w14:paraId="19457E67">
                  <w:pPr>
                    <w:pStyle w:val="38"/>
                    <w:bidi w:val="0"/>
                    <w:rPr>
                      <w:rFonts w:hint="default"/>
                      <w:b w:val="0"/>
                      <w:color w:val="000000"/>
                    </w:rPr>
                  </w:pPr>
                </w:p>
              </w:tc>
            </w:tr>
            <w:tr w14:paraId="402A9DB1">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65" w:hRule="atLeast"/>
              </w:trPr>
              <w:tc>
                <w:tcPr>
                  <w:tcW w:w="400" w:type="pct"/>
                  <w:vMerge w:val="restart"/>
                  <w:tcBorders>
                    <w:left w:val="nil"/>
                  </w:tcBorders>
                  <w:shd w:val="clear" w:color="auto" w:fill="auto"/>
                  <w:vAlign w:val="center"/>
                </w:tcPr>
                <w:p w14:paraId="1F3FAA08">
                  <w:pPr>
                    <w:pStyle w:val="38"/>
                    <w:bidi w:val="0"/>
                    <w:rPr>
                      <w:rFonts w:hint="default"/>
                      <w:b w:val="0"/>
                      <w:color w:val="000000"/>
                    </w:rPr>
                  </w:pPr>
                  <w:r>
                    <w:rPr>
                      <w:rFonts w:hint="default"/>
                      <w:b w:val="0"/>
                      <w:color w:val="000000"/>
                    </w:rPr>
                    <w:t>2023</w:t>
                  </w:r>
                </w:p>
                <w:p w14:paraId="670E2399">
                  <w:pPr>
                    <w:pStyle w:val="38"/>
                    <w:bidi w:val="0"/>
                    <w:rPr>
                      <w:rFonts w:hint="default"/>
                      <w:b w:val="0"/>
                      <w:color w:val="000000"/>
                    </w:rPr>
                  </w:pPr>
                  <w:r>
                    <w:rPr>
                      <w:rFonts w:hint="default"/>
                      <w:b w:val="0"/>
                      <w:color w:val="000000"/>
                    </w:rPr>
                    <w:t>年10月</w:t>
                  </w:r>
                </w:p>
                <w:p w14:paraId="6655013A">
                  <w:pPr>
                    <w:pStyle w:val="38"/>
                    <w:bidi w:val="0"/>
                    <w:rPr>
                      <w:rFonts w:hint="default"/>
                      <w:b w:val="0"/>
                      <w:color w:val="000000"/>
                    </w:rPr>
                  </w:pPr>
                  <w:r>
                    <w:rPr>
                      <w:rFonts w:hint="default"/>
                      <w:b w:val="0"/>
                      <w:color w:val="000000"/>
                    </w:rPr>
                    <w:t>21日</w:t>
                  </w:r>
                </w:p>
              </w:tc>
              <w:tc>
                <w:tcPr>
                  <w:tcW w:w="402" w:type="pct"/>
                  <w:vMerge w:val="restart"/>
                  <w:shd w:val="clear" w:color="auto" w:fill="auto"/>
                  <w:vAlign w:val="center"/>
                </w:tcPr>
                <w:p w14:paraId="21E75226">
                  <w:pPr>
                    <w:pStyle w:val="38"/>
                    <w:bidi w:val="0"/>
                    <w:rPr>
                      <w:rFonts w:hint="default"/>
                      <w:b w:val="0"/>
                      <w:color w:val="000000"/>
                    </w:rPr>
                  </w:pPr>
                  <w:r>
                    <w:rPr>
                      <w:rFonts w:hint="default"/>
                      <w:b w:val="0"/>
                      <w:color w:val="000000"/>
                    </w:rPr>
                    <w:t>S1</w:t>
                  </w:r>
                </w:p>
                <w:p w14:paraId="5A123DF9">
                  <w:pPr>
                    <w:pStyle w:val="38"/>
                    <w:bidi w:val="0"/>
                    <w:rPr>
                      <w:rFonts w:hint="default"/>
                      <w:b w:val="0"/>
                      <w:color w:val="000000"/>
                    </w:rPr>
                  </w:pPr>
                  <w:r>
                    <w:rPr>
                      <w:rFonts w:hint="default"/>
                      <w:b w:val="0"/>
                      <w:color w:val="000000"/>
                    </w:rPr>
                    <w:t>化粪</w:t>
                  </w:r>
                </w:p>
                <w:p w14:paraId="2E3A6314">
                  <w:pPr>
                    <w:pStyle w:val="38"/>
                    <w:bidi w:val="0"/>
                    <w:rPr>
                      <w:rFonts w:hint="default"/>
                      <w:b w:val="0"/>
                      <w:color w:val="000000"/>
                    </w:rPr>
                  </w:pPr>
                  <w:r>
                    <w:rPr>
                      <w:rFonts w:hint="default"/>
                      <w:b w:val="0"/>
                      <w:color w:val="000000"/>
                    </w:rPr>
                    <w:t>池出</w:t>
                  </w:r>
                </w:p>
                <w:p w14:paraId="21B6BB50">
                  <w:pPr>
                    <w:pStyle w:val="38"/>
                    <w:bidi w:val="0"/>
                    <w:rPr>
                      <w:rFonts w:hint="default"/>
                      <w:b w:val="0"/>
                      <w:color w:val="000000"/>
                    </w:rPr>
                  </w:pPr>
                  <w:r>
                    <w:rPr>
                      <w:rFonts w:hint="default"/>
                      <w:b w:val="0"/>
                      <w:color w:val="000000"/>
                    </w:rPr>
                    <w:t>口</w:t>
                  </w:r>
                </w:p>
              </w:tc>
              <w:tc>
                <w:tcPr>
                  <w:tcW w:w="768" w:type="pct"/>
                  <w:shd w:val="clear" w:color="auto" w:fill="auto"/>
                  <w:vAlign w:val="center"/>
                </w:tcPr>
                <w:p w14:paraId="56AE4084">
                  <w:pPr>
                    <w:pStyle w:val="38"/>
                    <w:bidi w:val="0"/>
                    <w:rPr>
                      <w:rFonts w:hint="default"/>
                      <w:b w:val="0"/>
                      <w:color w:val="000000"/>
                    </w:rPr>
                  </w:pPr>
                  <w:r>
                    <w:rPr>
                      <w:rFonts w:hint="default"/>
                      <w:b w:val="0"/>
                      <w:color w:val="000000"/>
                    </w:rPr>
                    <w:t>样品性状</w:t>
                  </w:r>
                </w:p>
              </w:tc>
              <w:tc>
                <w:tcPr>
                  <w:tcW w:w="572" w:type="pct"/>
                  <w:shd w:val="clear" w:color="auto" w:fill="auto"/>
                  <w:vAlign w:val="center"/>
                </w:tcPr>
                <w:p w14:paraId="7975F7FF">
                  <w:pPr>
                    <w:pStyle w:val="38"/>
                    <w:bidi w:val="0"/>
                    <w:rPr>
                      <w:rFonts w:hint="default"/>
                      <w:b w:val="0"/>
                      <w:color w:val="000000"/>
                      <w:lang w:val="en-US" w:eastAsia="zh-CN"/>
                    </w:rPr>
                  </w:pPr>
                  <w:r>
                    <w:rPr>
                      <w:rFonts w:hint="eastAsia"/>
                      <w:b w:val="0"/>
                      <w:color w:val="000000"/>
                      <w:lang w:val="en-US" w:eastAsia="zh-CN"/>
                    </w:rPr>
                    <w:t>微灰、轻微异味、微浊</w:t>
                  </w:r>
                </w:p>
              </w:tc>
              <w:tc>
                <w:tcPr>
                  <w:tcW w:w="572" w:type="pct"/>
                  <w:shd w:val="clear" w:color="auto" w:fill="auto"/>
                  <w:vAlign w:val="center"/>
                </w:tcPr>
                <w:p w14:paraId="310D07F7">
                  <w:pPr>
                    <w:pStyle w:val="38"/>
                    <w:bidi w:val="0"/>
                    <w:rPr>
                      <w:rFonts w:hint="default"/>
                      <w:b w:val="0"/>
                      <w:color w:val="000000"/>
                    </w:rPr>
                  </w:pPr>
                  <w:r>
                    <w:rPr>
                      <w:rFonts w:hint="eastAsia"/>
                      <w:b w:val="0"/>
                      <w:color w:val="000000"/>
                      <w:lang w:val="en-US" w:eastAsia="zh-CN"/>
                    </w:rPr>
                    <w:t>微灰、轻微异味、微浊</w:t>
                  </w:r>
                </w:p>
              </w:tc>
              <w:tc>
                <w:tcPr>
                  <w:tcW w:w="572" w:type="pct"/>
                  <w:shd w:val="clear" w:color="auto" w:fill="auto"/>
                  <w:vAlign w:val="center"/>
                </w:tcPr>
                <w:p w14:paraId="160C22A0">
                  <w:pPr>
                    <w:pStyle w:val="38"/>
                    <w:bidi w:val="0"/>
                    <w:rPr>
                      <w:rFonts w:hint="default"/>
                      <w:b w:val="0"/>
                      <w:color w:val="000000"/>
                    </w:rPr>
                  </w:pPr>
                  <w:r>
                    <w:rPr>
                      <w:rFonts w:hint="eastAsia"/>
                      <w:b w:val="0"/>
                      <w:color w:val="000000"/>
                      <w:lang w:val="en-US" w:eastAsia="zh-CN"/>
                    </w:rPr>
                    <w:t>微灰、轻微异味、微浊</w:t>
                  </w:r>
                </w:p>
              </w:tc>
              <w:tc>
                <w:tcPr>
                  <w:tcW w:w="572" w:type="pct"/>
                  <w:shd w:val="clear" w:color="auto" w:fill="auto"/>
                  <w:vAlign w:val="center"/>
                </w:tcPr>
                <w:p w14:paraId="7DC1F294">
                  <w:pPr>
                    <w:pStyle w:val="38"/>
                    <w:bidi w:val="0"/>
                    <w:rPr>
                      <w:rFonts w:hint="default"/>
                      <w:b w:val="0"/>
                      <w:color w:val="000000"/>
                    </w:rPr>
                  </w:pPr>
                  <w:r>
                    <w:rPr>
                      <w:rFonts w:hint="eastAsia"/>
                      <w:b w:val="0"/>
                      <w:color w:val="000000"/>
                      <w:lang w:val="en-US" w:eastAsia="zh-CN"/>
                    </w:rPr>
                    <w:t>微灰、轻微异味、微浊</w:t>
                  </w:r>
                </w:p>
              </w:tc>
              <w:tc>
                <w:tcPr>
                  <w:tcW w:w="588" w:type="pct"/>
                  <w:shd w:val="clear" w:color="auto" w:fill="auto"/>
                  <w:vAlign w:val="center"/>
                </w:tcPr>
                <w:p w14:paraId="5D1F8657">
                  <w:pPr>
                    <w:pStyle w:val="38"/>
                    <w:bidi w:val="0"/>
                    <w:rPr>
                      <w:rFonts w:hint="default"/>
                      <w:b w:val="0"/>
                      <w:color w:val="000000"/>
                    </w:rPr>
                  </w:pPr>
                  <w:r>
                    <w:rPr>
                      <w:rFonts w:hint="default"/>
                      <w:b w:val="0"/>
                      <w:color w:val="000000"/>
                    </w:rPr>
                    <w:t>---</w:t>
                  </w:r>
                </w:p>
              </w:tc>
              <w:tc>
                <w:tcPr>
                  <w:tcW w:w="550" w:type="pct"/>
                  <w:tcBorders>
                    <w:right w:val="nil"/>
                  </w:tcBorders>
                  <w:shd w:val="clear" w:color="auto" w:fill="auto"/>
                  <w:vAlign w:val="center"/>
                </w:tcPr>
                <w:p w14:paraId="2F65A0C3">
                  <w:pPr>
                    <w:pStyle w:val="38"/>
                    <w:bidi w:val="0"/>
                    <w:rPr>
                      <w:rFonts w:hint="default"/>
                      <w:b w:val="0"/>
                      <w:color w:val="000000"/>
                    </w:rPr>
                  </w:pPr>
                  <w:r>
                    <w:rPr>
                      <w:rFonts w:hint="default"/>
                      <w:b w:val="0"/>
                      <w:color w:val="000000"/>
                    </w:rPr>
                    <w:t>---</w:t>
                  </w:r>
                </w:p>
              </w:tc>
            </w:tr>
            <w:tr w14:paraId="6EFF5281">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25" w:hRule="atLeast"/>
              </w:trPr>
              <w:tc>
                <w:tcPr>
                  <w:tcW w:w="400" w:type="pct"/>
                  <w:vMerge w:val="continue"/>
                  <w:tcBorders>
                    <w:left w:val="nil"/>
                  </w:tcBorders>
                  <w:shd w:val="clear" w:color="auto" w:fill="auto"/>
                  <w:vAlign w:val="center"/>
                </w:tcPr>
                <w:p w14:paraId="58EE713B">
                  <w:pPr>
                    <w:pStyle w:val="38"/>
                    <w:bidi w:val="0"/>
                    <w:rPr>
                      <w:rFonts w:hint="default"/>
                      <w:b w:val="0"/>
                      <w:color w:val="000000"/>
                    </w:rPr>
                  </w:pPr>
                </w:p>
              </w:tc>
              <w:tc>
                <w:tcPr>
                  <w:tcW w:w="402" w:type="pct"/>
                  <w:vMerge w:val="continue"/>
                  <w:shd w:val="clear" w:color="auto" w:fill="auto"/>
                  <w:vAlign w:val="center"/>
                </w:tcPr>
                <w:p w14:paraId="200EA52D">
                  <w:pPr>
                    <w:pStyle w:val="38"/>
                    <w:bidi w:val="0"/>
                    <w:rPr>
                      <w:rFonts w:hint="default"/>
                      <w:b w:val="0"/>
                      <w:color w:val="000000"/>
                    </w:rPr>
                  </w:pPr>
                </w:p>
              </w:tc>
              <w:tc>
                <w:tcPr>
                  <w:tcW w:w="768" w:type="pct"/>
                  <w:shd w:val="clear" w:color="auto" w:fill="auto"/>
                  <w:vAlign w:val="center"/>
                </w:tcPr>
                <w:p w14:paraId="3610ECF0">
                  <w:pPr>
                    <w:pStyle w:val="38"/>
                    <w:bidi w:val="0"/>
                    <w:rPr>
                      <w:rFonts w:hint="default"/>
                      <w:b w:val="0"/>
                      <w:color w:val="000000"/>
                    </w:rPr>
                  </w:pPr>
                  <w:r>
                    <w:rPr>
                      <w:rFonts w:hint="default"/>
                      <w:b w:val="0"/>
                      <w:color w:val="000000"/>
                    </w:rPr>
                    <w:t>pH值（无量纲）</w:t>
                  </w:r>
                </w:p>
              </w:tc>
              <w:tc>
                <w:tcPr>
                  <w:tcW w:w="572" w:type="pct"/>
                  <w:shd w:val="clear" w:color="auto" w:fill="auto"/>
                  <w:vAlign w:val="center"/>
                </w:tcPr>
                <w:p w14:paraId="208B79BD">
                  <w:pPr>
                    <w:pStyle w:val="38"/>
                    <w:bidi w:val="0"/>
                    <w:rPr>
                      <w:rFonts w:hint="default"/>
                      <w:b w:val="0"/>
                      <w:color w:val="000000"/>
                    </w:rPr>
                  </w:pPr>
                  <w:r>
                    <w:rPr>
                      <w:rFonts w:hint="default"/>
                      <w:b w:val="0"/>
                      <w:color w:val="000000"/>
                    </w:rPr>
                    <w:t>7.0</w:t>
                  </w:r>
                </w:p>
              </w:tc>
              <w:tc>
                <w:tcPr>
                  <w:tcW w:w="572" w:type="pct"/>
                  <w:shd w:val="clear" w:color="auto" w:fill="auto"/>
                  <w:vAlign w:val="center"/>
                </w:tcPr>
                <w:p w14:paraId="59E839CA">
                  <w:pPr>
                    <w:pStyle w:val="38"/>
                    <w:bidi w:val="0"/>
                    <w:rPr>
                      <w:rFonts w:hint="default"/>
                      <w:b w:val="0"/>
                      <w:color w:val="000000"/>
                    </w:rPr>
                  </w:pPr>
                  <w:r>
                    <w:rPr>
                      <w:rFonts w:hint="default"/>
                      <w:b w:val="0"/>
                      <w:color w:val="000000"/>
                    </w:rPr>
                    <w:t>6.9</w:t>
                  </w:r>
                </w:p>
              </w:tc>
              <w:tc>
                <w:tcPr>
                  <w:tcW w:w="572" w:type="pct"/>
                  <w:shd w:val="clear" w:color="auto" w:fill="auto"/>
                  <w:vAlign w:val="center"/>
                </w:tcPr>
                <w:p w14:paraId="5A41415C">
                  <w:pPr>
                    <w:pStyle w:val="38"/>
                    <w:bidi w:val="0"/>
                    <w:rPr>
                      <w:rFonts w:hint="default"/>
                      <w:b w:val="0"/>
                      <w:color w:val="000000"/>
                    </w:rPr>
                  </w:pPr>
                  <w:r>
                    <w:rPr>
                      <w:rFonts w:hint="default"/>
                      <w:b w:val="0"/>
                      <w:color w:val="000000"/>
                    </w:rPr>
                    <w:t>7.1</w:t>
                  </w:r>
                </w:p>
              </w:tc>
              <w:tc>
                <w:tcPr>
                  <w:tcW w:w="572" w:type="pct"/>
                  <w:shd w:val="clear" w:color="auto" w:fill="auto"/>
                  <w:vAlign w:val="center"/>
                </w:tcPr>
                <w:p w14:paraId="378F8F48">
                  <w:pPr>
                    <w:pStyle w:val="38"/>
                    <w:bidi w:val="0"/>
                    <w:rPr>
                      <w:rFonts w:hint="default"/>
                      <w:b w:val="0"/>
                      <w:color w:val="000000"/>
                    </w:rPr>
                  </w:pPr>
                  <w:r>
                    <w:rPr>
                      <w:rFonts w:hint="default"/>
                      <w:b w:val="0"/>
                      <w:color w:val="000000"/>
                    </w:rPr>
                    <w:t>7.0</w:t>
                  </w:r>
                </w:p>
              </w:tc>
              <w:tc>
                <w:tcPr>
                  <w:tcW w:w="588" w:type="pct"/>
                  <w:shd w:val="clear" w:color="auto" w:fill="auto"/>
                  <w:vAlign w:val="center"/>
                </w:tcPr>
                <w:p w14:paraId="49D7F13C">
                  <w:pPr>
                    <w:pStyle w:val="38"/>
                    <w:bidi w:val="0"/>
                    <w:rPr>
                      <w:rFonts w:hint="default"/>
                      <w:b w:val="0"/>
                      <w:color w:val="000000"/>
                    </w:rPr>
                  </w:pPr>
                  <w:r>
                    <w:rPr>
                      <w:rFonts w:hint="default"/>
                      <w:b w:val="0"/>
                      <w:color w:val="000000"/>
                    </w:rPr>
                    <w:t>6.9~7.1</w:t>
                  </w:r>
                </w:p>
              </w:tc>
              <w:tc>
                <w:tcPr>
                  <w:tcW w:w="550" w:type="pct"/>
                  <w:tcBorders>
                    <w:right w:val="nil"/>
                  </w:tcBorders>
                  <w:shd w:val="clear" w:color="auto" w:fill="auto"/>
                  <w:vAlign w:val="center"/>
                </w:tcPr>
                <w:p w14:paraId="6EE63911">
                  <w:pPr>
                    <w:pStyle w:val="38"/>
                    <w:bidi w:val="0"/>
                    <w:rPr>
                      <w:rFonts w:hint="default"/>
                      <w:b w:val="0"/>
                      <w:color w:val="000000"/>
                    </w:rPr>
                  </w:pPr>
                  <w:r>
                    <w:rPr>
                      <w:rFonts w:hint="default"/>
                      <w:b w:val="0"/>
                      <w:color w:val="000000"/>
                    </w:rPr>
                    <w:t>6~9</w:t>
                  </w:r>
                </w:p>
              </w:tc>
            </w:tr>
            <w:tr w14:paraId="6EE3CD0A">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486" w:hRule="atLeast"/>
              </w:trPr>
              <w:tc>
                <w:tcPr>
                  <w:tcW w:w="400" w:type="pct"/>
                  <w:vMerge w:val="continue"/>
                  <w:tcBorders>
                    <w:left w:val="nil"/>
                  </w:tcBorders>
                  <w:shd w:val="clear" w:color="auto" w:fill="auto"/>
                  <w:vAlign w:val="center"/>
                </w:tcPr>
                <w:p w14:paraId="504673F8">
                  <w:pPr>
                    <w:pStyle w:val="38"/>
                    <w:bidi w:val="0"/>
                    <w:rPr>
                      <w:rFonts w:hint="default"/>
                      <w:b w:val="0"/>
                      <w:color w:val="000000"/>
                    </w:rPr>
                  </w:pPr>
                </w:p>
              </w:tc>
              <w:tc>
                <w:tcPr>
                  <w:tcW w:w="402" w:type="pct"/>
                  <w:vMerge w:val="continue"/>
                  <w:shd w:val="clear" w:color="auto" w:fill="auto"/>
                  <w:vAlign w:val="center"/>
                </w:tcPr>
                <w:p w14:paraId="06554BD1">
                  <w:pPr>
                    <w:pStyle w:val="38"/>
                    <w:bidi w:val="0"/>
                    <w:rPr>
                      <w:rFonts w:hint="default"/>
                      <w:b w:val="0"/>
                      <w:color w:val="000000"/>
                    </w:rPr>
                  </w:pPr>
                </w:p>
              </w:tc>
              <w:tc>
                <w:tcPr>
                  <w:tcW w:w="768" w:type="pct"/>
                  <w:shd w:val="clear" w:color="auto" w:fill="auto"/>
                  <w:vAlign w:val="center"/>
                </w:tcPr>
                <w:p w14:paraId="7BDE67E1">
                  <w:pPr>
                    <w:pStyle w:val="38"/>
                    <w:bidi w:val="0"/>
                    <w:rPr>
                      <w:rFonts w:hint="default"/>
                      <w:b w:val="0"/>
                      <w:color w:val="000000"/>
                    </w:rPr>
                  </w:pPr>
                  <w:r>
                    <w:rPr>
                      <w:rFonts w:hint="default"/>
                      <w:b w:val="0"/>
                      <w:color w:val="000000"/>
                    </w:rPr>
                    <w:t>化学需氧量</w:t>
                  </w:r>
                </w:p>
              </w:tc>
              <w:tc>
                <w:tcPr>
                  <w:tcW w:w="572" w:type="pct"/>
                  <w:shd w:val="clear" w:color="auto" w:fill="auto"/>
                  <w:vAlign w:val="center"/>
                </w:tcPr>
                <w:p w14:paraId="15307079">
                  <w:pPr>
                    <w:pStyle w:val="38"/>
                    <w:bidi w:val="0"/>
                    <w:rPr>
                      <w:rFonts w:hint="default"/>
                      <w:b w:val="0"/>
                      <w:color w:val="000000"/>
                    </w:rPr>
                  </w:pPr>
                  <w:r>
                    <w:rPr>
                      <w:rFonts w:hint="default"/>
                      <w:b w:val="0"/>
                      <w:color w:val="000000"/>
                    </w:rPr>
                    <w:t>395</w:t>
                  </w:r>
                </w:p>
              </w:tc>
              <w:tc>
                <w:tcPr>
                  <w:tcW w:w="572" w:type="pct"/>
                  <w:shd w:val="clear" w:color="auto" w:fill="auto"/>
                  <w:vAlign w:val="center"/>
                </w:tcPr>
                <w:p w14:paraId="7768BEEB">
                  <w:pPr>
                    <w:pStyle w:val="38"/>
                    <w:bidi w:val="0"/>
                    <w:rPr>
                      <w:rFonts w:hint="default"/>
                      <w:b w:val="0"/>
                      <w:color w:val="000000"/>
                    </w:rPr>
                  </w:pPr>
                  <w:r>
                    <w:rPr>
                      <w:rFonts w:hint="default"/>
                      <w:b w:val="0"/>
                      <w:color w:val="000000"/>
                    </w:rPr>
                    <w:t>386</w:t>
                  </w:r>
                </w:p>
              </w:tc>
              <w:tc>
                <w:tcPr>
                  <w:tcW w:w="572" w:type="pct"/>
                  <w:shd w:val="clear" w:color="auto" w:fill="auto"/>
                  <w:vAlign w:val="center"/>
                </w:tcPr>
                <w:p w14:paraId="6B473922">
                  <w:pPr>
                    <w:pStyle w:val="38"/>
                    <w:bidi w:val="0"/>
                    <w:rPr>
                      <w:rFonts w:hint="default"/>
                      <w:b w:val="0"/>
                      <w:color w:val="000000"/>
                    </w:rPr>
                  </w:pPr>
                  <w:r>
                    <w:rPr>
                      <w:rFonts w:hint="default"/>
                      <w:b w:val="0"/>
                      <w:color w:val="000000"/>
                    </w:rPr>
                    <w:t>405</w:t>
                  </w:r>
                </w:p>
              </w:tc>
              <w:tc>
                <w:tcPr>
                  <w:tcW w:w="572" w:type="pct"/>
                  <w:shd w:val="clear" w:color="auto" w:fill="auto"/>
                  <w:vAlign w:val="center"/>
                </w:tcPr>
                <w:p w14:paraId="607E95A8">
                  <w:pPr>
                    <w:pStyle w:val="38"/>
                    <w:bidi w:val="0"/>
                    <w:rPr>
                      <w:rFonts w:hint="default"/>
                      <w:b w:val="0"/>
                      <w:color w:val="000000"/>
                    </w:rPr>
                  </w:pPr>
                  <w:r>
                    <w:rPr>
                      <w:rFonts w:hint="default"/>
                      <w:b w:val="0"/>
                      <w:color w:val="000000"/>
                    </w:rPr>
                    <w:t>380</w:t>
                  </w:r>
                </w:p>
              </w:tc>
              <w:tc>
                <w:tcPr>
                  <w:tcW w:w="588" w:type="pct"/>
                  <w:shd w:val="clear" w:color="auto" w:fill="auto"/>
                  <w:vAlign w:val="center"/>
                </w:tcPr>
                <w:p w14:paraId="032A8E8D">
                  <w:pPr>
                    <w:pStyle w:val="38"/>
                    <w:bidi w:val="0"/>
                    <w:rPr>
                      <w:rFonts w:hint="default"/>
                      <w:b w:val="0"/>
                      <w:color w:val="000000"/>
                    </w:rPr>
                  </w:pPr>
                  <w:r>
                    <w:rPr>
                      <w:rFonts w:hint="default"/>
                      <w:b w:val="0"/>
                      <w:color w:val="000000"/>
                    </w:rPr>
                    <w:t>392</w:t>
                  </w:r>
                </w:p>
              </w:tc>
              <w:tc>
                <w:tcPr>
                  <w:tcW w:w="550" w:type="pct"/>
                  <w:tcBorders>
                    <w:right w:val="nil"/>
                  </w:tcBorders>
                  <w:shd w:val="clear" w:color="auto" w:fill="auto"/>
                  <w:vAlign w:val="center"/>
                </w:tcPr>
                <w:p w14:paraId="6F3499F8">
                  <w:pPr>
                    <w:pStyle w:val="38"/>
                    <w:bidi w:val="0"/>
                    <w:rPr>
                      <w:rFonts w:hint="default"/>
                      <w:b w:val="0"/>
                      <w:color w:val="000000"/>
                    </w:rPr>
                  </w:pPr>
                  <w:r>
                    <w:rPr>
                      <w:rFonts w:hint="default"/>
                      <w:b w:val="0"/>
                      <w:color w:val="000000"/>
                    </w:rPr>
                    <w:t>500</w:t>
                  </w:r>
                </w:p>
              </w:tc>
            </w:tr>
            <w:tr w14:paraId="71AFFF74">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26" w:hRule="atLeast"/>
              </w:trPr>
              <w:tc>
                <w:tcPr>
                  <w:tcW w:w="400" w:type="pct"/>
                  <w:vMerge w:val="continue"/>
                  <w:tcBorders>
                    <w:left w:val="nil"/>
                  </w:tcBorders>
                  <w:shd w:val="clear" w:color="auto" w:fill="auto"/>
                  <w:vAlign w:val="center"/>
                </w:tcPr>
                <w:p w14:paraId="4EB8447B">
                  <w:pPr>
                    <w:pStyle w:val="38"/>
                    <w:bidi w:val="0"/>
                    <w:rPr>
                      <w:rFonts w:hint="default"/>
                      <w:b w:val="0"/>
                      <w:color w:val="000000"/>
                    </w:rPr>
                  </w:pPr>
                </w:p>
              </w:tc>
              <w:tc>
                <w:tcPr>
                  <w:tcW w:w="402" w:type="pct"/>
                  <w:vMerge w:val="continue"/>
                  <w:shd w:val="clear" w:color="auto" w:fill="auto"/>
                  <w:vAlign w:val="center"/>
                </w:tcPr>
                <w:p w14:paraId="6EF7FBBE">
                  <w:pPr>
                    <w:pStyle w:val="38"/>
                    <w:bidi w:val="0"/>
                    <w:rPr>
                      <w:rFonts w:hint="default"/>
                      <w:b w:val="0"/>
                      <w:color w:val="000000"/>
                    </w:rPr>
                  </w:pPr>
                </w:p>
              </w:tc>
              <w:tc>
                <w:tcPr>
                  <w:tcW w:w="768" w:type="pct"/>
                  <w:shd w:val="clear" w:color="auto" w:fill="auto"/>
                  <w:vAlign w:val="center"/>
                </w:tcPr>
                <w:p w14:paraId="4B4C7C9B">
                  <w:pPr>
                    <w:pStyle w:val="38"/>
                    <w:bidi w:val="0"/>
                    <w:rPr>
                      <w:rFonts w:hint="default"/>
                      <w:b w:val="0"/>
                      <w:color w:val="000000"/>
                    </w:rPr>
                  </w:pPr>
                  <w:r>
                    <w:rPr>
                      <w:rFonts w:hint="default"/>
                      <w:b w:val="0"/>
                      <w:color w:val="000000"/>
                    </w:rPr>
                    <w:t>五日</w:t>
                  </w:r>
                </w:p>
                <w:p w14:paraId="47E0ED70">
                  <w:pPr>
                    <w:pStyle w:val="38"/>
                    <w:bidi w:val="0"/>
                    <w:rPr>
                      <w:rFonts w:hint="default"/>
                      <w:b w:val="0"/>
                      <w:color w:val="000000"/>
                    </w:rPr>
                  </w:pPr>
                  <w:r>
                    <w:rPr>
                      <w:rFonts w:hint="default"/>
                      <w:b w:val="0"/>
                      <w:color w:val="000000"/>
                    </w:rPr>
                    <w:t>生化需氧量</w:t>
                  </w:r>
                </w:p>
              </w:tc>
              <w:tc>
                <w:tcPr>
                  <w:tcW w:w="572" w:type="pct"/>
                  <w:shd w:val="clear" w:color="auto" w:fill="auto"/>
                  <w:vAlign w:val="center"/>
                </w:tcPr>
                <w:p w14:paraId="0D945256">
                  <w:pPr>
                    <w:pStyle w:val="38"/>
                    <w:bidi w:val="0"/>
                    <w:rPr>
                      <w:rFonts w:hint="default"/>
                      <w:b w:val="0"/>
                      <w:color w:val="000000"/>
                    </w:rPr>
                  </w:pPr>
                  <w:r>
                    <w:rPr>
                      <w:rFonts w:hint="default"/>
                      <w:b w:val="0"/>
                      <w:color w:val="000000"/>
                    </w:rPr>
                    <w:t>127</w:t>
                  </w:r>
                </w:p>
              </w:tc>
              <w:tc>
                <w:tcPr>
                  <w:tcW w:w="572" w:type="pct"/>
                  <w:shd w:val="clear" w:color="auto" w:fill="auto"/>
                  <w:vAlign w:val="center"/>
                </w:tcPr>
                <w:p w14:paraId="1E47B106">
                  <w:pPr>
                    <w:pStyle w:val="38"/>
                    <w:bidi w:val="0"/>
                    <w:rPr>
                      <w:rFonts w:hint="default"/>
                      <w:b w:val="0"/>
                      <w:color w:val="000000"/>
                    </w:rPr>
                  </w:pPr>
                  <w:r>
                    <w:rPr>
                      <w:rFonts w:hint="default"/>
                      <w:b w:val="0"/>
                      <w:color w:val="000000"/>
                    </w:rPr>
                    <w:t>134</w:t>
                  </w:r>
                </w:p>
              </w:tc>
              <w:tc>
                <w:tcPr>
                  <w:tcW w:w="572" w:type="pct"/>
                  <w:shd w:val="clear" w:color="auto" w:fill="auto"/>
                  <w:vAlign w:val="center"/>
                </w:tcPr>
                <w:p w14:paraId="060FDA3C">
                  <w:pPr>
                    <w:pStyle w:val="38"/>
                    <w:bidi w:val="0"/>
                    <w:rPr>
                      <w:rFonts w:hint="default"/>
                      <w:b w:val="0"/>
                      <w:color w:val="000000"/>
                    </w:rPr>
                  </w:pPr>
                  <w:r>
                    <w:rPr>
                      <w:rFonts w:hint="default"/>
                      <w:b w:val="0"/>
                      <w:color w:val="000000"/>
                    </w:rPr>
                    <w:t>126</w:t>
                  </w:r>
                </w:p>
              </w:tc>
              <w:tc>
                <w:tcPr>
                  <w:tcW w:w="572" w:type="pct"/>
                  <w:shd w:val="clear" w:color="auto" w:fill="auto"/>
                  <w:vAlign w:val="center"/>
                </w:tcPr>
                <w:p w14:paraId="21E0B258">
                  <w:pPr>
                    <w:pStyle w:val="38"/>
                    <w:bidi w:val="0"/>
                    <w:rPr>
                      <w:rFonts w:hint="default"/>
                      <w:b w:val="0"/>
                      <w:color w:val="000000"/>
                    </w:rPr>
                  </w:pPr>
                  <w:r>
                    <w:rPr>
                      <w:rFonts w:hint="default"/>
                      <w:b w:val="0"/>
                      <w:color w:val="000000"/>
                    </w:rPr>
                    <w:t>115</w:t>
                  </w:r>
                </w:p>
              </w:tc>
              <w:tc>
                <w:tcPr>
                  <w:tcW w:w="588" w:type="pct"/>
                  <w:shd w:val="clear" w:color="auto" w:fill="auto"/>
                  <w:vAlign w:val="center"/>
                </w:tcPr>
                <w:p w14:paraId="42CFEE1C">
                  <w:pPr>
                    <w:pStyle w:val="38"/>
                    <w:bidi w:val="0"/>
                    <w:rPr>
                      <w:rFonts w:hint="default"/>
                      <w:b w:val="0"/>
                      <w:color w:val="000000"/>
                    </w:rPr>
                  </w:pPr>
                  <w:r>
                    <w:rPr>
                      <w:rFonts w:hint="default"/>
                      <w:b w:val="0"/>
                      <w:color w:val="000000"/>
                    </w:rPr>
                    <w:t>126</w:t>
                  </w:r>
                </w:p>
              </w:tc>
              <w:tc>
                <w:tcPr>
                  <w:tcW w:w="550" w:type="pct"/>
                  <w:tcBorders>
                    <w:right w:val="nil"/>
                  </w:tcBorders>
                  <w:shd w:val="clear" w:color="auto" w:fill="auto"/>
                  <w:vAlign w:val="center"/>
                </w:tcPr>
                <w:p w14:paraId="435E944E">
                  <w:pPr>
                    <w:pStyle w:val="38"/>
                    <w:bidi w:val="0"/>
                    <w:rPr>
                      <w:rFonts w:hint="default"/>
                      <w:b w:val="0"/>
                      <w:color w:val="000000"/>
                    </w:rPr>
                  </w:pPr>
                  <w:r>
                    <w:rPr>
                      <w:rFonts w:hint="default"/>
                      <w:b w:val="0"/>
                      <w:color w:val="000000"/>
                    </w:rPr>
                    <w:t>300</w:t>
                  </w:r>
                </w:p>
              </w:tc>
            </w:tr>
            <w:tr w14:paraId="71B024DA">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486" w:hRule="atLeast"/>
              </w:trPr>
              <w:tc>
                <w:tcPr>
                  <w:tcW w:w="400" w:type="pct"/>
                  <w:vMerge w:val="continue"/>
                  <w:tcBorders>
                    <w:left w:val="nil"/>
                  </w:tcBorders>
                  <w:shd w:val="clear" w:color="auto" w:fill="auto"/>
                  <w:vAlign w:val="center"/>
                </w:tcPr>
                <w:p w14:paraId="391E483D">
                  <w:pPr>
                    <w:pStyle w:val="38"/>
                    <w:bidi w:val="0"/>
                    <w:rPr>
                      <w:rFonts w:hint="default"/>
                      <w:b w:val="0"/>
                      <w:color w:val="000000"/>
                    </w:rPr>
                  </w:pPr>
                </w:p>
              </w:tc>
              <w:tc>
                <w:tcPr>
                  <w:tcW w:w="402" w:type="pct"/>
                  <w:vMerge w:val="continue"/>
                  <w:shd w:val="clear" w:color="auto" w:fill="auto"/>
                  <w:vAlign w:val="center"/>
                </w:tcPr>
                <w:p w14:paraId="7341AF71">
                  <w:pPr>
                    <w:pStyle w:val="38"/>
                    <w:bidi w:val="0"/>
                    <w:rPr>
                      <w:rFonts w:hint="default"/>
                      <w:b w:val="0"/>
                      <w:color w:val="000000"/>
                    </w:rPr>
                  </w:pPr>
                </w:p>
              </w:tc>
              <w:tc>
                <w:tcPr>
                  <w:tcW w:w="768" w:type="pct"/>
                  <w:shd w:val="clear" w:color="auto" w:fill="auto"/>
                  <w:vAlign w:val="center"/>
                </w:tcPr>
                <w:p w14:paraId="6D51F5FC">
                  <w:pPr>
                    <w:pStyle w:val="38"/>
                    <w:bidi w:val="0"/>
                    <w:rPr>
                      <w:rFonts w:hint="default"/>
                      <w:b w:val="0"/>
                      <w:color w:val="000000"/>
                    </w:rPr>
                  </w:pPr>
                  <w:r>
                    <w:rPr>
                      <w:rFonts w:hint="default"/>
                      <w:b w:val="0"/>
                      <w:color w:val="000000"/>
                    </w:rPr>
                    <w:t>悬浮物</w:t>
                  </w:r>
                </w:p>
              </w:tc>
              <w:tc>
                <w:tcPr>
                  <w:tcW w:w="572" w:type="pct"/>
                  <w:shd w:val="clear" w:color="auto" w:fill="auto"/>
                  <w:vAlign w:val="center"/>
                </w:tcPr>
                <w:p w14:paraId="4D6BED22">
                  <w:pPr>
                    <w:pStyle w:val="38"/>
                    <w:bidi w:val="0"/>
                    <w:rPr>
                      <w:rFonts w:hint="default"/>
                      <w:b w:val="0"/>
                      <w:color w:val="000000"/>
                    </w:rPr>
                  </w:pPr>
                  <w:r>
                    <w:rPr>
                      <w:rFonts w:hint="default"/>
                      <w:b w:val="0"/>
                      <w:color w:val="000000"/>
                    </w:rPr>
                    <w:t>37</w:t>
                  </w:r>
                </w:p>
              </w:tc>
              <w:tc>
                <w:tcPr>
                  <w:tcW w:w="572" w:type="pct"/>
                  <w:shd w:val="clear" w:color="auto" w:fill="auto"/>
                  <w:vAlign w:val="center"/>
                </w:tcPr>
                <w:p w14:paraId="32BB0012">
                  <w:pPr>
                    <w:pStyle w:val="38"/>
                    <w:bidi w:val="0"/>
                    <w:rPr>
                      <w:rFonts w:hint="default"/>
                      <w:b w:val="0"/>
                      <w:color w:val="000000"/>
                    </w:rPr>
                  </w:pPr>
                  <w:r>
                    <w:rPr>
                      <w:rFonts w:hint="default"/>
                      <w:b w:val="0"/>
                      <w:color w:val="000000"/>
                    </w:rPr>
                    <w:t>30</w:t>
                  </w:r>
                </w:p>
              </w:tc>
              <w:tc>
                <w:tcPr>
                  <w:tcW w:w="572" w:type="pct"/>
                  <w:shd w:val="clear" w:color="auto" w:fill="auto"/>
                  <w:vAlign w:val="center"/>
                </w:tcPr>
                <w:p w14:paraId="31AFC469">
                  <w:pPr>
                    <w:pStyle w:val="38"/>
                    <w:bidi w:val="0"/>
                    <w:rPr>
                      <w:rFonts w:hint="default"/>
                      <w:b w:val="0"/>
                      <w:color w:val="000000"/>
                    </w:rPr>
                  </w:pPr>
                  <w:r>
                    <w:rPr>
                      <w:rFonts w:hint="default"/>
                      <w:b w:val="0"/>
                      <w:color w:val="000000"/>
                    </w:rPr>
                    <w:t>39</w:t>
                  </w:r>
                </w:p>
              </w:tc>
              <w:tc>
                <w:tcPr>
                  <w:tcW w:w="572" w:type="pct"/>
                  <w:shd w:val="clear" w:color="auto" w:fill="auto"/>
                  <w:vAlign w:val="center"/>
                </w:tcPr>
                <w:p w14:paraId="6D7E2914">
                  <w:pPr>
                    <w:pStyle w:val="38"/>
                    <w:bidi w:val="0"/>
                    <w:rPr>
                      <w:rFonts w:hint="default"/>
                      <w:b w:val="0"/>
                      <w:color w:val="000000"/>
                    </w:rPr>
                  </w:pPr>
                  <w:r>
                    <w:rPr>
                      <w:rFonts w:hint="default"/>
                      <w:b w:val="0"/>
                      <w:color w:val="000000"/>
                    </w:rPr>
                    <w:t>34</w:t>
                  </w:r>
                </w:p>
              </w:tc>
              <w:tc>
                <w:tcPr>
                  <w:tcW w:w="588" w:type="pct"/>
                  <w:shd w:val="clear" w:color="auto" w:fill="auto"/>
                  <w:vAlign w:val="center"/>
                </w:tcPr>
                <w:p w14:paraId="0A1D18ED">
                  <w:pPr>
                    <w:pStyle w:val="38"/>
                    <w:bidi w:val="0"/>
                    <w:rPr>
                      <w:rFonts w:hint="default"/>
                      <w:b w:val="0"/>
                      <w:color w:val="000000"/>
                    </w:rPr>
                  </w:pPr>
                  <w:r>
                    <w:rPr>
                      <w:rFonts w:hint="default"/>
                      <w:b w:val="0"/>
                      <w:color w:val="000000"/>
                    </w:rPr>
                    <w:t>35</w:t>
                  </w:r>
                </w:p>
              </w:tc>
              <w:tc>
                <w:tcPr>
                  <w:tcW w:w="550" w:type="pct"/>
                  <w:tcBorders>
                    <w:right w:val="nil"/>
                  </w:tcBorders>
                  <w:shd w:val="clear" w:color="auto" w:fill="auto"/>
                  <w:vAlign w:val="center"/>
                </w:tcPr>
                <w:p w14:paraId="103DAD3F">
                  <w:pPr>
                    <w:pStyle w:val="38"/>
                    <w:bidi w:val="0"/>
                    <w:rPr>
                      <w:rFonts w:hint="default"/>
                      <w:b w:val="0"/>
                      <w:color w:val="000000"/>
                    </w:rPr>
                  </w:pPr>
                  <w:r>
                    <w:rPr>
                      <w:rFonts w:hint="default"/>
                      <w:b w:val="0"/>
                      <w:color w:val="000000"/>
                    </w:rPr>
                    <w:t>400</w:t>
                  </w:r>
                </w:p>
              </w:tc>
            </w:tr>
            <w:tr w14:paraId="29134279">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485" w:hRule="atLeast"/>
              </w:trPr>
              <w:tc>
                <w:tcPr>
                  <w:tcW w:w="400" w:type="pct"/>
                  <w:vMerge w:val="continue"/>
                  <w:tcBorders>
                    <w:left w:val="nil"/>
                  </w:tcBorders>
                  <w:shd w:val="clear" w:color="auto" w:fill="auto"/>
                  <w:vAlign w:val="center"/>
                </w:tcPr>
                <w:p w14:paraId="1471E3B6">
                  <w:pPr>
                    <w:pStyle w:val="38"/>
                    <w:bidi w:val="0"/>
                    <w:rPr>
                      <w:rFonts w:hint="default"/>
                      <w:b w:val="0"/>
                      <w:color w:val="000000"/>
                    </w:rPr>
                  </w:pPr>
                </w:p>
              </w:tc>
              <w:tc>
                <w:tcPr>
                  <w:tcW w:w="402" w:type="pct"/>
                  <w:vMerge w:val="continue"/>
                  <w:shd w:val="clear" w:color="auto" w:fill="auto"/>
                  <w:vAlign w:val="center"/>
                </w:tcPr>
                <w:p w14:paraId="258EC991">
                  <w:pPr>
                    <w:pStyle w:val="38"/>
                    <w:bidi w:val="0"/>
                    <w:rPr>
                      <w:rFonts w:hint="default"/>
                      <w:b w:val="0"/>
                      <w:color w:val="000000"/>
                    </w:rPr>
                  </w:pPr>
                </w:p>
              </w:tc>
              <w:tc>
                <w:tcPr>
                  <w:tcW w:w="768" w:type="pct"/>
                  <w:shd w:val="clear" w:color="auto" w:fill="auto"/>
                  <w:vAlign w:val="center"/>
                </w:tcPr>
                <w:p w14:paraId="70E2DA47">
                  <w:pPr>
                    <w:pStyle w:val="38"/>
                    <w:bidi w:val="0"/>
                    <w:rPr>
                      <w:rFonts w:hint="default"/>
                      <w:b w:val="0"/>
                      <w:color w:val="000000"/>
                    </w:rPr>
                  </w:pPr>
                  <w:r>
                    <w:rPr>
                      <w:rFonts w:hint="default"/>
                      <w:b w:val="0"/>
                      <w:color w:val="000000"/>
                    </w:rPr>
                    <w:t>氨氮</w:t>
                  </w:r>
                </w:p>
              </w:tc>
              <w:tc>
                <w:tcPr>
                  <w:tcW w:w="572" w:type="pct"/>
                  <w:shd w:val="clear" w:color="auto" w:fill="auto"/>
                  <w:vAlign w:val="center"/>
                </w:tcPr>
                <w:p w14:paraId="0D4F92EB">
                  <w:pPr>
                    <w:pStyle w:val="38"/>
                    <w:bidi w:val="0"/>
                    <w:rPr>
                      <w:rFonts w:hint="default"/>
                      <w:b w:val="0"/>
                      <w:color w:val="000000"/>
                    </w:rPr>
                  </w:pPr>
                  <w:r>
                    <w:rPr>
                      <w:rFonts w:hint="default"/>
                      <w:b w:val="0"/>
                      <w:color w:val="000000"/>
                    </w:rPr>
                    <w:t>42.4</w:t>
                  </w:r>
                </w:p>
              </w:tc>
              <w:tc>
                <w:tcPr>
                  <w:tcW w:w="572" w:type="pct"/>
                  <w:shd w:val="clear" w:color="auto" w:fill="auto"/>
                  <w:vAlign w:val="center"/>
                </w:tcPr>
                <w:p w14:paraId="1957A2E6">
                  <w:pPr>
                    <w:pStyle w:val="38"/>
                    <w:bidi w:val="0"/>
                    <w:rPr>
                      <w:rFonts w:hint="default"/>
                      <w:b w:val="0"/>
                      <w:color w:val="000000"/>
                    </w:rPr>
                  </w:pPr>
                  <w:r>
                    <w:rPr>
                      <w:rFonts w:hint="default"/>
                      <w:b w:val="0"/>
                      <w:color w:val="000000"/>
                    </w:rPr>
                    <w:t>43.1</w:t>
                  </w:r>
                </w:p>
              </w:tc>
              <w:tc>
                <w:tcPr>
                  <w:tcW w:w="572" w:type="pct"/>
                  <w:shd w:val="clear" w:color="auto" w:fill="auto"/>
                  <w:vAlign w:val="center"/>
                </w:tcPr>
                <w:p w14:paraId="472F28EF">
                  <w:pPr>
                    <w:pStyle w:val="38"/>
                    <w:bidi w:val="0"/>
                    <w:rPr>
                      <w:rFonts w:hint="default"/>
                      <w:b w:val="0"/>
                      <w:color w:val="000000"/>
                    </w:rPr>
                  </w:pPr>
                  <w:r>
                    <w:rPr>
                      <w:rFonts w:hint="default"/>
                      <w:b w:val="0"/>
                      <w:color w:val="000000"/>
                    </w:rPr>
                    <w:t>41.8</w:t>
                  </w:r>
                </w:p>
              </w:tc>
              <w:tc>
                <w:tcPr>
                  <w:tcW w:w="572" w:type="pct"/>
                  <w:shd w:val="clear" w:color="auto" w:fill="auto"/>
                  <w:vAlign w:val="center"/>
                </w:tcPr>
                <w:p w14:paraId="34ACE537">
                  <w:pPr>
                    <w:pStyle w:val="38"/>
                    <w:bidi w:val="0"/>
                    <w:rPr>
                      <w:rFonts w:hint="default"/>
                      <w:b w:val="0"/>
                      <w:color w:val="000000"/>
                    </w:rPr>
                  </w:pPr>
                  <w:r>
                    <w:rPr>
                      <w:rFonts w:hint="default"/>
                      <w:b w:val="0"/>
                      <w:color w:val="000000"/>
                    </w:rPr>
                    <w:t>43.8</w:t>
                  </w:r>
                </w:p>
              </w:tc>
              <w:tc>
                <w:tcPr>
                  <w:tcW w:w="588" w:type="pct"/>
                  <w:shd w:val="clear" w:color="auto" w:fill="auto"/>
                  <w:vAlign w:val="center"/>
                </w:tcPr>
                <w:p w14:paraId="32301F37">
                  <w:pPr>
                    <w:pStyle w:val="38"/>
                    <w:bidi w:val="0"/>
                    <w:rPr>
                      <w:rFonts w:hint="default"/>
                      <w:b w:val="0"/>
                      <w:color w:val="000000"/>
                    </w:rPr>
                  </w:pPr>
                  <w:r>
                    <w:rPr>
                      <w:rFonts w:hint="default"/>
                      <w:b w:val="0"/>
                      <w:color w:val="000000"/>
                    </w:rPr>
                    <w:t>42.8</w:t>
                  </w:r>
                </w:p>
              </w:tc>
              <w:tc>
                <w:tcPr>
                  <w:tcW w:w="550" w:type="pct"/>
                  <w:tcBorders>
                    <w:right w:val="nil"/>
                  </w:tcBorders>
                  <w:shd w:val="clear" w:color="auto" w:fill="auto"/>
                  <w:vAlign w:val="center"/>
                </w:tcPr>
                <w:p w14:paraId="17268FDB">
                  <w:pPr>
                    <w:pStyle w:val="38"/>
                    <w:bidi w:val="0"/>
                    <w:rPr>
                      <w:rFonts w:hint="default"/>
                      <w:b w:val="0"/>
                      <w:color w:val="000000"/>
                    </w:rPr>
                  </w:pPr>
                  <w:r>
                    <w:rPr>
                      <w:rFonts w:hint="default"/>
                      <w:b w:val="0"/>
                      <w:color w:val="000000"/>
                    </w:rPr>
                    <w:t>45</w:t>
                  </w:r>
                </w:p>
              </w:tc>
            </w:tr>
            <w:tr w14:paraId="6911E722">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25" w:hRule="atLeast"/>
              </w:trPr>
              <w:tc>
                <w:tcPr>
                  <w:tcW w:w="400" w:type="pct"/>
                  <w:vMerge w:val="restart"/>
                  <w:tcBorders>
                    <w:left w:val="nil"/>
                  </w:tcBorders>
                  <w:shd w:val="clear" w:color="auto" w:fill="auto"/>
                  <w:vAlign w:val="center"/>
                </w:tcPr>
                <w:p w14:paraId="54861A21">
                  <w:pPr>
                    <w:pStyle w:val="38"/>
                    <w:bidi w:val="0"/>
                    <w:rPr>
                      <w:rFonts w:hint="default"/>
                      <w:b w:val="0"/>
                      <w:color w:val="000000"/>
                    </w:rPr>
                  </w:pPr>
                  <w:r>
                    <w:rPr>
                      <w:rFonts w:hint="default"/>
                      <w:b w:val="0"/>
                      <w:color w:val="000000"/>
                    </w:rPr>
                    <w:t>2023</w:t>
                  </w:r>
                </w:p>
                <w:p w14:paraId="7B25FABD">
                  <w:pPr>
                    <w:pStyle w:val="38"/>
                    <w:bidi w:val="0"/>
                    <w:rPr>
                      <w:rFonts w:hint="default"/>
                      <w:b w:val="0"/>
                      <w:color w:val="000000"/>
                    </w:rPr>
                  </w:pPr>
                  <w:r>
                    <w:rPr>
                      <w:rFonts w:hint="default"/>
                      <w:b w:val="0"/>
                      <w:color w:val="000000"/>
                    </w:rPr>
                    <w:t>年10月22日</w:t>
                  </w:r>
                </w:p>
              </w:tc>
              <w:tc>
                <w:tcPr>
                  <w:tcW w:w="402" w:type="pct"/>
                  <w:vMerge w:val="restart"/>
                  <w:shd w:val="clear" w:color="auto" w:fill="auto"/>
                  <w:vAlign w:val="center"/>
                </w:tcPr>
                <w:p w14:paraId="78BCFE3A">
                  <w:pPr>
                    <w:pStyle w:val="38"/>
                    <w:bidi w:val="0"/>
                    <w:rPr>
                      <w:rFonts w:hint="default"/>
                      <w:b w:val="0"/>
                      <w:color w:val="000000"/>
                    </w:rPr>
                  </w:pPr>
                  <w:r>
                    <w:rPr>
                      <w:rFonts w:hint="default"/>
                      <w:b w:val="0"/>
                      <w:color w:val="000000"/>
                    </w:rPr>
                    <w:t>S1</w:t>
                  </w:r>
                </w:p>
                <w:p w14:paraId="3AD3DF3A">
                  <w:pPr>
                    <w:pStyle w:val="38"/>
                    <w:bidi w:val="0"/>
                    <w:rPr>
                      <w:rFonts w:hint="default"/>
                      <w:b w:val="0"/>
                      <w:color w:val="000000"/>
                    </w:rPr>
                  </w:pPr>
                  <w:r>
                    <w:rPr>
                      <w:rFonts w:hint="default"/>
                      <w:b w:val="0"/>
                      <w:color w:val="000000"/>
                    </w:rPr>
                    <w:t>化粪</w:t>
                  </w:r>
                </w:p>
                <w:p w14:paraId="3AD98B12">
                  <w:pPr>
                    <w:pStyle w:val="38"/>
                    <w:bidi w:val="0"/>
                    <w:rPr>
                      <w:rFonts w:hint="default"/>
                      <w:b w:val="0"/>
                      <w:color w:val="000000"/>
                    </w:rPr>
                  </w:pPr>
                  <w:r>
                    <w:rPr>
                      <w:rFonts w:hint="default"/>
                      <w:b w:val="0"/>
                      <w:color w:val="000000"/>
                    </w:rPr>
                    <w:t>池出</w:t>
                  </w:r>
                </w:p>
                <w:p w14:paraId="48E211B6">
                  <w:pPr>
                    <w:pStyle w:val="38"/>
                    <w:bidi w:val="0"/>
                    <w:rPr>
                      <w:rFonts w:hint="default"/>
                      <w:b w:val="0"/>
                      <w:color w:val="000000"/>
                    </w:rPr>
                  </w:pPr>
                  <w:r>
                    <w:rPr>
                      <w:rFonts w:hint="default"/>
                      <w:b w:val="0"/>
                      <w:color w:val="000000"/>
                    </w:rPr>
                    <w:t>口</w:t>
                  </w:r>
                </w:p>
              </w:tc>
              <w:tc>
                <w:tcPr>
                  <w:tcW w:w="768" w:type="pct"/>
                  <w:shd w:val="clear" w:color="auto" w:fill="auto"/>
                  <w:vAlign w:val="center"/>
                </w:tcPr>
                <w:p w14:paraId="796A3379">
                  <w:pPr>
                    <w:pStyle w:val="38"/>
                    <w:bidi w:val="0"/>
                    <w:rPr>
                      <w:rFonts w:hint="default"/>
                      <w:b w:val="0"/>
                      <w:color w:val="000000"/>
                    </w:rPr>
                  </w:pPr>
                  <w:r>
                    <w:rPr>
                      <w:rFonts w:hint="default"/>
                      <w:b w:val="0"/>
                      <w:color w:val="000000"/>
                    </w:rPr>
                    <w:t>样品性状</w:t>
                  </w:r>
                </w:p>
              </w:tc>
              <w:tc>
                <w:tcPr>
                  <w:tcW w:w="572" w:type="pct"/>
                  <w:shd w:val="clear" w:color="auto" w:fill="auto"/>
                  <w:vAlign w:val="center"/>
                </w:tcPr>
                <w:p w14:paraId="13C65BBD">
                  <w:pPr>
                    <w:pStyle w:val="38"/>
                    <w:bidi w:val="0"/>
                    <w:rPr>
                      <w:rFonts w:hint="default"/>
                      <w:b w:val="0"/>
                      <w:color w:val="000000"/>
                    </w:rPr>
                  </w:pPr>
                  <w:r>
                    <w:rPr>
                      <w:rFonts w:hint="eastAsia"/>
                      <w:b w:val="0"/>
                      <w:color w:val="000000"/>
                      <w:lang w:val="en-US" w:eastAsia="zh-CN"/>
                    </w:rPr>
                    <w:t>微灰、轻微异味、微浊</w:t>
                  </w:r>
                </w:p>
              </w:tc>
              <w:tc>
                <w:tcPr>
                  <w:tcW w:w="572" w:type="pct"/>
                  <w:shd w:val="clear" w:color="auto" w:fill="auto"/>
                  <w:vAlign w:val="center"/>
                </w:tcPr>
                <w:p w14:paraId="2C02EEAE">
                  <w:pPr>
                    <w:pStyle w:val="38"/>
                    <w:bidi w:val="0"/>
                    <w:rPr>
                      <w:rFonts w:hint="default"/>
                      <w:b w:val="0"/>
                      <w:color w:val="000000"/>
                    </w:rPr>
                  </w:pPr>
                  <w:r>
                    <w:rPr>
                      <w:rFonts w:hint="eastAsia"/>
                      <w:b w:val="0"/>
                      <w:color w:val="000000"/>
                      <w:lang w:val="en-US" w:eastAsia="zh-CN"/>
                    </w:rPr>
                    <w:t>微灰、轻微异味、微浊</w:t>
                  </w:r>
                </w:p>
              </w:tc>
              <w:tc>
                <w:tcPr>
                  <w:tcW w:w="572" w:type="pct"/>
                  <w:shd w:val="clear" w:color="auto" w:fill="auto"/>
                  <w:vAlign w:val="center"/>
                </w:tcPr>
                <w:p w14:paraId="2CAB4771">
                  <w:pPr>
                    <w:pStyle w:val="38"/>
                    <w:bidi w:val="0"/>
                    <w:rPr>
                      <w:rFonts w:hint="default"/>
                      <w:b w:val="0"/>
                      <w:color w:val="000000"/>
                    </w:rPr>
                  </w:pPr>
                  <w:r>
                    <w:rPr>
                      <w:rFonts w:hint="eastAsia"/>
                      <w:b w:val="0"/>
                      <w:color w:val="000000"/>
                      <w:lang w:val="en-US" w:eastAsia="zh-CN"/>
                    </w:rPr>
                    <w:t>微灰、轻微异味、微浊</w:t>
                  </w:r>
                </w:p>
              </w:tc>
              <w:tc>
                <w:tcPr>
                  <w:tcW w:w="572" w:type="pct"/>
                  <w:shd w:val="clear" w:color="auto" w:fill="auto"/>
                  <w:vAlign w:val="center"/>
                </w:tcPr>
                <w:p w14:paraId="0D935216">
                  <w:pPr>
                    <w:pStyle w:val="38"/>
                    <w:bidi w:val="0"/>
                    <w:rPr>
                      <w:rFonts w:hint="default"/>
                      <w:b w:val="0"/>
                      <w:color w:val="000000"/>
                    </w:rPr>
                  </w:pPr>
                  <w:r>
                    <w:rPr>
                      <w:rFonts w:hint="eastAsia"/>
                      <w:b w:val="0"/>
                      <w:color w:val="000000"/>
                      <w:lang w:val="en-US" w:eastAsia="zh-CN"/>
                    </w:rPr>
                    <w:t>微灰、轻微异味、微浊</w:t>
                  </w:r>
                </w:p>
              </w:tc>
              <w:tc>
                <w:tcPr>
                  <w:tcW w:w="588" w:type="pct"/>
                  <w:shd w:val="clear" w:color="auto" w:fill="auto"/>
                  <w:vAlign w:val="center"/>
                </w:tcPr>
                <w:p w14:paraId="15DE4407">
                  <w:pPr>
                    <w:pStyle w:val="38"/>
                    <w:bidi w:val="0"/>
                    <w:rPr>
                      <w:rFonts w:hint="default"/>
                      <w:b w:val="0"/>
                      <w:color w:val="000000"/>
                    </w:rPr>
                  </w:pPr>
                  <w:r>
                    <w:rPr>
                      <w:rFonts w:hint="default"/>
                      <w:b w:val="0"/>
                      <w:color w:val="000000"/>
                    </w:rPr>
                    <w:t>---</w:t>
                  </w:r>
                </w:p>
              </w:tc>
              <w:tc>
                <w:tcPr>
                  <w:tcW w:w="550" w:type="pct"/>
                  <w:tcBorders>
                    <w:right w:val="nil"/>
                  </w:tcBorders>
                  <w:shd w:val="clear" w:color="auto" w:fill="auto"/>
                  <w:vAlign w:val="center"/>
                </w:tcPr>
                <w:p w14:paraId="677EDA9B">
                  <w:pPr>
                    <w:pStyle w:val="38"/>
                    <w:bidi w:val="0"/>
                    <w:rPr>
                      <w:rFonts w:hint="default"/>
                      <w:b w:val="0"/>
                      <w:color w:val="000000"/>
                    </w:rPr>
                  </w:pPr>
                  <w:r>
                    <w:rPr>
                      <w:rFonts w:hint="default"/>
                      <w:b w:val="0"/>
                      <w:color w:val="000000"/>
                    </w:rPr>
                    <w:t>---</w:t>
                  </w:r>
                </w:p>
              </w:tc>
            </w:tr>
            <w:tr w14:paraId="741404D8">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26" w:hRule="atLeast"/>
              </w:trPr>
              <w:tc>
                <w:tcPr>
                  <w:tcW w:w="400" w:type="pct"/>
                  <w:vMerge w:val="continue"/>
                  <w:tcBorders>
                    <w:left w:val="nil"/>
                  </w:tcBorders>
                  <w:shd w:val="clear" w:color="auto" w:fill="auto"/>
                  <w:vAlign w:val="center"/>
                </w:tcPr>
                <w:p w14:paraId="7AE88352">
                  <w:pPr>
                    <w:pStyle w:val="38"/>
                    <w:bidi w:val="0"/>
                    <w:rPr>
                      <w:rFonts w:hint="default"/>
                      <w:b w:val="0"/>
                      <w:color w:val="000000"/>
                    </w:rPr>
                  </w:pPr>
                </w:p>
              </w:tc>
              <w:tc>
                <w:tcPr>
                  <w:tcW w:w="402" w:type="pct"/>
                  <w:vMerge w:val="continue"/>
                  <w:shd w:val="clear" w:color="auto" w:fill="auto"/>
                  <w:vAlign w:val="center"/>
                </w:tcPr>
                <w:p w14:paraId="3196B332">
                  <w:pPr>
                    <w:pStyle w:val="38"/>
                    <w:bidi w:val="0"/>
                    <w:rPr>
                      <w:rFonts w:hint="default"/>
                      <w:b w:val="0"/>
                      <w:color w:val="000000"/>
                    </w:rPr>
                  </w:pPr>
                </w:p>
              </w:tc>
              <w:tc>
                <w:tcPr>
                  <w:tcW w:w="768" w:type="pct"/>
                  <w:shd w:val="clear" w:color="auto" w:fill="auto"/>
                  <w:vAlign w:val="center"/>
                </w:tcPr>
                <w:p w14:paraId="2E310A52">
                  <w:pPr>
                    <w:pStyle w:val="38"/>
                    <w:bidi w:val="0"/>
                    <w:rPr>
                      <w:rFonts w:hint="default"/>
                      <w:b w:val="0"/>
                      <w:color w:val="000000"/>
                    </w:rPr>
                  </w:pPr>
                  <w:r>
                    <w:rPr>
                      <w:rFonts w:hint="default"/>
                      <w:b w:val="0"/>
                      <w:color w:val="000000"/>
                    </w:rPr>
                    <w:t>pH值（无量纲）</w:t>
                  </w:r>
                </w:p>
              </w:tc>
              <w:tc>
                <w:tcPr>
                  <w:tcW w:w="572" w:type="pct"/>
                  <w:shd w:val="clear" w:color="auto" w:fill="auto"/>
                  <w:vAlign w:val="center"/>
                </w:tcPr>
                <w:p w14:paraId="04B82340">
                  <w:pPr>
                    <w:pStyle w:val="38"/>
                    <w:bidi w:val="0"/>
                    <w:rPr>
                      <w:rFonts w:hint="default"/>
                      <w:b w:val="0"/>
                      <w:color w:val="000000"/>
                    </w:rPr>
                  </w:pPr>
                  <w:r>
                    <w:rPr>
                      <w:rFonts w:hint="default"/>
                      <w:b w:val="0"/>
                      <w:color w:val="000000"/>
                    </w:rPr>
                    <w:t>7.1</w:t>
                  </w:r>
                </w:p>
              </w:tc>
              <w:tc>
                <w:tcPr>
                  <w:tcW w:w="572" w:type="pct"/>
                  <w:shd w:val="clear" w:color="auto" w:fill="auto"/>
                  <w:vAlign w:val="center"/>
                </w:tcPr>
                <w:p w14:paraId="671D7C7B">
                  <w:pPr>
                    <w:pStyle w:val="38"/>
                    <w:bidi w:val="0"/>
                    <w:rPr>
                      <w:rFonts w:hint="default"/>
                      <w:b w:val="0"/>
                      <w:color w:val="000000"/>
                    </w:rPr>
                  </w:pPr>
                  <w:r>
                    <w:rPr>
                      <w:rFonts w:hint="default"/>
                      <w:b w:val="0"/>
                      <w:color w:val="000000"/>
                    </w:rPr>
                    <w:t>7.0</w:t>
                  </w:r>
                </w:p>
              </w:tc>
              <w:tc>
                <w:tcPr>
                  <w:tcW w:w="572" w:type="pct"/>
                  <w:shd w:val="clear" w:color="auto" w:fill="auto"/>
                  <w:vAlign w:val="center"/>
                </w:tcPr>
                <w:p w14:paraId="614FE527">
                  <w:pPr>
                    <w:pStyle w:val="38"/>
                    <w:bidi w:val="0"/>
                    <w:rPr>
                      <w:rFonts w:hint="default"/>
                      <w:b w:val="0"/>
                      <w:color w:val="000000"/>
                    </w:rPr>
                  </w:pPr>
                  <w:r>
                    <w:rPr>
                      <w:rFonts w:hint="default"/>
                      <w:b w:val="0"/>
                      <w:color w:val="000000"/>
                    </w:rPr>
                    <w:t>7.1</w:t>
                  </w:r>
                </w:p>
              </w:tc>
              <w:tc>
                <w:tcPr>
                  <w:tcW w:w="572" w:type="pct"/>
                  <w:shd w:val="clear" w:color="auto" w:fill="auto"/>
                  <w:vAlign w:val="center"/>
                </w:tcPr>
                <w:p w14:paraId="04938041">
                  <w:pPr>
                    <w:pStyle w:val="38"/>
                    <w:bidi w:val="0"/>
                    <w:rPr>
                      <w:rFonts w:hint="default"/>
                      <w:b w:val="0"/>
                      <w:color w:val="000000"/>
                    </w:rPr>
                  </w:pPr>
                  <w:r>
                    <w:rPr>
                      <w:rFonts w:hint="default"/>
                      <w:b w:val="0"/>
                      <w:color w:val="000000"/>
                    </w:rPr>
                    <w:t>7.2</w:t>
                  </w:r>
                </w:p>
              </w:tc>
              <w:tc>
                <w:tcPr>
                  <w:tcW w:w="588" w:type="pct"/>
                  <w:shd w:val="clear" w:color="auto" w:fill="auto"/>
                  <w:vAlign w:val="center"/>
                </w:tcPr>
                <w:p w14:paraId="459990CC">
                  <w:pPr>
                    <w:pStyle w:val="38"/>
                    <w:bidi w:val="0"/>
                    <w:rPr>
                      <w:rFonts w:hint="default"/>
                      <w:b w:val="0"/>
                      <w:color w:val="000000"/>
                    </w:rPr>
                  </w:pPr>
                  <w:r>
                    <w:rPr>
                      <w:rFonts w:hint="default"/>
                      <w:b w:val="0"/>
                      <w:color w:val="000000"/>
                    </w:rPr>
                    <w:t>7.0~7.2</w:t>
                  </w:r>
                </w:p>
              </w:tc>
              <w:tc>
                <w:tcPr>
                  <w:tcW w:w="550" w:type="pct"/>
                  <w:tcBorders>
                    <w:right w:val="nil"/>
                  </w:tcBorders>
                  <w:shd w:val="clear" w:color="auto" w:fill="auto"/>
                  <w:vAlign w:val="center"/>
                </w:tcPr>
                <w:p w14:paraId="4865C26C">
                  <w:pPr>
                    <w:pStyle w:val="38"/>
                    <w:bidi w:val="0"/>
                    <w:rPr>
                      <w:rFonts w:hint="default"/>
                      <w:b w:val="0"/>
                      <w:color w:val="000000"/>
                    </w:rPr>
                  </w:pPr>
                  <w:r>
                    <w:rPr>
                      <w:rFonts w:hint="default"/>
                      <w:b w:val="0"/>
                      <w:color w:val="000000"/>
                    </w:rPr>
                    <w:t>6~9</w:t>
                  </w:r>
                </w:p>
              </w:tc>
            </w:tr>
            <w:tr w14:paraId="43E6ABD7">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486" w:hRule="atLeast"/>
              </w:trPr>
              <w:tc>
                <w:tcPr>
                  <w:tcW w:w="400" w:type="pct"/>
                  <w:vMerge w:val="continue"/>
                  <w:tcBorders>
                    <w:left w:val="nil"/>
                  </w:tcBorders>
                  <w:shd w:val="clear" w:color="auto" w:fill="auto"/>
                  <w:vAlign w:val="center"/>
                </w:tcPr>
                <w:p w14:paraId="00A0801F">
                  <w:pPr>
                    <w:pStyle w:val="38"/>
                    <w:bidi w:val="0"/>
                    <w:rPr>
                      <w:rFonts w:hint="default"/>
                      <w:b w:val="0"/>
                      <w:color w:val="000000"/>
                    </w:rPr>
                  </w:pPr>
                </w:p>
              </w:tc>
              <w:tc>
                <w:tcPr>
                  <w:tcW w:w="402" w:type="pct"/>
                  <w:vMerge w:val="continue"/>
                  <w:shd w:val="clear" w:color="auto" w:fill="auto"/>
                  <w:vAlign w:val="center"/>
                </w:tcPr>
                <w:p w14:paraId="499CFCE2">
                  <w:pPr>
                    <w:pStyle w:val="38"/>
                    <w:bidi w:val="0"/>
                    <w:rPr>
                      <w:rFonts w:hint="default"/>
                      <w:b w:val="0"/>
                      <w:color w:val="000000"/>
                    </w:rPr>
                  </w:pPr>
                </w:p>
              </w:tc>
              <w:tc>
                <w:tcPr>
                  <w:tcW w:w="768" w:type="pct"/>
                  <w:shd w:val="clear" w:color="auto" w:fill="auto"/>
                  <w:vAlign w:val="center"/>
                </w:tcPr>
                <w:p w14:paraId="552D89A8">
                  <w:pPr>
                    <w:pStyle w:val="38"/>
                    <w:bidi w:val="0"/>
                    <w:rPr>
                      <w:rFonts w:hint="default"/>
                      <w:b w:val="0"/>
                      <w:color w:val="000000"/>
                    </w:rPr>
                  </w:pPr>
                  <w:r>
                    <w:rPr>
                      <w:rFonts w:hint="default"/>
                      <w:b w:val="0"/>
                      <w:color w:val="000000"/>
                    </w:rPr>
                    <w:t>化学需氧量</w:t>
                  </w:r>
                </w:p>
              </w:tc>
              <w:tc>
                <w:tcPr>
                  <w:tcW w:w="572" w:type="pct"/>
                  <w:shd w:val="clear" w:color="auto" w:fill="auto"/>
                  <w:vAlign w:val="center"/>
                </w:tcPr>
                <w:p w14:paraId="0D2C2826">
                  <w:pPr>
                    <w:pStyle w:val="38"/>
                    <w:bidi w:val="0"/>
                    <w:rPr>
                      <w:rFonts w:hint="default"/>
                      <w:b w:val="0"/>
                      <w:color w:val="000000"/>
                    </w:rPr>
                  </w:pPr>
                  <w:r>
                    <w:rPr>
                      <w:rFonts w:hint="default"/>
                      <w:b w:val="0"/>
                      <w:color w:val="000000"/>
                    </w:rPr>
                    <w:t>378</w:t>
                  </w:r>
                </w:p>
              </w:tc>
              <w:tc>
                <w:tcPr>
                  <w:tcW w:w="572" w:type="pct"/>
                  <w:shd w:val="clear" w:color="auto" w:fill="auto"/>
                  <w:vAlign w:val="center"/>
                </w:tcPr>
                <w:p w14:paraId="440FCA6C">
                  <w:pPr>
                    <w:pStyle w:val="38"/>
                    <w:bidi w:val="0"/>
                    <w:rPr>
                      <w:rFonts w:hint="default"/>
                      <w:b w:val="0"/>
                      <w:color w:val="000000"/>
                    </w:rPr>
                  </w:pPr>
                  <w:r>
                    <w:rPr>
                      <w:rFonts w:hint="default"/>
                      <w:b w:val="0"/>
                      <w:color w:val="000000"/>
                    </w:rPr>
                    <w:t>384</w:t>
                  </w:r>
                </w:p>
              </w:tc>
              <w:tc>
                <w:tcPr>
                  <w:tcW w:w="572" w:type="pct"/>
                  <w:shd w:val="clear" w:color="auto" w:fill="auto"/>
                  <w:vAlign w:val="center"/>
                </w:tcPr>
                <w:p w14:paraId="6D9A87A1">
                  <w:pPr>
                    <w:pStyle w:val="38"/>
                    <w:bidi w:val="0"/>
                    <w:rPr>
                      <w:rFonts w:hint="default"/>
                      <w:b w:val="0"/>
                      <w:color w:val="000000"/>
                    </w:rPr>
                  </w:pPr>
                  <w:r>
                    <w:rPr>
                      <w:rFonts w:hint="default"/>
                      <w:b w:val="0"/>
                      <w:color w:val="000000"/>
                    </w:rPr>
                    <w:t>399</w:t>
                  </w:r>
                </w:p>
              </w:tc>
              <w:tc>
                <w:tcPr>
                  <w:tcW w:w="572" w:type="pct"/>
                  <w:shd w:val="clear" w:color="auto" w:fill="auto"/>
                  <w:vAlign w:val="center"/>
                </w:tcPr>
                <w:p w14:paraId="79A5B630">
                  <w:pPr>
                    <w:pStyle w:val="38"/>
                    <w:bidi w:val="0"/>
                    <w:rPr>
                      <w:rFonts w:hint="default"/>
                      <w:b w:val="0"/>
                      <w:color w:val="000000"/>
                    </w:rPr>
                  </w:pPr>
                  <w:r>
                    <w:rPr>
                      <w:rFonts w:hint="default"/>
                      <w:b w:val="0"/>
                      <w:color w:val="000000"/>
                    </w:rPr>
                    <w:t>385</w:t>
                  </w:r>
                </w:p>
              </w:tc>
              <w:tc>
                <w:tcPr>
                  <w:tcW w:w="588" w:type="pct"/>
                  <w:shd w:val="clear" w:color="auto" w:fill="auto"/>
                  <w:vAlign w:val="center"/>
                </w:tcPr>
                <w:p w14:paraId="2C9917C1">
                  <w:pPr>
                    <w:pStyle w:val="38"/>
                    <w:bidi w:val="0"/>
                    <w:rPr>
                      <w:rFonts w:hint="default"/>
                      <w:b w:val="0"/>
                      <w:color w:val="000000"/>
                    </w:rPr>
                  </w:pPr>
                  <w:r>
                    <w:rPr>
                      <w:rFonts w:hint="default"/>
                      <w:b w:val="0"/>
                      <w:color w:val="000000"/>
                    </w:rPr>
                    <w:t>386</w:t>
                  </w:r>
                </w:p>
              </w:tc>
              <w:tc>
                <w:tcPr>
                  <w:tcW w:w="550" w:type="pct"/>
                  <w:tcBorders>
                    <w:right w:val="nil"/>
                  </w:tcBorders>
                  <w:shd w:val="clear" w:color="auto" w:fill="auto"/>
                  <w:vAlign w:val="center"/>
                </w:tcPr>
                <w:p w14:paraId="27EF4B5E">
                  <w:pPr>
                    <w:pStyle w:val="38"/>
                    <w:bidi w:val="0"/>
                    <w:rPr>
                      <w:rFonts w:hint="default"/>
                      <w:b w:val="0"/>
                      <w:color w:val="000000"/>
                    </w:rPr>
                  </w:pPr>
                  <w:r>
                    <w:rPr>
                      <w:rFonts w:hint="default"/>
                      <w:b w:val="0"/>
                      <w:color w:val="000000"/>
                    </w:rPr>
                    <w:t>500</w:t>
                  </w:r>
                </w:p>
              </w:tc>
            </w:tr>
            <w:tr w14:paraId="72A347BF">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25" w:hRule="atLeast"/>
              </w:trPr>
              <w:tc>
                <w:tcPr>
                  <w:tcW w:w="400" w:type="pct"/>
                  <w:vMerge w:val="continue"/>
                  <w:tcBorders>
                    <w:left w:val="nil"/>
                  </w:tcBorders>
                  <w:shd w:val="clear" w:color="auto" w:fill="auto"/>
                  <w:vAlign w:val="center"/>
                </w:tcPr>
                <w:p w14:paraId="2ED3BFDC">
                  <w:pPr>
                    <w:pStyle w:val="38"/>
                    <w:bidi w:val="0"/>
                    <w:rPr>
                      <w:rFonts w:hint="default"/>
                      <w:b w:val="0"/>
                      <w:color w:val="000000"/>
                    </w:rPr>
                  </w:pPr>
                </w:p>
              </w:tc>
              <w:tc>
                <w:tcPr>
                  <w:tcW w:w="402" w:type="pct"/>
                  <w:vMerge w:val="continue"/>
                  <w:shd w:val="clear" w:color="auto" w:fill="auto"/>
                  <w:vAlign w:val="center"/>
                </w:tcPr>
                <w:p w14:paraId="4839628F">
                  <w:pPr>
                    <w:pStyle w:val="38"/>
                    <w:bidi w:val="0"/>
                    <w:rPr>
                      <w:rFonts w:hint="default"/>
                      <w:b w:val="0"/>
                      <w:color w:val="000000"/>
                    </w:rPr>
                  </w:pPr>
                </w:p>
              </w:tc>
              <w:tc>
                <w:tcPr>
                  <w:tcW w:w="768" w:type="pct"/>
                  <w:shd w:val="clear" w:color="auto" w:fill="auto"/>
                  <w:vAlign w:val="center"/>
                </w:tcPr>
                <w:p w14:paraId="6F4C595A">
                  <w:pPr>
                    <w:pStyle w:val="38"/>
                    <w:bidi w:val="0"/>
                    <w:rPr>
                      <w:rFonts w:hint="default"/>
                      <w:b w:val="0"/>
                      <w:color w:val="000000"/>
                    </w:rPr>
                  </w:pPr>
                  <w:r>
                    <w:rPr>
                      <w:rFonts w:hint="default"/>
                      <w:b w:val="0"/>
                      <w:color w:val="000000"/>
                    </w:rPr>
                    <w:t>五日</w:t>
                  </w:r>
                </w:p>
                <w:p w14:paraId="5F284CF7">
                  <w:pPr>
                    <w:pStyle w:val="38"/>
                    <w:bidi w:val="0"/>
                    <w:rPr>
                      <w:rFonts w:hint="default"/>
                      <w:b w:val="0"/>
                      <w:color w:val="000000"/>
                    </w:rPr>
                  </w:pPr>
                  <w:r>
                    <w:rPr>
                      <w:rFonts w:hint="default"/>
                      <w:b w:val="0"/>
                      <w:color w:val="000000"/>
                    </w:rPr>
                    <w:t>生化需氧量</w:t>
                  </w:r>
                </w:p>
              </w:tc>
              <w:tc>
                <w:tcPr>
                  <w:tcW w:w="572" w:type="pct"/>
                  <w:shd w:val="clear" w:color="auto" w:fill="auto"/>
                  <w:vAlign w:val="center"/>
                </w:tcPr>
                <w:p w14:paraId="439B7130">
                  <w:pPr>
                    <w:pStyle w:val="38"/>
                    <w:bidi w:val="0"/>
                    <w:rPr>
                      <w:rFonts w:hint="default"/>
                      <w:b w:val="0"/>
                      <w:color w:val="000000"/>
                    </w:rPr>
                  </w:pPr>
                  <w:r>
                    <w:rPr>
                      <w:rFonts w:hint="default"/>
                      <w:b w:val="0"/>
                      <w:color w:val="000000"/>
                    </w:rPr>
                    <w:t>116</w:t>
                  </w:r>
                </w:p>
              </w:tc>
              <w:tc>
                <w:tcPr>
                  <w:tcW w:w="572" w:type="pct"/>
                  <w:shd w:val="clear" w:color="auto" w:fill="auto"/>
                  <w:vAlign w:val="center"/>
                </w:tcPr>
                <w:p w14:paraId="52669621">
                  <w:pPr>
                    <w:pStyle w:val="38"/>
                    <w:bidi w:val="0"/>
                    <w:rPr>
                      <w:rFonts w:hint="default"/>
                      <w:b w:val="0"/>
                      <w:color w:val="000000"/>
                    </w:rPr>
                  </w:pPr>
                  <w:r>
                    <w:rPr>
                      <w:rFonts w:hint="default"/>
                      <w:b w:val="0"/>
                      <w:color w:val="000000"/>
                    </w:rPr>
                    <w:t>120</w:t>
                  </w:r>
                </w:p>
              </w:tc>
              <w:tc>
                <w:tcPr>
                  <w:tcW w:w="572" w:type="pct"/>
                  <w:shd w:val="clear" w:color="auto" w:fill="auto"/>
                  <w:vAlign w:val="center"/>
                </w:tcPr>
                <w:p w14:paraId="1B6EB458">
                  <w:pPr>
                    <w:pStyle w:val="38"/>
                    <w:bidi w:val="0"/>
                    <w:rPr>
                      <w:rFonts w:hint="default"/>
                      <w:b w:val="0"/>
                      <w:color w:val="000000"/>
                    </w:rPr>
                  </w:pPr>
                  <w:r>
                    <w:rPr>
                      <w:rFonts w:hint="default"/>
                      <w:b w:val="0"/>
                      <w:color w:val="000000"/>
                    </w:rPr>
                    <w:t>131</w:t>
                  </w:r>
                </w:p>
              </w:tc>
              <w:tc>
                <w:tcPr>
                  <w:tcW w:w="572" w:type="pct"/>
                  <w:shd w:val="clear" w:color="auto" w:fill="auto"/>
                  <w:vAlign w:val="center"/>
                </w:tcPr>
                <w:p w14:paraId="49096EFB">
                  <w:pPr>
                    <w:pStyle w:val="38"/>
                    <w:bidi w:val="0"/>
                    <w:rPr>
                      <w:rFonts w:hint="default"/>
                      <w:b w:val="0"/>
                      <w:color w:val="000000"/>
                    </w:rPr>
                  </w:pPr>
                  <w:r>
                    <w:rPr>
                      <w:rFonts w:hint="default"/>
                      <w:b w:val="0"/>
                      <w:color w:val="000000"/>
                    </w:rPr>
                    <w:t>123</w:t>
                  </w:r>
                </w:p>
              </w:tc>
              <w:tc>
                <w:tcPr>
                  <w:tcW w:w="588" w:type="pct"/>
                  <w:shd w:val="clear" w:color="auto" w:fill="auto"/>
                  <w:vAlign w:val="center"/>
                </w:tcPr>
                <w:p w14:paraId="6A493CFF">
                  <w:pPr>
                    <w:pStyle w:val="38"/>
                    <w:bidi w:val="0"/>
                    <w:rPr>
                      <w:rFonts w:hint="default"/>
                      <w:b w:val="0"/>
                      <w:color w:val="000000"/>
                    </w:rPr>
                  </w:pPr>
                  <w:r>
                    <w:rPr>
                      <w:rFonts w:hint="default"/>
                      <w:b w:val="0"/>
                      <w:color w:val="000000"/>
                    </w:rPr>
                    <w:t>122</w:t>
                  </w:r>
                </w:p>
              </w:tc>
              <w:tc>
                <w:tcPr>
                  <w:tcW w:w="550" w:type="pct"/>
                  <w:tcBorders>
                    <w:right w:val="nil"/>
                  </w:tcBorders>
                  <w:shd w:val="clear" w:color="auto" w:fill="auto"/>
                  <w:vAlign w:val="center"/>
                </w:tcPr>
                <w:p w14:paraId="0D5EF120">
                  <w:pPr>
                    <w:pStyle w:val="38"/>
                    <w:bidi w:val="0"/>
                    <w:rPr>
                      <w:rFonts w:hint="default"/>
                      <w:b w:val="0"/>
                      <w:color w:val="000000"/>
                    </w:rPr>
                  </w:pPr>
                  <w:r>
                    <w:rPr>
                      <w:rFonts w:hint="default"/>
                      <w:b w:val="0"/>
                      <w:color w:val="000000"/>
                    </w:rPr>
                    <w:t>300</w:t>
                  </w:r>
                </w:p>
              </w:tc>
            </w:tr>
            <w:tr w14:paraId="50FC85D7">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486" w:hRule="atLeast"/>
              </w:trPr>
              <w:tc>
                <w:tcPr>
                  <w:tcW w:w="400" w:type="pct"/>
                  <w:vMerge w:val="continue"/>
                  <w:tcBorders>
                    <w:left w:val="nil"/>
                  </w:tcBorders>
                  <w:shd w:val="clear" w:color="auto" w:fill="auto"/>
                  <w:vAlign w:val="center"/>
                </w:tcPr>
                <w:p w14:paraId="5673AC39">
                  <w:pPr>
                    <w:pStyle w:val="38"/>
                    <w:bidi w:val="0"/>
                    <w:rPr>
                      <w:rFonts w:hint="default"/>
                      <w:b w:val="0"/>
                      <w:color w:val="000000"/>
                    </w:rPr>
                  </w:pPr>
                </w:p>
              </w:tc>
              <w:tc>
                <w:tcPr>
                  <w:tcW w:w="402" w:type="pct"/>
                  <w:vMerge w:val="continue"/>
                  <w:shd w:val="clear" w:color="auto" w:fill="auto"/>
                  <w:vAlign w:val="center"/>
                </w:tcPr>
                <w:p w14:paraId="37C280A3">
                  <w:pPr>
                    <w:pStyle w:val="38"/>
                    <w:bidi w:val="0"/>
                    <w:rPr>
                      <w:rFonts w:hint="default"/>
                      <w:b w:val="0"/>
                      <w:color w:val="000000"/>
                    </w:rPr>
                  </w:pPr>
                </w:p>
              </w:tc>
              <w:tc>
                <w:tcPr>
                  <w:tcW w:w="768" w:type="pct"/>
                  <w:shd w:val="clear" w:color="auto" w:fill="auto"/>
                  <w:vAlign w:val="center"/>
                </w:tcPr>
                <w:p w14:paraId="479B1E8A">
                  <w:pPr>
                    <w:pStyle w:val="38"/>
                    <w:bidi w:val="0"/>
                    <w:rPr>
                      <w:rFonts w:hint="default"/>
                      <w:b w:val="0"/>
                      <w:color w:val="000000"/>
                    </w:rPr>
                  </w:pPr>
                  <w:r>
                    <w:rPr>
                      <w:rFonts w:hint="default"/>
                      <w:b w:val="0"/>
                      <w:color w:val="000000"/>
                    </w:rPr>
                    <w:t>悬浮物</w:t>
                  </w:r>
                </w:p>
              </w:tc>
              <w:tc>
                <w:tcPr>
                  <w:tcW w:w="572" w:type="pct"/>
                  <w:shd w:val="clear" w:color="auto" w:fill="auto"/>
                  <w:vAlign w:val="center"/>
                </w:tcPr>
                <w:p w14:paraId="556C2993">
                  <w:pPr>
                    <w:pStyle w:val="38"/>
                    <w:bidi w:val="0"/>
                    <w:rPr>
                      <w:rFonts w:hint="default"/>
                      <w:b w:val="0"/>
                      <w:color w:val="000000"/>
                    </w:rPr>
                  </w:pPr>
                  <w:r>
                    <w:rPr>
                      <w:rFonts w:hint="default"/>
                      <w:b w:val="0"/>
                      <w:color w:val="000000"/>
                    </w:rPr>
                    <w:t>33</w:t>
                  </w:r>
                </w:p>
              </w:tc>
              <w:tc>
                <w:tcPr>
                  <w:tcW w:w="572" w:type="pct"/>
                  <w:shd w:val="clear" w:color="auto" w:fill="auto"/>
                  <w:vAlign w:val="center"/>
                </w:tcPr>
                <w:p w14:paraId="235DCC29">
                  <w:pPr>
                    <w:pStyle w:val="38"/>
                    <w:bidi w:val="0"/>
                    <w:rPr>
                      <w:rFonts w:hint="default"/>
                      <w:b w:val="0"/>
                      <w:color w:val="000000"/>
                    </w:rPr>
                  </w:pPr>
                  <w:r>
                    <w:rPr>
                      <w:rFonts w:hint="default"/>
                      <w:b w:val="0"/>
                      <w:color w:val="000000"/>
                    </w:rPr>
                    <w:t>30</w:t>
                  </w:r>
                </w:p>
              </w:tc>
              <w:tc>
                <w:tcPr>
                  <w:tcW w:w="572" w:type="pct"/>
                  <w:shd w:val="clear" w:color="auto" w:fill="auto"/>
                  <w:vAlign w:val="center"/>
                </w:tcPr>
                <w:p w14:paraId="6DC92548">
                  <w:pPr>
                    <w:pStyle w:val="38"/>
                    <w:bidi w:val="0"/>
                    <w:rPr>
                      <w:rFonts w:hint="default"/>
                      <w:b w:val="0"/>
                      <w:color w:val="000000"/>
                    </w:rPr>
                  </w:pPr>
                  <w:r>
                    <w:rPr>
                      <w:rFonts w:hint="default"/>
                      <w:b w:val="0"/>
                      <w:color w:val="000000"/>
                    </w:rPr>
                    <w:t>26</w:t>
                  </w:r>
                </w:p>
              </w:tc>
              <w:tc>
                <w:tcPr>
                  <w:tcW w:w="572" w:type="pct"/>
                  <w:shd w:val="clear" w:color="auto" w:fill="auto"/>
                  <w:vAlign w:val="center"/>
                </w:tcPr>
                <w:p w14:paraId="4742C27F">
                  <w:pPr>
                    <w:pStyle w:val="38"/>
                    <w:bidi w:val="0"/>
                    <w:rPr>
                      <w:rFonts w:hint="default"/>
                      <w:b w:val="0"/>
                      <w:color w:val="000000"/>
                    </w:rPr>
                  </w:pPr>
                  <w:r>
                    <w:rPr>
                      <w:rFonts w:hint="default"/>
                      <w:b w:val="0"/>
                      <w:color w:val="000000"/>
                    </w:rPr>
                    <w:t>28</w:t>
                  </w:r>
                </w:p>
              </w:tc>
              <w:tc>
                <w:tcPr>
                  <w:tcW w:w="588" w:type="pct"/>
                  <w:shd w:val="clear" w:color="auto" w:fill="auto"/>
                  <w:vAlign w:val="center"/>
                </w:tcPr>
                <w:p w14:paraId="1D5C200F">
                  <w:pPr>
                    <w:pStyle w:val="38"/>
                    <w:bidi w:val="0"/>
                    <w:rPr>
                      <w:rFonts w:hint="default"/>
                      <w:b w:val="0"/>
                      <w:color w:val="000000"/>
                    </w:rPr>
                  </w:pPr>
                  <w:r>
                    <w:rPr>
                      <w:rFonts w:hint="default"/>
                      <w:b w:val="0"/>
                      <w:color w:val="000000"/>
                    </w:rPr>
                    <w:t>29</w:t>
                  </w:r>
                </w:p>
              </w:tc>
              <w:tc>
                <w:tcPr>
                  <w:tcW w:w="550" w:type="pct"/>
                  <w:tcBorders>
                    <w:right w:val="nil"/>
                  </w:tcBorders>
                  <w:shd w:val="clear" w:color="auto" w:fill="auto"/>
                  <w:vAlign w:val="center"/>
                </w:tcPr>
                <w:p w14:paraId="3136AB54">
                  <w:pPr>
                    <w:pStyle w:val="38"/>
                    <w:bidi w:val="0"/>
                    <w:rPr>
                      <w:rFonts w:hint="default"/>
                      <w:b w:val="0"/>
                      <w:color w:val="000000"/>
                    </w:rPr>
                  </w:pPr>
                  <w:r>
                    <w:rPr>
                      <w:rFonts w:hint="default"/>
                      <w:b w:val="0"/>
                      <w:color w:val="000000"/>
                    </w:rPr>
                    <w:t>400</w:t>
                  </w:r>
                </w:p>
              </w:tc>
            </w:tr>
            <w:tr w14:paraId="3EC3F53F">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486" w:hRule="atLeast"/>
              </w:trPr>
              <w:tc>
                <w:tcPr>
                  <w:tcW w:w="400" w:type="pct"/>
                  <w:vMerge w:val="continue"/>
                  <w:tcBorders>
                    <w:left w:val="nil"/>
                    <w:bottom w:val="single" w:color="000000" w:sz="12" w:space="0"/>
                  </w:tcBorders>
                  <w:shd w:val="clear" w:color="auto" w:fill="auto"/>
                  <w:vAlign w:val="center"/>
                </w:tcPr>
                <w:p w14:paraId="76675DEE">
                  <w:pPr>
                    <w:pStyle w:val="38"/>
                    <w:bidi w:val="0"/>
                    <w:rPr>
                      <w:rFonts w:hint="default"/>
                      <w:b w:val="0"/>
                      <w:color w:val="000000"/>
                    </w:rPr>
                  </w:pPr>
                </w:p>
              </w:tc>
              <w:tc>
                <w:tcPr>
                  <w:tcW w:w="402" w:type="pct"/>
                  <w:vMerge w:val="continue"/>
                  <w:tcBorders>
                    <w:bottom w:val="single" w:color="000000" w:sz="12" w:space="0"/>
                  </w:tcBorders>
                  <w:shd w:val="clear" w:color="auto" w:fill="auto"/>
                  <w:vAlign w:val="center"/>
                </w:tcPr>
                <w:p w14:paraId="5DC20CDD">
                  <w:pPr>
                    <w:pStyle w:val="38"/>
                    <w:bidi w:val="0"/>
                    <w:rPr>
                      <w:rFonts w:hint="default"/>
                      <w:b w:val="0"/>
                      <w:color w:val="000000"/>
                    </w:rPr>
                  </w:pPr>
                </w:p>
              </w:tc>
              <w:tc>
                <w:tcPr>
                  <w:tcW w:w="768" w:type="pct"/>
                  <w:tcBorders>
                    <w:bottom w:val="single" w:color="000000" w:sz="12" w:space="0"/>
                  </w:tcBorders>
                  <w:shd w:val="clear" w:color="auto" w:fill="auto"/>
                  <w:vAlign w:val="center"/>
                </w:tcPr>
                <w:p w14:paraId="1BDA3A55">
                  <w:pPr>
                    <w:pStyle w:val="38"/>
                    <w:bidi w:val="0"/>
                    <w:rPr>
                      <w:rFonts w:hint="default"/>
                      <w:b w:val="0"/>
                      <w:color w:val="000000"/>
                    </w:rPr>
                  </w:pPr>
                  <w:r>
                    <w:rPr>
                      <w:rFonts w:hint="default"/>
                      <w:b w:val="0"/>
                      <w:color w:val="000000"/>
                    </w:rPr>
                    <w:t>氨氮</w:t>
                  </w:r>
                </w:p>
              </w:tc>
              <w:tc>
                <w:tcPr>
                  <w:tcW w:w="572" w:type="pct"/>
                  <w:tcBorders>
                    <w:bottom w:val="single" w:color="000000" w:sz="12" w:space="0"/>
                  </w:tcBorders>
                  <w:shd w:val="clear" w:color="auto" w:fill="auto"/>
                  <w:vAlign w:val="center"/>
                </w:tcPr>
                <w:p w14:paraId="723FA59C">
                  <w:pPr>
                    <w:pStyle w:val="38"/>
                    <w:bidi w:val="0"/>
                    <w:rPr>
                      <w:rFonts w:hint="default"/>
                      <w:b w:val="0"/>
                      <w:color w:val="000000"/>
                    </w:rPr>
                  </w:pPr>
                  <w:r>
                    <w:rPr>
                      <w:rFonts w:hint="default"/>
                      <w:b w:val="0"/>
                      <w:color w:val="000000"/>
                    </w:rPr>
                    <w:t>43.5</w:t>
                  </w:r>
                </w:p>
              </w:tc>
              <w:tc>
                <w:tcPr>
                  <w:tcW w:w="572" w:type="pct"/>
                  <w:tcBorders>
                    <w:bottom w:val="single" w:color="000000" w:sz="12" w:space="0"/>
                  </w:tcBorders>
                  <w:shd w:val="clear" w:color="auto" w:fill="auto"/>
                  <w:vAlign w:val="center"/>
                </w:tcPr>
                <w:p w14:paraId="573EAA1E">
                  <w:pPr>
                    <w:pStyle w:val="38"/>
                    <w:bidi w:val="0"/>
                    <w:rPr>
                      <w:rFonts w:hint="default"/>
                      <w:b w:val="0"/>
                      <w:color w:val="000000"/>
                    </w:rPr>
                  </w:pPr>
                  <w:r>
                    <w:rPr>
                      <w:rFonts w:hint="default"/>
                      <w:b w:val="0"/>
                      <w:color w:val="000000"/>
                    </w:rPr>
                    <w:t>42.7</w:t>
                  </w:r>
                </w:p>
              </w:tc>
              <w:tc>
                <w:tcPr>
                  <w:tcW w:w="572" w:type="pct"/>
                  <w:tcBorders>
                    <w:bottom w:val="single" w:color="000000" w:sz="12" w:space="0"/>
                  </w:tcBorders>
                  <w:shd w:val="clear" w:color="auto" w:fill="auto"/>
                  <w:vAlign w:val="center"/>
                </w:tcPr>
                <w:p w14:paraId="6CD1BE2B">
                  <w:pPr>
                    <w:pStyle w:val="38"/>
                    <w:bidi w:val="0"/>
                    <w:rPr>
                      <w:rFonts w:hint="default"/>
                      <w:b w:val="0"/>
                      <w:color w:val="000000"/>
                    </w:rPr>
                  </w:pPr>
                  <w:r>
                    <w:rPr>
                      <w:rFonts w:hint="default"/>
                      <w:b w:val="0"/>
                      <w:color w:val="000000"/>
                    </w:rPr>
                    <w:t>44.0</w:t>
                  </w:r>
                </w:p>
              </w:tc>
              <w:tc>
                <w:tcPr>
                  <w:tcW w:w="572" w:type="pct"/>
                  <w:tcBorders>
                    <w:bottom w:val="single" w:color="000000" w:sz="12" w:space="0"/>
                  </w:tcBorders>
                  <w:shd w:val="clear" w:color="auto" w:fill="auto"/>
                  <w:vAlign w:val="center"/>
                </w:tcPr>
                <w:p w14:paraId="429321F4">
                  <w:pPr>
                    <w:pStyle w:val="38"/>
                    <w:bidi w:val="0"/>
                    <w:rPr>
                      <w:rFonts w:hint="default"/>
                      <w:b w:val="0"/>
                      <w:color w:val="000000"/>
                    </w:rPr>
                  </w:pPr>
                  <w:r>
                    <w:rPr>
                      <w:rFonts w:hint="default"/>
                      <w:b w:val="0"/>
                      <w:color w:val="000000"/>
                    </w:rPr>
                    <w:t>42.9</w:t>
                  </w:r>
                </w:p>
              </w:tc>
              <w:tc>
                <w:tcPr>
                  <w:tcW w:w="588" w:type="pct"/>
                  <w:tcBorders>
                    <w:bottom w:val="single" w:color="000000" w:sz="12" w:space="0"/>
                  </w:tcBorders>
                  <w:shd w:val="clear" w:color="auto" w:fill="auto"/>
                  <w:vAlign w:val="center"/>
                </w:tcPr>
                <w:p w14:paraId="24165E59">
                  <w:pPr>
                    <w:pStyle w:val="38"/>
                    <w:bidi w:val="0"/>
                    <w:rPr>
                      <w:rFonts w:hint="default"/>
                      <w:b w:val="0"/>
                      <w:color w:val="000000"/>
                    </w:rPr>
                  </w:pPr>
                  <w:r>
                    <w:rPr>
                      <w:rFonts w:hint="default"/>
                      <w:b w:val="0"/>
                      <w:color w:val="000000"/>
                    </w:rPr>
                    <w:t>43.3</w:t>
                  </w:r>
                </w:p>
              </w:tc>
              <w:tc>
                <w:tcPr>
                  <w:tcW w:w="550" w:type="pct"/>
                  <w:tcBorders>
                    <w:bottom w:val="single" w:color="000000" w:sz="12" w:space="0"/>
                    <w:right w:val="nil"/>
                  </w:tcBorders>
                  <w:shd w:val="clear" w:color="auto" w:fill="auto"/>
                  <w:vAlign w:val="center"/>
                </w:tcPr>
                <w:p w14:paraId="3D6FAA94">
                  <w:pPr>
                    <w:pStyle w:val="38"/>
                    <w:bidi w:val="0"/>
                    <w:rPr>
                      <w:rFonts w:hint="default"/>
                      <w:b w:val="0"/>
                      <w:color w:val="000000"/>
                    </w:rPr>
                  </w:pPr>
                  <w:r>
                    <w:rPr>
                      <w:rFonts w:hint="default"/>
                      <w:b w:val="0"/>
                      <w:color w:val="000000"/>
                    </w:rPr>
                    <w:t>45</w:t>
                  </w:r>
                </w:p>
              </w:tc>
            </w:tr>
          </w:tbl>
          <w:p w14:paraId="7D3BD070">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根据检测结果可知，在验收监测期间（2020.7.15-2020.7.16），本项目运营期生活污水经化粪池处理后达到《污水综合排放标准》（GB8978-1996）表4中三级标准（氨氮参照《污水排入城镇下水道水质标准》（GB/T3196-2015）表1中B级标准）后纳入福清市融元污水处理厂。</w:t>
            </w:r>
          </w:p>
          <w:p w14:paraId="3C82EE75">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（2）废气</w:t>
            </w:r>
          </w:p>
          <w:p w14:paraId="0E7F5D39">
            <w:pPr>
              <w:keepNext w:val="0"/>
              <w:keepLines w:val="0"/>
              <w:suppressLineNumbers w:val="0"/>
              <w:bidi w:val="0"/>
              <w:spacing w:before="0" w:beforeAutospacing="0" w:after="0" w:afterAutospacing="0"/>
              <w:ind w:left="0" w:right="0"/>
              <w:rPr>
                <w:rFonts w:hint="eastAsia"/>
                <w:lang w:val="en-US" w:eastAsia="zh-CN"/>
              </w:rPr>
            </w:pPr>
            <w:r>
              <w:rPr>
                <w:rFonts w:hint="eastAsia" w:ascii="Times New Roman" w:hAnsi="Times New Roman" w:eastAsiaTheme="minorEastAsia"/>
                <w:color w:val="auto"/>
                <w:sz w:val="24"/>
                <w:szCs w:val="24"/>
                <w:lang w:val="en-US" w:eastAsia="zh-CN"/>
              </w:rPr>
              <w:t>项目喷烘干废气及加烤废气各自经密闭管道集气收集，然后与经水帘柜净化后的喷漆废气一起并入</w:t>
            </w:r>
            <w:r>
              <w:rPr>
                <w:rFonts w:hint="eastAsia" w:eastAsiaTheme="minorEastAsia"/>
                <w:color w:val="auto"/>
                <w:sz w:val="24"/>
                <w:szCs w:val="24"/>
                <w:lang w:val="en-US" w:eastAsia="zh-CN"/>
              </w:rPr>
              <w:t>“</w:t>
            </w:r>
            <w:r>
              <w:rPr>
                <w:rFonts w:hint="eastAsia" w:ascii="Times New Roman" w:hAnsi="Times New Roman" w:eastAsiaTheme="minorEastAsia"/>
                <w:color w:val="auto"/>
                <w:sz w:val="24"/>
                <w:szCs w:val="24"/>
                <w:lang w:val="en-US" w:eastAsia="zh-CN"/>
              </w:rPr>
              <w:t>过滤棉+活性炭吸附装置</w:t>
            </w:r>
            <w:r>
              <w:rPr>
                <w:rFonts w:hint="eastAsia" w:eastAsiaTheme="minorEastAsia"/>
                <w:color w:val="auto"/>
                <w:sz w:val="24"/>
                <w:szCs w:val="24"/>
                <w:lang w:val="en-US" w:eastAsia="zh-CN"/>
              </w:rPr>
              <w:t>”</w:t>
            </w:r>
            <w:r>
              <w:rPr>
                <w:rFonts w:hint="eastAsia" w:ascii="Times New Roman" w:hAnsi="Times New Roman" w:eastAsiaTheme="minorEastAsia"/>
                <w:color w:val="auto"/>
                <w:sz w:val="24"/>
                <w:szCs w:val="24"/>
                <w:lang w:val="en-US" w:eastAsia="zh-CN"/>
              </w:rPr>
              <w:t>处理后通过1根15m高的排气筒（DA001）排放</w:t>
            </w:r>
            <w:r>
              <w:rPr>
                <w:rFonts w:hint="default"/>
                <w:lang w:val="en-US" w:eastAsia="zh-CN"/>
              </w:rPr>
              <w:t>。</w:t>
            </w:r>
            <w:r>
              <w:rPr>
                <w:rFonts w:hint="eastAsia"/>
                <w:lang w:val="en-US" w:eastAsia="zh-CN"/>
              </w:rPr>
              <w:t>根据福建九五检测技术服务有限公司关于《福清市三合电子科技有限公司年加工铝合金20万套、塑胶件5万套、板金件5万套项目竣工验收监测》的检测报告（报告编号：JWJC231016012），现有项目废气检测结果如下：</w:t>
            </w:r>
          </w:p>
          <w:p w14:paraId="41316D73">
            <w:pPr>
              <w:pStyle w:val="39"/>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表2.3-3有组织废气检测结果</w:t>
            </w:r>
          </w:p>
          <w:tbl>
            <w:tblPr>
              <w:tblStyle w:val="29"/>
              <w:tblW w:w="8388" w:type="dxa"/>
              <w:jc w:val="center"/>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799"/>
              <w:gridCol w:w="2155"/>
              <w:gridCol w:w="1288"/>
              <w:gridCol w:w="774"/>
              <w:gridCol w:w="774"/>
              <w:gridCol w:w="774"/>
              <w:gridCol w:w="774"/>
              <w:gridCol w:w="1050"/>
            </w:tblGrid>
            <w:tr w14:paraId="1853002A">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175" w:hRule="atLeast"/>
                <w:jc w:val="center"/>
              </w:trPr>
              <w:tc>
                <w:tcPr>
                  <w:tcW w:w="0" w:type="auto"/>
                  <w:vMerge w:val="restart"/>
                  <w:tcBorders>
                    <w:top w:val="single" w:color="000000" w:sz="12" w:space="0"/>
                    <w:left w:val="nil"/>
                    <w:tl2br w:val="nil"/>
                  </w:tcBorders>
                  <w:shd w:val="clear" w:color="auto" w:fill="auto"/>
                  <w:noWrap w:val="0"/>
                  <w:vAlign w:val="center"/>
                </w:tcPr>
                <w:p w14:paraId="1620CB8A">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采样日期</w:t>
                  </w:r>
                </w:p>
              </w:tc>
              <w:tc>
                <w:tcPr>
                  <w:tcW w:w="0" w:type="auto"/>
                  <w:vMerge w:val="restart"/>
                  <w:tcBorders>
                    <w:top w:val="single" w:color="000000" w:sz="12" w:space="0"/>
                  </w:tcBorders>
                  <w:shd w:val="clear" w:color="auto" w:fill="auto"/>
                  <w:noWrap w:val="0"/>
                  <w:vAlign w:val="center"/>
                </w:tcPr>
                <w:p w14:paraId="6764D7F2">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检测点位</w:t>
                  </w:r>
                </w:p>
              </w:tc>
              <w:tc>
                <w:tcPr>
                  <w:tcW w:w="0" w:type="auto"/>
                  <w:vMerge w:val="restart"/>
                  <w:tcBorders>
                    <w:top w:val="single" w:color="000000" w:sz="12" w:space="0"/>
                  </w:tcBorders>
                  <w:shd w:val="clear" w:color="auto" w:fill="auto"/>
                  <w:noWrap w:val="0"/>
                  <w:vAlign w:val="center"/>
                </w:tcPr>
                <w:p w14:paraId="67676B9C">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检测项目</w:t>
                  </w:r>
                </w:p>
              </w:tc>
              <w:tc>
                <w:tcPr>
                  <w:tcW w:w="0" w:type="auto"/>
                  <w:gridSpan w:val="4"/>
                  <w:tcBorders>
                    <w:top w:val="single" w:color="000000" w:sz="12" w:space="0"/>
                  </w:tcBorders>
                  <w:shd w:val="clear" w:color="auto" w:fill="auto"/>
                  <w:noWrap w:val="0"/>
                  <w:vAlign w:val="center"/>
                </w:tcPr>
                <w:p w14:paraId="452DF5F5">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检测频次及结果</w:t>
                  </w:r>
                </w:p>
              </w:tc>
              <w:tc>
                <w:tcPr>
                  <w:tcW w:w="0" w:type="auto"/>
                  <w:vMerge w:val="restart"/>
                  <w:tcBorders>
                    <w:top w:val="single" w:color="000000" w:sz="12" w:space="0"/>
                    <w:right w:val="nil"/>
                  </w:tcBorders>
                  <w:shd w:val="clear" w:color="auto" w:fill="auto"/>
                  <w:noWrap w:val="0"/>
                  <w:vAlign w:val="center"/>
                </w:tcPr>
                <w:p w14:paraId="28CB2B6D">
                  <w:pPr>
                    <w:pStyle w:val="38"/>
                    <w:keepNext w:val="0"/>
                    <w:keepLines w:val="0"/>
                    <w:widowControl/>
                    <w:suppressLineNumbers w:val="0"/>
                    <w:bidi w:val="0"/>
                    <w:spacing w:before="0" w:beforeAutospacing="0" w:after="0" w:afterAutospacing="0"/>
                    <w:ind w:left="0" w:right="0"/>
                    <w:rPr>
                      <w:rFonts w:hint="eastAsia" w:eastAsia="宋体"/>
                      <w:b w:val="0"/>
                      <w:color w:val="000000"/>
                      <w:szCs w:val="22"/>
                      <w:lang w:eastAsia="zh-CN"/>
                    </w:rPr>
                  </w:pPr>
                  <w:r>
                    <w:rPr>
                      <w:rFonts w:hint="default"/>
                      <w:b w:val="0"/>
                      <w:color w:val="000000"/>
                      <w:szCs w:val="22"/>
                    </w:rPr>
                    <w:t>排放速率</w:t>
                  </w:r>
                  <w:r>
                    <w:rPr>
                      <w:rFonts w:hint="eastAsia"/>
                      <w:b w:val="0"/>
                      <w:color w:val="000000"/>
                      <w:szCs w:val="22"/>
                      <w:lang w:eastAsia="zh-CN"/>
                    </w:rPr>
                    <w:t>（</w:t>
                  </w:r>
                  <w:r>
                    <w:rPr>
                      <w:rFonts w:hint="default"/>
                      <w:b w:val="0"/>
                      <w:color w:val="000000"/>
                      <w:szCs w:val="22"/>
                    </w:rPr>
                    <w:t>kg/h</w:t>
                  </w:r>
                  <w:r>
                    <w:rPr>
                      <w:rFonts w:hint="eastAsia"/>
                      <w:b w:val="0"/>
                      <w:color w:val="000000"/>
                      <w:szCs w:val="22"/>
                      <w:lang w:eastAsia="zh-CN"/>
                    </w:rPr>
                    <w:t>）</w:t>
                  </w:r>
                </w:p>
              </w:tc>
            </w:tr>
            <w:tr w14:paraId="510C21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jc w:val="center"/>
              </w:trPr>
              <w:tc>
                <w:tcPr>
                  <w:tcW w:w="0" w:type="auto"/>
                  <w:vMerge w:val="continue"/>
                  <w:tcBorders>
                    <w:left w:val="nil"/>
                  </w:tcBorders>
                  <w:shd w:val="clear" w:color="auto" w:fill="auto"/>
                  <w:noWrap w:val="0"/>
                  <w:vAlign w:val="center"/>
                </w:tcPr>
                <w:p w14:paraId="39694D80">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vMerge w:val="continue"/>
                  <w:shd w:val="clear" w:color="auto" w:fill="auto"/>
                  <w:noWrap w:val="0"/>
                  <w:vAlign w:val="center"/>
                </w:tcPr>
                <w:p w14:paraId="1E625314">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vMerge w:val="continue"/>
                  <w:shd w:val="clear" w:color="auto" w:fill="auto"/>
                  <w:noWrap w:val="0"/>
                  <w:vAlign w:val="center"/>
                </w:tcPr>
                <w:p w14:paraId="47ABA77E">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shd w:val="clear" w:color="auto" w:fill="auto"/>
                  <w:noWrap w:val="0"/>
                  <w:vAlign w:val="center"/>
                </w:tcPr>
                <w:p w14:paraId="6166777E">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1</w:t>
                  </w:r>
                </w:p>
              </w:tc>
              <w:tc>
                <w:tcPr>
                  <w:tcW w:w="0" w:type="auto"/>
                  <w:shd w:val="clear" w:color="auto" w:fill="auto"/>
                  <w:noWrap w:val="0"/>
                  <w:vAlign w:val="center"/>
                </w:tcPr>
                <w:p w14:paraId="0FD32D69">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2</w:t>
                  </w:r>
                </w:p>
              </w:tc>
              <w:tc>
                <w:tcPr>
                  <w:tcW w:w="0" w:type="auto"/>
                  <w:shd w:val="clear" w:color="auto" w:fill="auto"/>
                  <w:noWrap w:val="0"/>
                  <w:vAlign w:val="center"/>
                </w:tcPr>
                <w:p w14:paraId="1F23DB21">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3</w:t>
                  </w:r>
                </w:p>
              </w:tc>
              <w:tc>
                <w:tcPr>
                  <w:tcW w:w="0" w:type="auto"/>
                  <w:shd w:val="clear" w:color="auto" w:fill="auto"/>
                  <w:noWrap w:val="0"/>
                  <w:vAlign w:val="center"/>
                </w:tcPr>
                <w:p w14:paraId="1030B038">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平均值</w:t>
                  </w:r>
                </w:p>
              </w:tc>
              <w:tc>
                <w:tcPr>
                  <w:tcW w:w="0" w:type="auto"/>
                  <w:vMerge w:val="continue"/>
                  <w:tcBorders>
                    <w:right w:val="nil"/>
                  </w:tcBorders>
                  <w:shd w:val="clear" w:color="auto" w:fill="auto"/>
                  <w:noWrap w:val="0"/>
                  <w:vAlign w:val="center"/>
                </w:tcPr>
                <w:p w14:paraId="15E24357">
                  <w:pPr>
                    <w:pStyle w:val="38"/>
                    <w:keepNext w:val="0"/>
                    <w:keepLines w:val="0"/>
                    <w:widowControl/>
                    <w:suppressLineNumbers w:val="0"/>
                    <w:bidi w:val="0"/>
                    <w:spacing w:before="0" w:beforeAutospacing="0" w:after="0" w:afterAutospacing="0"/>
                    <w:ind w:left="0" w:right="0"/>
                    <w:rPr>
                      <w:rFonts w:hint="default"/>
                      <w:b w:val="0"/>
                      <w:color w:val="000000"/>
                      <w:szCs w:val="22"/>
                    </w:rPr>
                  </w:pPr>
                </w:p>
              </w:tc>
            </w:tr>
            <w:tr w14:paraId="3C450F8A">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PrEx>
              <w:trPr>
                <w:trHeight w:val="430" w:hRule="atLeast"/>
                <w:jc w:val="center"/>
              </w:trPr>
              <w:tc>
                <w:tcPr>
                  <w:tcW w:w="0" w:type="auto"/>
                  <w:vMerge w:val="restart"/>
                  <w:tcBorders>
                    <w:left w:val="nil"/>
                  </w:tcBorders>
                  <w:shd w:val="clear" w:color="auto" w:fill="auto"/>
                  <w:noWrap w:val="0"/>
                  <w:vAlign w:val="center"/>
                </w:tcPr>
                <w:p w14:paraId="1D864700">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2023年10月21日</w:t>
                  </w:r>
                </w:p>
              </w:tc>
              <w:tc>
                <w:tcPr>
                  <w:tcW w:w="0" w:type="auto"/>
                  <w:vMerge w:val="restart"/>
                  <w:shd w:val="clear" w:color="auto" w:fill="auto"/>
                  <w:noWrap w:val="0"/>
                  <w:vAlign w:val="center"/>
                </w:tcPr>
                <w:p w14:paraId="48FEF0FE">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G1喷漆、烘干、加烤工序废气排气筒</w:t>
                  </w:r>
                  <w:r>
                    <w:rPr>
                      <w:rFonts w:hint="eastAsia"/>
                      <w:b w:val="0"/>
                      <w:color w:val="000000"/>
                      <w:szCs w:val="22"/>
                      <w:lang w:eastAsia="zh-CN"/>
                    </w:rPr>
                    <w:t>（</w:t>
                  </w:r>
                  <w:r>
                    <w:rPr>
                      <w:rFonts w:hint="default"/>
                      <w:b w:val="0"/>
                      <w:color w:val="000000"/>
                      <w:szCs w:val="22"/>
                    </w:rPr>
                    <w:t>DA001</w:t>
                  </w:r>
                  <w:r>
                    <w:rPr>
                      <w:rFonts w:hint="eastAsia"/>
                      <w:b w:val="0"/>
                      <w:color w:val="000000"/>
                      <w:szCs w:val="22"/>
                      <w:lang w:eastAsia="zh-CN"/>
                    </w:rPr>
                    <w:t>）</w:t>
                  </w:r>
                  <w:r>
                    <w:rPr>
                      <w:rFonts w:hint="default"/>
                      <w:b w:val="0"/>
                      <w:color w:val="000000"/>
                      <w:szCs w:val="22"/>
                    </w:rPr>
                    <w:t>进口</w:t>
                  </w:r>
                </w:p>
              </w:tc>
              <w:tc>
                <w:tcPr>
                  <w:tcW w:w="0" w:type="auto"/>
                  <w:shd w:val="clear" w:color="auto" w:fill="auto"/>
                  <w:noWrap w:val="0"/>
                  <w:vAlign w:val="center"/>
                </w:tcPr>
                <w:p w14:paraId="695B88AE">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标干排气量（m</w:t>
                  </w:r>
                  <w:r>
                    <w:rPr>
                      <w:rFonts w:hint="eastAsia"/>
                      <w:b w:val="0"/>
                      <w:color w:val="000000"/>
                      <w:szCs w:val="22"/>
                      <w:vertAlign w:val="superscript"/>
                      <w:lang w:val="en-US" w:eastAsia="zh-CN"/>
                    </w:rPr>
                    <w:t>3</w:t>
                  </w:r>
                  <w:r>
                    <w:rPr>
                      <w:rFonts w:hint="default"/>
                      <w:b w:val="0"/>
                      <w:color w:val="000000"/>
                      <w:szCs w:val="22"/>
                    </w:rPr>
                    <w:t>/h）</w:t>
                  </w:r>
                </w:p>
              </w:tc>
              <w:tc>
                <w:tcPr>
                  <w:tcW w:w="0" w:type="auto"/>
                  <w:shd w:val="clear" w:color="auto" w:fill="auto"/>
                  <w:noWrap w:val="0"/>
                  <w:vAlign w:val="center"/>
                </w:tcPr>
                <w:p w14:paraId="56B148E7">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3.75×10</w:t>
                  </w:r>
                  <w:r>
                    <w:rPr>
                      <w:rFonts w:hint="eastAsia"/>
                      <w:b w:val="0"/>
                      <w:color w:val="000000"/>
                      <w:szCs w:val="22"/>
                      <w:vertAlign w:val="superscript"/>
                      <w:lang w:val="en-US" w:eastAsia="zh-CN"/>
                    </w:rPr>
                    <w:t>3</w:t>
                  </w:r>
                </w:p>
              </w:tc>
              <w:tc>
                <w:tcPr>
                  <w:tcW w:w="0" w:type="auto"/>
                  <w:shd w:val="clear" w:color="auto" w:fill="auto"/>
                  <w:noWrap w:val="0"/>
                  <w:vAlign w:val="center"/>
                </w:tcPr>
                <w:p w14:paraId="0E4A53B2">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3.83×10</w:t>
                  </w:r>
                  <w:r>
                    <w:rPr>
                      <w:rFonts w:hint="eastAsia"/>
                      <w:b w:val="0"/>
                      <w:color w:val="000000"/>
                      <w:szCs w:val="22"/>
                      <w:vertAlign w:val="superscript"/>
                      <w:lang w:val="en-US" w:eastAsia="zh-CN"/>
                    </w:rPr>
                    <w:t>3</w:t>
                  </w:r>
                </w:p>
              </w:tc>
              <w:tc>
                <w:tcPr>
                  <w:tcW w:w="0" w:type="auto"/>
                  <w:shd w:val="clear" w:color="auto" w:fill="auto"/>
                  <w:noWrap w:val="0"/>
                  <w:vAlign w:val="center"/>
                </w:tcPr>
                <w:p w14:paraId="6D881CD8">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4.17×10</w:t>
                  </w:r>
                  <w:r>
                    <w:rPr>
                      <w:rFonts w:hint="eastAsia"/>
                      <w:b w:val="0"/>
                      <w:color w:val="000000"/>
                      <w:szCs w:val="22"/>
                      <w:vertAlign w:val="superscript"/>
                      <w:lang w:val="en-US" w:eastAsia="zh-CN"/>
                    </w:rPr>
                    <w:t>3</w:t>
                  </w:r>
                </w:p>
              </w:tc>
              <w:tc>
                <w:tcPr>
                  <w:tcW w:w="0" w:type="auto"/>
                  <w:shd w:val="clear" w:color="auto" w:fill="auto"/>
                  <w:noWrap w:val="0"/>
                  <w:vAlign w:val="center"/>
                </w:tcPr>
                <w:p w14:paraId="25E1D1C8">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3.92×10</w:t>
                  </w:r>
                  <w:r>
                    <w:rPr>
                      <w:rFonts w:hint="eastAsia"/>
                      <w:b w:val="0"/>
                      <w:color w:val="000000"/>
                      <w:szCs w:val="22"/>
                      <w:vertAlign w:val="superscript"/>
                      <w:lang w:val="en-US" w:eastAsia="zh-CN"/>
                    </w:rPr>
                    <w:t>3</w:t>
                  </w:r>
                </w:p>
              </w:tc>
              <w:tc>
                <w:tcPr>
                  <w:tcW w:w="0" w:type="auto"/>
                  <w:tcBorders>
                    <w:right w:val="nil"/>
                  </w:tcBorders>
                  <w:shd w:val="clear" w:color="auto" w:fill="auto"/>
                  <w:noWrap w:val="0"/>
                  <w:vAlign w:val="center"/>
                </w:tcPr>
                <w:p w14:paraId="767663CB">
                  <w:pPr>
                    <w:pStyle w:val="38"/>
                    <w:keepNext w:val="0"/>
                    <w:keepLines w:val="0"/>
                    <w:widowControl/>
                    <w:suppressLineNumbers w:val="0"/>
                    <w:bidi w:val="0"/>
                    <w:spacing w:before="0" w:beforeAutospacing="0" w:after="0" w:afterAutospacing="0"/>
                    <w:ind w:left="0" w:right="0"/>
                    <w:rPr>
                      <w:rFonts w:hint="default"/>
                      <w:b w:val="0"/>
                      <w:color w:val="000000"/>
                      <w:szCs w:val="22"/>
                    </w:rPr>
                  </w:pPr>
                </w:p>
                <w:p w14:paraId="13EA9D2C">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w:t>
                  </w:r>
                </w:p>
              </w:tc>
            </w:tr>
            <w:tr w14:paraId="0CC31F33">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430" w:hRule="atLeast"/>
                <w:jc w:val="center"/>
              </w:trPr>
              <w:tc>
                <w:tcPr>
                  <w:tcW w:w="0" w:type="auto"/>
                  <w:vMerge w:val="continue"/>
                  <w:tcBorders>
                    <w:left w:val="nil"/>
                  </w:tcBorders>
                  <w:shd w:val="clear" w:color="auto" w:fill="auto"/>
                  <w:noWrap w:val="0"/>
                  <w:vAlign w:val="center"/>
                </w:tcPr>
                <w:p w14:paraId="409524E5">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vMerge w:val="continue"/>
                  <w:shd w:val="clear" w:color="auto" w:fill="auto"/>
                  <w:noWrap w:val="0"/>
                  <w:vAlign w:val="center"/>
                </w:tcPr>
                <w:p w14:paraId="1E8421D7">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shd w:val="clear" w:color="auto" w:fill="auto"/>
                  <w:noWrap w:val="0"/>
                  <w:vAlign w:val="center"/>
                </w:tcPr>
                <w:p w14:paraId="208C39B2">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颗粒物（mg/m</w:t>
                  </w:r>
                  <w:r>
                    <w:rPr>
                      <w:rFonts w:hint="eastAsia"/>
                      <w:b w:val="0"/>
                      <w:color w:val="000000"/>
                      <w:szCs w:val="22"/>
                      <w:vertAlign w:val="superscript"/>
                      <w:lang w:val="en-US" w:eastAsia="zh-CN"/>
                    </w:rPr>
                    <w:t>3</w:t>
                  </w:r>
                  <w:r>
                    <w:rPr>
                      <w:rFonts w:hint="default"/>
                      <w:b w:val="0"/>
                      <w:color w:val="000000"/>
                      <w:szCs w:val="22"/>
                    </w:rPr>
                    <w:t>）</w:t>
                  </w:r>
                </w:p>
              </w:tc>
              <w:tc>
                <w:tcPr>
                  <w:tcW w:w="0" w:type="auto"/>
                  <w:shd w:val="clear" w:color="auto" w:fill="auto"/>
                  <w:noWrap w:val="0"/>
                  <w:vAlign w:val="center"/>
                </w:tcPr>
                <w:p w14:paraId="7DA1FA30">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50.0</w:t>
                  </w:r>
                </w:p>
              </w:tc>
              <w:tc>
                <w:tcPr>
                  <w:tcW w:w="0" w:type="auto"/>
                  <w:shd w:val="clear" w:color="auto" w:fill="auto"/>
                  <w:noWrap w:val="0"/>
                  <w:vAlign w:val="center"/>
                </w:tcPr>
                <w:p w14:paraId="4C8D7051">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57.6</w:t>
                  </w:r>
                </w:p>
              </w:tc>
              <w:tc>
                <w:tcPr>
                  <w:tcW w:w="0" w:type="auto"/>
                  <w:shd w:val="clear" w:color="auto" w:fill="auto"/>
                  <w:noWrap w:val="0"/>
                  <w:vAlign w:val="center"/>
                </w:tcPr>
                <w:p w14:paraId="16CA4A71">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63.1</w:t>
                  </w:r>
                </w:p>
              </w:tc>
              <w:tc>
                <w:tcPr>
                  <w:tcW w:w="0" w:type="auto"/>
                  <w:shd w:val="clear" w:color="auto" w:fill="auto"/>
                  <w:noWrap w:val="0"/>
                  <w:vAlign w:val="center"/>
                </w:tcPr>
                <w:p w14:paraId="7BF18130">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56.9</w:t>
                  </w:r>
                </w:p>
              </w:tc>
              <w:tc>
                <w:tcPr>
                  <w:tcW w:w="0" w:type="auto"/>
                  <w:tcBorders>
                    <w:right w:val="nil"/>
                  </w:tcBorders>
                  <w:shd w:val="clear" w:color="auto" w:fill="auto"/>
                  <w:noWrap w:val="0"/>
                  <w:vAlign w:val="center"/>
                </w:tcPr>
                <w:p w14:paraId="521A963A">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0.223</w:t>
                  </w:r>
                </w:p>
              </w:tc>
            </w:tr>
            <w:tr w14:paraId="1E3E24B0">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40" w:hRule="atLeast"/>
                <w:jc w:val="center"/>
              </w:trPr>
              <w:tc>
                <w:tcPr>
                  <w:tcW w:w="0" w:type="auto"/>
                  <w:vMerge w:val="continue"/>
                  <w:tcBorders>
                    <w:left w:val="nil"/>
                  </w:tcBorders>
                  <w:shd w:val="clear" w:color="auto" w:fill="auto"/>
                  <w:noWrap w:val="0"/>
                  <w:vAlign w:val="center"/>
                </w:tcPr>
                <w:p w14:paraId="6269662A">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vMerge w:val="continue"/>
                  <w:shd w:val="clear" w:color="auto" w:fill="auto"/>
                  <w:noWrap w:val="0"/>
                  <w:vAlign w:val="center"/>
                </w:tcPr>
                <w:p w14:paraId="772D0043">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shd w:val="clear" w:color="auto" w:fill="auto"/>
                  <w:noWrap w:val="0"/>
                  <w:vAlign w:val="center"/>
                </w:tcPr>
                <w:p w14:paraId="300F8E33">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非甲烷总烃（mg/m</w:t>
                  </w:r>
                  <w:r>
                    <w:rPr>
                      <w:rFonts w:hint="default"/>
                      <w:b w:val="0"/>
                      <w:color w:val="000000"/>
                      <w:szCs w:val="22"/>
                      <w:vertAlign w:val="superscript"/>
                    </w:rPr>
                    <w:t>3</w:t>
                  </w:r>
                  <w:r>
                    <w:rPr>
                      <w:rFonts w:hint="default"/>
                      <w:b w:val="0"/>
                      <w:color w:val="000000"/>
                      <w:szCs w:val="22"/>
                    </w:rPr>
                    <w:t>）</w:t>
                  </w:r>
                </w:p>
              </w:tc>
              <w:tc>
                <w:tcPr>
                  <w:tcW w:w="0" w:type="auto"/>
                  <w:shd w:val="clear" w:color="auto" w:fill="auto"/>
                  <w:noWrap w:val="0"/>
                  <w:vAlign w:val="center"/>
                </w:tcPr>
                <w:p w14:paraId="0AD08F09">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16.8</w:t>
                  </w:r>
                </w:p>
              </w:tc>
              <w:tc>
                <w:tcPr>
                  <w:tcW w:w="0" w:type="auto"/>
                  <w:shd w:val="clear" w:color="auto" w:fill="auto"/>
                  <w:noWrap w:val="0"/>
                  <w:vAlign w:val="center"/>
                </w:tcPr>
                <w:p w14:paraId="0D97BFC8">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18.3</w:t>
                  </w:r>
                </w:p>
              </w:tc>
              <w:tc>
                <w:tcPr>
                  <w:tcW w:w="0" w:type="auto"/>
                  <w:shd w:val="clear" w:color="auto" w:fill="auto"/>
                  <w:noWrap w:val="0"/>
                  <w:vAlign w:val="center"/>
                </w:tcPr>
                <w:p w14:paraId="71DC2ACF">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17.6</w:t>
                  </w:r>
                </w:p>
              </w:tc>
              <w:tc>
                <w:tcPr>
                  <w:tcW w:w="0" w:type="auto"/>
                  <w:shd w:val="clear" w:color="auto" w:fill="auto"/>
                  <w:noWrap w:val="0"/>
                  <w:vAlign w:val="center"/>
                </w:tcPr>
                <w:p w14:paraId="7BE5820E">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17.6</w:t>
                  </w:r>
                </w:p>
              </w:tc>
              <w:tc>
                <w:tcPr>
                  <w:tcW w:w="0" w:type="auto"/>
                  <w:tcBorders>
                    <w:right w:val="nil"/>
                  </w:tcBorders>
                  <w:shd w:val="clear" w:color="auto" w:fill="auto"/>
                  <w:noWrap w:val="0"/>
                  <w:vAlign w:val="center"/>
                </w:tcPr>
                <w:p w14:paraId="366112FD">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6.90×10</w:t>
                  </w:r>
                  <w:r>
                    <w:rPr>
                      <w:rFonts w:hint="eastAsia"/>
                      <w:b w:val="0"/>
                      <w:color w:val="000000"/>
                      <w:szCs w:val="22"/>
                      <w:vertAlign w:val="superscript"/>
                      <w:lang w:val="en-US" w:eastAsia="zh-CN"/>
                    </w:rPr>
                    <w:t>-2</w:t>
                  </w:r>
                </w:p>
              </w:tc>
            </w:tr>
            <w:tr w14:paraId="1DEC0D3B">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70" w:hRule="atLeast"/>
                <w:jc w:val="center"/>
              </w:trPr>
              <w:tc>
                <w:tcPr>
                  <w:tcW w:w="0" w:type="auto"/>
                  <w:vMerge w:val="continue"/>
                  <w:tcBorders>
                    <w:left w:val="nil"/>
                  </w:tcBorders>
                  <w:shd w:val="clear" w:color="auto" w:fill="auto"/>
                  <w:noWrap w:val="0"/>
                  <w:vAlign w:val="center"/>
                </w:tcPr>
                <w:p w14:paraId="4C6430D8">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vMerge w:val="restart"/>
                  <w:shd w:val="clear" w:color="auto" w:fill="auto"/>
                  <w:noWrap w:val="0"/>
                  <w:vAlign w:val="center"/>
                </w:tcPr>
                <w:p w14:paraId="2EDB1DFE">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G2喷漆、烘干、加烤工序废气排气筒</w:t>
                  </w:r>
                  <w:r>
                    <w:rPr>
                      <w:rFonts w:hint="eastAsia"/>
                      <w:b w:val="0"/>
                      <w:color w:val="000000"/>
                      <w:szCs w:val="22"/>
                      <w:lang w:eastAsia="zh-CN"/>
                    </w:rPr>
                    <w:t>（</w:t>
                  </w:r>
                  <w:r>
                    <w:rPr>
                      <w:rFonts w:hint="default"/>
                      <w:b w:val="0"/>
                      <w:color w:val="000000"/>
                      <w:szCs w:val="22"/>
                    </w:rPr>
                    <w:t>DA001</w:t>
                  </w:r>
                  <w:r>
                    <w:rPr>
                      <w:rFonts w:hint="eastAsia"/>
                      <w:b w:val="0"/>
                      <w:color w:val="000000"/>
                      <w:szCs w:val="22"/>
                      <w:lang w:eastAsia="zh-CN"/>
                    </w:rPr>
                    <w:t>）</w:t>
                  </w:r>
                  <w:r>
                    <w:rPr>
                      <w:rFonts w:hint="default"/>
                      <w:b w:val="0"/>
                      <w:color w:val="000000"/>
                      <w:szCs w:val="22"/>
                    </w:rPr>
                    <w:t>出口</w:t>
                  </w:r>
                </w:p>
              </w:tc>
              <w:tc>
                <w:tcPr>
                  <w:tcW w:w="0" w:type="auto"/>
                  <w:shd w:val="clear" w:color="auto" w:fill="auto"/>
                  <w:noWrap w:val="0"/>
                  <w:vAlign w:val="center"/>
                </w:tcPr>
                <w:p w14:paraId="7ED9C5A1">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标干排气量（m</w:t>
                  </w:r>
                  <w:r>
                    <w:rPr>
                      <w:rFonts w:hint="eastAsia"/>
                      <w:b w:val="0"/>
                      <w:color w:val="000000"/>
                      <w:szCs w:val="22"/>
                      <w:vertAlign w:val="superscript"/>
                      <w:lang w:val="en-US" w:eastAsia="zh-CN"/>
                    </w:rPr>
                    <w:t>3</w:t>
                  </w:r>
                  <w:r>
                    <w:rPr>
                      <w:rFonts w:hint="default"/>
                      <w:b w:val="0"/>
                      <w:color w:val="000000"/>
                      <w:szCs w:val="22"/>
                    </w:rPr>
                    <w:t>/h）</w:t>
                  </w:r>
                </w:p>
              </w:tc>
              <w:tc>
                <w:tcPr>
                  <w:tcW w:w="0" w:type="auto"/>
                  <w:shd w:val="clear" w:color="auto" w:fill="auto"/>
                  <w:noWrap w:val="0"/>
                  <w:vAlign w:val="center"/>
                </w:tcPr>
                <w:p w14:paraId="7B01FE58">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4.26×10</w:t>
                  </w:r>
                  <w:r>
                    <w:rPr>
                      <w:rFonts w:hint="eastAsia"/>
                      <w:b w:val="0"/>
                      <w:color w:val="000000"/>
                      <w:szCs w:val="22"/>
                      <w:vertAlign w:val="superscript"/>
                      <w:lang w:val="en-US" w:eastAsia="zh-CN"/>
                    </w:rPr>
                    <w:t>3</w:t>
                  </w:r>
                </w:p>
              </w:tc>
              <w:tc>
                <w:tcPr>
                  <w:tcW w:w="0" w:type="auto"/>
                  <w:shd w:val="clear" w:color="auto" w:fill="auto"/>
                  <w:noWrap w:val="0"/>
                  <w:vAlign w:val="center"/>
                </w:tcPr>
                <w:p w14:paraId="610FB590">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4.38×10</w:t>
                  </w:r>
                  <w:r>
                    <w:rPr>
                      <w:rFonts w:hint="eastAsia"/>
                      <w:b w:val="0"/>
                      <w:color w:val="000000"/>
                      <w:szCs w:val="22"/>
                      <w:vertAlign w:val="superscript"/>
                      <w:lang w:val="en-US" w:eastAsia="zh-CN"/>
                    </w:rPr>
                    <w:t>3</w:t>
                  </w:r>
                </w:p>
              </w:tc>
              <w:tc>
                <w:tcPr>
                  <w:tcW w:w="0" w:type="auto"/>
                  <w:shd w:val="clear" w:color="auto" w:fill="auto"/>
                  <w:noWrap w:val="0"/>
                  <w:vAlign w:val="center"/>
                </w:tcPr>
                <w:p w14:paraId="1140A28A">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4.79×10</w:t>
                  </w:r>
                  <w:r>
                    <w:rPr>
                      <w:rFonts w:hint="eastAsia"/>
                      <w:b w:val="0"/>
                      <w:color w:val="000000"/>
                      <w:szCs w:val="22"/>
                      <w:vertAlign w:val="superscript"/>
                      <w:lang w:val="en-US" w:eastAsia="zh-CN"/>
                    </w:rPr>
                    <w:t>3</w:t>
                  </w:r>
                </w:p>
              </w:tc>
              <w:tc>
                <w:tcPr>
                  <w:tcW w:w="0" w:type="auto"/>
                  <w:shd w:val="clear" w:color="auto" w:fill="auto"/>
                  <w:noWrap w:val="0"/>
                  <w:vAlign w:val="center"/>
                </w:tcPr>
                <w:p w14:paraId="5597F27F">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4.48×10</w:t>
                  </w:r>
                  <w:r>
                    <w:rPr>
                      <w:rFonts w:hint="eastAsia"/>
                      <w:b w:val="0"/>
                      <w:color w:val="000000"/>
                      <w:szCs w:val="22"/>
                      <w:vertAlign w:val="superscript"/>
                      <w:lang w:val="en-US" w:eastAsia="zh-CN"/>
                    </w:rPr>
                    <w:t>3</w:t>
                  </w:r>
                </w:p>
              </w:tc>
              <w:tc>
                <w:tcPr>
                  <w:tcW w:w="0" w:type="auto"/>
                  <w:tcBorders>
                    <w:right w:val="nil"/>
                  </w:tcBorders>
                  <w:shd w:val="clear" w:color="auto" w:fill="auto"/>
                  <w:noWrap w:val="0"/>
                  <w:vAlign w:val="center"/>
                </w:tcPr>
                <w:p w14:paraId="349EF349">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w:t>
                  </w:r>
                </w:p>
              </w:tc>
            </w:tr>
            <w:tr w14:paraId="671693C2">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430" w:hRule="atLeast"/>
                <w:jc w:val="center"/>
              </w:trPr>
              <w:tc>
                <w:tcPr>
                  <w:tcW w:w="0" w:type="auto"/>
                  <w:vMerge w:val="continue"/>
                  <w:tcBorders>
                    <w:left w:val="nil"/>
                  </w:tcBorders>
                  <w:shd w:val="clear" w:color="auto" w:fill="auto"/>
                  <w:noWrap w:val="0"/>
                  <w:vAlign w:val="center"/>
                </w:tcPr>
                <w:p w14:paraId="56A1BD8F">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vMerge w:val="continue"/>
                  <w:shd w:val="clear" w:color="auto" w:fill="auto"/>
                  <w:noWrap w:val="0"/>
                  <w:vAlign w:val="center"/>
                </w:tcPr>
                <w:p w14:paraId="2E01917E">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shd w:val="clear" w:color="auto" w:fill="auto"/>
                  <w:noWrap w:val="0"/>
                  <w:vAlign w:val="center"/>
                </w:tcPr>
                <w:p w14:paraId="30AA31B5">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颗粒物（mg/m</w:t>
                  </w:r>
                  <w:r>
                    <w:rPr>
                      <w:rFonts w:hint="eastAsia"/>
                      <w:b w:val="0"/>
                      <w:color w:val="000000"/>
                      <w:szCs w:val="22"/>
                      <w:vertAlign w:val="superscript"/>
                      <w:lang w:val="en-US" w:eastAsia="zh-CN"/>
                    </w:rPr>
                    <w:t>3</w:t>
                  </w:r>
                  <w:r>
                    <w:rPr>
                      <w:rFonts w:hint="default"/>
                      <w:b w:val="0"/>
                      <w:color w:val="000000"/>
                      <w:szCs w:val="22"/>
                    </w:rPr>
                    <w:t>）</w:t>
                  </w:r>
                </w:p>
              </w:tc>
              <w:tc>
                <w:tcPr>
                  <w:tcW w:w="0" w:type="auto"/>
                  <w:shd w:val="clear" w:color="auto" w:fill="auto"/>
                  <w:noWrap w:val="0"/>
                  <w:vAlign w:val="center"/>
                </w:tcPr>
                <w:p w14:paraId="1CDF46FB">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11.6</w:t>
                  </w:r>
                </w:p>
              </w:tc>
              <w:tc>
                <w:tcPr>
                  <w:tcW w:w="0" w:type="auto"/>
                  <w:shd w:val="clear" w:color="auto" w:fill="auto"/>
                  <w:noWrap w:val="0"/>
                  <w:vAlign w:val="center"/>
                </w:tcPr>
                <w:p w14:paraId="4B78E77C">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13.7</w:t>
                  </w:r>
                </w:p>
              </w:tc>
              <w:tc>
                <w:tcPr>
                  <w:tcW w:w="0" w:type="auto"/>
                  <w:shd w:val="clear" w:color="auto" w:fill="auto"/>
                  <w:noWrap w:val="0"/>
                  <w:vAlign w:val="center"/>
                </w:tcPr>
                <w:p w14:paraId="4D01D73E">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14.8</w:t>
                  </w:r>
                </w:p>
              </w:tc>
              <w:tc>
                <w:tcPr>
                  <w:tcW w:w="0" w:type="auto"/>
                  <w:shd w:val="clear" w:color="auto" w:fill="auto"/>
                  <w:noWrap w:val="0"/>
                  <w:vAlign w:val="center"/>
                </w:tcPr>
                <w:p w14:paraId="0D9D3BBC">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13.4</w:t>
                  </w:r>
                </w:p>
              </w:tc>
              <w:tc>
                <w:tcPr>
                  <w:tcW w:w="0" w:type="auto"/>
                  <w:tcBorders>
                    <w:right w:val="nil"/>
                  </w:tcBorders>
                  <w:shd w:val="clear" w:color="auto" w:fill="auto"/>
                  <w:noWrap w:val="0"/>
                  <w:vAlign w:val="center"/>
                </w:tcPr>
                <w:p w14:paraId="2F2FCE7C">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6.00×10</w:t>
                  </w:r>
                  <w:r>
                    <w:rPr>
                      <w:rFonts w:hint="eastAsia"/>
                      <w:b w:val="0"/>
                      <w:color w:val="000000"/>
                      <w:szCs w:val="22"/>
                      <w:vertAlign w:val="superscript"/>
                      <w:lang w:val="en-US" w:eastAsia="zh-CN"/>
                    </w:rPr>
                    <w:t>-2</w:t>
                  </w:r>
                </w:p>
              </w:tc>
            </w:tr>
            <w:tr w14:paraId="0ED3C623">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440" w:hRule="atLeast"/>
                <w:jc w:val="center"/>
              </w:trPr>
              <w:tc>
                <w:tcPr>
                  <w:tcW w:w="0" w:type="auto"/>
                  <w:vMerge w:val="continue"/>
                  <w:tcBorders>
                    <w:left w:val="nil"/>
                  </w:tcBorders>
                  <w:shd w:val="clear" w:color="auto" w:fill="auto"/>
                  <w:noWrap w:val="0"/>
                  <w:vAlign w:val="center"/>
                </w:tcPr>
                <w:p w14:paraId="79E081DA">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vMerge w:val="continue"/>
                  <w:shd w:val="clear" w:color="auto" w:fill="auto"/>
                  <w:noWrap w:val="0"/>
                  <w:vAlign w:val="center"/>
                </w:tcPr>
                <w:p w14:paraId="4FB39ABC">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shd w:val="clear" w:color="auto" w:fill="auto"/>
                  <w:noWrap w:val="0"/>
                  <w:vAlign w:val="center"/>
                </w:tcPr>
                <w:p w14:paraId="582D273A">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非甲烷总烃（mg/m</w:t>
                  </w:r>
                  <w:r>
                    <w:rPr>
                      <w:rFonts w:hint="eastAsia"/>
                      <w:b w:val="0"/>
                      <w:color w:val="000000"/>
                      <w:szCs w:val="22"/>
                      <w:vertAlign w:val="superscript"/>
                      <w:lang w:val="en-US" w:eastAsia="zh-CN"/>
                    </w:rPr>
                    <w:t>3</w:t>
                  </w:r>
                  <w:r>
                    <w:rPr>
                      <w:rFonts w:hint="default"/>
                      <w:b w:val="0"/>
                      <w:color w:val="000000"/>
                      <w:szCs w:val="22"/>
                    </w:rPr>
                    <w:t>）</w:t>
                  </w:r>
                </w:p>
              </w:tc>
              <w:tc>
                <w:tcPr>
                  <w:tcW w:w="0" w:type="auto"/>
                  <w:shd w:val="clear" w:color="auto" w:fill="auto"/>
                  <w:noWrap w:val="0"/>
                  <w:vAlign w:val="center"/>
                </w:tcPr>
                <w:p w14:paraId="17739E98">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4.54</w:t>
                  </w:r>
                </w:p>
              </w:tc>
              <w:tc>
                <w:tcPr>
                  <w:tcW w:w="0" w:type="auto"/>
                  <w:shd w:val="clear" w:color="auto" w:fill="auto"/>
                  <w:noWrap w:val="0"/>
                  <w:vAlign w:val="center"/>
                </w:tcPr>
                <w:p w14:paraId="0CCAF119">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4.94</w:t>
                  </w:r>
                </w:p>
              </w:tc>
              <w:tc>
                <w:tcPr>
                  <w:tcW w:w="0" w:type="auto"/>
                  <w:shd w:val="clear" w:color="auto" w:fill="auto"/>
                  <w:noWrap w:val="0"/>
                  <w:vAlign w:val="center"/>
                </w:tcPr>
                <w:p w14:paraId="1640D103">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4.28</w:t>
                  </w:r>
                </w:p>
              </w:tc>
              <w:tc>
                <w:tcPr>
                  <w:tcW w:w="0" w:type="auto"/>
                  <w:shd w:val="clear" w:color="auto" w:fill="auto"/>
                  <w:noWrap w:val="0"/>
                  <w:vAlign w:val="center"/>
                </w:tcPr>
                <w:p w14:paraId="7FD2F6F7">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4.59</w:t>
                  </w:r>
                </w:p>
              </w:tc>
              <w:tc>
                <w:tcPr>
                  <w:tcW w:w="0" w:type="auto"/>
                  <w:tcBorders>
                    <w:right w:val="nil"/>
                  </w:tcBorders>
                  <w:shd w:val="clear" w:color="auto" w:fill="auto"/>
                  <w:noWrap w:val="0"/>
                  <w:vAlign w:val="center"/>
                </w:tcPr>
                <w:p w14:paraId="7BA74EA7">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2.06×10</w:t>
                  </w:r>
                  <w:r>
                    <w:rPr>
                      <w:rFonts w:hint="eastAsia"/>
                      <w:b w:val="0"/>
                      <w:color w:val="000000"/>
                      <w:szCs w:val="22"/>
                      <w:vertAlign w:val="superscript"/>
                      <w:lang w:val="en-US" w:eastAsia="zh-CN"/>
                    </w:rPr>
                    <w:t>-2</w:t>
                  </w:r>
                </w:p>
              </w:tc>
            </w:tr>
            <w:tr w14:paraId="195766BD">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420" w:hRule="atLeast"/>
                <w:jc w:val="center"/>
              </w:trPr>
              <w:tc>
                <w:tcPr>
                  <w:tcW w:w="0" w:type="auto"/>
                  <w:vMerge w:val="restart"/>
                  <w:tcBorders>
                    <w:left w:val="nil"/>
                  </w:tcBorders>
                  <w:shd w:val="clear" w:color="auto" w:fill="auto"/>
                  <w:noWrap w:val="0"/>
                  <w:vAlign w:val="center"/>
                </w:tcPr>
                <w:p w14:paraId="79F89310">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2023年10月22日</w:t>
                  </w:r>
                </w:p>
              </w:tc>
              <w:tc>
                <w:tcPr>
                  <w:tcW w:w="0" w:type="auto"/>
                  <w:vMerge w:val="restart"/>
                  <w:shd w:val="clear" w:color="auto" w:fill="auto"/>
                  <w:noWrap w:val="0"/>
                  <w:vAlign w:val="center"/>
                </w:tcPr>
                <w:p w14:paraId="543A7224">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G1喷漆、烘干、加烤工序废气排气筒</w:t>
                  </w:r>
                  <w:r>
                    <w:rPr>
                      <w:rFonts w:hint="eastAsia"/>
                      <w:b w:val="0"/>
                      <w:color w:val="000000"/>
                      <w:szCs w:val="22"/>
                      <w:lang w:eastAsia="zh-CN"/>
                    </w:rPr>
                    <w:t>（</w:t>
                  </w:r>
                  <w:r>
                    <w:rPr>
                      <w:rFonts w:hint="default"/>
                      <w:b w:val="0"/>
                      <w:color w:val="000000"/>
                      <w:szCs w:val="22"/>
                    </w:rPr>
                    <w:t>DA001</w:t>
                  </w:r>
                  <w:r>
                    <w:rPr>
                      <w:rFonts w:hint="eastAsia"/>
                      <w:b w:val="0"/>
                      <w:color w:val="000000"/>
                      <w:szCs w:val="22"/>
                      <w:lang w:eastAsia="zh-CN"/>
                    </w:rPr>
                    <w:t>）</w:t>
                  </w:r>
                  <w:r>
                    <w:rPr>
                      <w:rFonts w:hint="default"/>
                      <w:b w:val="0"/>
                      <w:color w:val="000000"/>
                      <w:szCs w:val="22"/>
                    </w:rPr>
                    <w:t>进口</w:t>
                  </w:r>
                </w:p>
              </w:tc>
              <w:tc>
                <w:tcPr>
                  <w:tcW w:w="0" w:type="auto"/>
                  <w:shd w:val="clear" w:color="auto" w:fill="auto"/>
                  <w:noWrap w:val="0"/>
                  <w:vAlign w:val="center"/>
                </w:tcPr>
                <w:p w14:paraId="100284FA">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标干排气量（m</w:t>
                  </w:r>
                  <w:r>
                    <w:rPr>
                      <w:rFonts w:hint="eastAsia"/>
                      <w:b w:val="0"/>
                      <w:color w:val="000000"/>
                      <w:szCs w:val="22"/>
                      <w:vertAlign w:val="superscript"/>
                      <w:lang w:val="en-US" w:eastAsia="zh-CN"/>
                    </w:rPr>
                    <w:t>3</w:t>
                  </w:r>
                  <w:r>
                    <w:rPr>
                      <w:rFonts w:hint="default"/>
                      <w:b w:val="0"/>
                      <w:color w:val="000000"/>
                      <w:szCs w:val="22"/>
                    </w:rPr>
                    <w:t>/h）</w:t>
                  </w:r>
                </w:p>
              </w:tc>
              <w:tc>
                <w:tcPr>
                  <w:tcW w:w="0" w:type="auto"/>
                  <w:shd w:val="clear" w:color="auto" w:fill="auto"/>
                  <w:noWrap w:val="0"/>
                  <w:vAlign w:val="center"/>
                </w:tcPr>
                <w:p w14:paraId="5ED45154">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3.99×10</w:t>
                  </w:r>
                  <w:r>
                    <w:rPr>
                      <w:rFonts w:hint="eastAsia"/>
                      <w:b w:val="0"/>
                      <w:color w:val="000000"/>
                      <w:szCs w:val="22"/>
                      <w:vertAlign w:val="superscript"/>
                      <w:lang w:val="en-US" w:eastAsia="zh-CN"/>
                    </w:rPr>
                    <w:t>3</w:t>
                  </w:r>
                </w:p>
              </w:tc>
              <w:tc>
                <w:tcPr>
                  <w:tcW w:w="0" w:type="auto"/>
                  <w:shd w:val="clear" w:color="auto" w:fill="auto"/>
                  <w:noWrap w:val="0"/>
                  <w:vAlign w:val="center"/>
                </w:tcPr>
                <w:p w14:paraId="2434C8E3">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4.15×10</w:t>
                  </w:r>
                  <w:r>
                    <w:rPr>
                      <w:rFonts w:hint="eastAsia"/>
                      <w:b w:val="0"/>
                      <w:color w:val="000000"/>
                      <w:szCs w:val="22"/>
                      <w:vertAlign w:val="superscript"/>
                      <w:lang w:val="en-US" w:eastAsia="zh-CN"/>
                    </w:rPr>
                    <w:t>3</w:t>
                  </w:r>
                </w:p>
              </w:tc>
              <w:tc>
                <w:tcPr>
                  <w:tcW w:w="0" w:type="auto"/>
                  <w:shd w:val="clear" w:color="auto" w:fill="auto"/>
                  <w:noWrap w:val="0"/>
                  <w:vAlign w:val="center"/>
                </w:tcPr>
                <w:p w14:paraId="6381D2A6">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3.95×10</w:t>
                  </w:r>
                  <w:r>
                    <w:rPr>
                      <w:rFonts w:hint="eastAsia"/>
                      <w:b w:val="0"/>
                      <w:color w:val="000000"/>
                      <w:szCs w:val="22"/>
                      <w:vertAlign w:val="superscript"/>
                      <w:lang w:val="en-US" w:eastAsia="zh-CN"/>
                    </w:rPr>
                    <w:t>3</w:t>
                  </w:r>
                </w:p>
              </w:tc>
              <w:tc>
                <w:tcPr>
                  <w:tcW w:w="0" w:type="auto"/>
                  <w:shd w:val="clear" w:color="auto" w:fill="auto"/>
                  <w:noWrap w:val="0"/>
                  <w:vAlign w:val="center"/>
                </w:tcPr>
                <w:p w14:paraId="083EB111">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4.03×10</w:t>
                  </w:r>
                  <w:r>
                    <w:rPr>
                      <w:rFonts w:hint="eastAsia"/>
                      <w:b w:val="0"/>
                      <w:color w:val="000000"/>
                      <w:szCs w:val="22"/>
                      <w:vertAlign w:val="superscript"/>
                      <w:lang w:val="en-US" w:eastAsia="zh-CN"/>
                    </w:rPr>
                    <w:t>3</w:t>
                  </w:r>
                </w:p>
              </w:tc>
              <w:tc>
                <w:tcPr>
                  <w:tcW w:w="0" w:type="auto"/>
                  <w:tcBorders>
                    <w:right w:val="nil"/>
                  </w:tcBorders>
                  <w:shd w:val="clear" w:color="auto" w:fill="auto"/>
                  <w:noWrap w:val="0"/>
                  <w:vAlign w:val="center"/>
                </w:tcPr>
                <w:p w14:paraId="513A9232">
                  <w:pPr>
                    <w:pStyle w:val="38"/>
                    <w:keepNext w:val="0"/>
                    <w:keepLines w:val="0"/>
                    <w:widowControl/>
                    <w:suppressLineNumbers w:val="0"/>
                    <w:bidi w:val="0"/>
                    <w:spacing w:before="0" w:beforeAutospacing="0" w:after="0" w:afterAutospacing="0"/>
                    <w:ind w:left="0" w:right="0"/>
                    <w:rPr>
                      <w:rFonts w:hint="default"/>
                      <w:b w:val="0"/>
                      <w:color w:val="000000"/>
                      <w:szCs w:val="22"/>
                    </w:rPr>
                  </w:pPr>
                </w:p>
                <w:p w14:paraId="581CC0ED">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w:t>
                  </w:r>
                </w:p>
              </w:tc>
            </w:tr>
            <w:tr w14:paraId="15663619">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0" w:hRule="atLeast"/>
                <w:jc w:val="center"/>
              </w:trPr>
              <w:tc>
                <w:tcPr>
                  <w:tcW w:w="0" w:type="auto"/>
                  <w:vMerge w:val="continue"/>
                  <w:tcBorders>
                    <w:left w:val="nil"/>
                  </w:tcBorders>
                  <w:shd w:val="clear" w:color="auto" w:fill="auto"/>
                  <w:noWrap w:val="0"/>
                  <w:vAlign w:val="center"/>
                </w:tcPr>
                <w:p w14:paraId="5C6931E6">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vMerge w:val="continue"/>
                  <w:shd w:val="clear" w:color="auto" w:fill="auto"/>
                  <w:noWrap w:val="0"/>
                  <w:vAlign w:val="center"/>
                </w:tcPr>
                <w:p w14:paraId="16A120D2">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shd w:val="clear" w:color="auto" w:fill="auto"/>
                  <w:noWrap w:val="0"/>
                  <w:vAlign w:val="center"/>
                </w:tcPr>
                <w:p w14:paraId="7A7CB075">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颗粒物（mg/m</w:t>
                  </w:r>
                  <w:r>
                    <w:rPr>
                      <w:rFonts w:hint="eastAsia"/>
                      <w:b w:val="0"/>
                      <w:color w:val="000000"/>
                      <w:szCs w:val="22"/>
                      <w:vertAlign w:val="superscript"/>
                      <w:lang w:val="en-US" w:eastAsia="zh-CN"/>
                    </w:rPr>
                    <w:t>3</w:t>
                  </w:r>
                  <w:r>
                    <w:rPr>
                      <w:rFonts w:hint="default"/>
                      <w:b w:val="0"/>
                      <w:color w:val="000000"/>
                      <w:szCs w:val="22"/>
                    </w:rPr>
                    <w:t>）</w:t>
                  </w:r>
                </w:p>
              </w:tc>
              <w:tc>
                <w:tcPr>
                  <w:tcW w:w="0" w:type="auto"/>
                  <w:shd w:val="clear" w:color="auto" w:fill="auto"/>
                  <w:noWrap w:val="0"/>
                  <w:vAlign w:val="center"/>
                </w:tcPr>
                <w:p w14:paraId="186F489E">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58.9</w:t>
                  </w:r>
                </w:p>
              </w:tc>
              <w:tc>
                <w:tcPr>
                  <w:tcW w:w="0" w:type="auto"/>
                  <w:shd w:val="clear" w:color="auto" w:fill="auto"/>
                  <w:noWrap w:val="0"/>
                  <w:vAlign w:val="center"/>
                </w:tcPr>
                <w:p w14:paraId="37B969B5">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52.3</w:t>
                  </w:r>
                </w:p>
              </w:tc>
              <w:tc>
                <w:tcPr>
                  <w:tcW w:w="0" w:type="auto"/>
                  <w:shd w:val="clear" w:color="auto" w:fill="auto"/>
                  <w:noWrap w:val="0"/>
                  <w:vAlign w:val="center"/>
                </w:tcPr>
                <w:p w14:paraId="3ACFE97E">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64.2</w:t>
                  </w:r>
                </w:p>
              </w:tc>
              <w:tc>
                <w:tcPr>
                  <w:tcW w:w="0" w:type="auto"/>
                  <w:shd w:val="clear" w:color="auto" w:fill="auto"/>
                  <w:noWrap w:val="0"/>
                  <w:vAlign w:val="center"/>
                </w:tcPr>
                <w:p w14:paraId="262230F3">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58.5</w:t>
                  </w:r>
                </w:p>
              </w:tc>
              <w:tc>
                <w:tcPr>
                  <w:tcW w:w="0" w:type="auto"/>
                  <w:tcBorders>
                    <w:right w:val="nil"/>
                  </w:tcBorders>
                  <w:shd w:val="clear" w:color="auto" w:fill="auto"/>
                  <w:noWrap w:val="0"/>
                  <w:vAlign w:val="center"/>
                </w:tcPr>
                <w:p w14:paraId="74E3DB22">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0.236</w:t>
                  </w:r>
                </w:p>
              </w:tc>
            </w:tr>
            <w:tr w14:paraId="487CBB12">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665" w:hRule="atLeast"/>
                <w:jc w:val="center"/>
              </w:trPr>
              <w:tc>
                <w:tcPr>
                  <w:tcW w:w="0" w:type="auto"/>
                  <w:vMerge w:val="continue"/>
                  <w:tcBorders>
                    <w:left w:val="nil"/>
                  </w:tcBorders>
                  <w:shd w:val="clear" w:color="auto" w:fill="auto"/>
                  <w:noWrap w:val="0"/>
                  <w:vAlign w:val="center"/>
                </w:tcPr>
                <w:p w14:paraId="44B608BE">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vMerge w:val="continue"/>
                  <w:shd w:val="clear" w:color="auto" w:fill="auto"/>
                  <w:noWrap w:val="0"/>
                  <w:vAlign w:val="center"/>
                </w:tcPr>
                <w:p w14:paraId="5D99B311">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0" w:type="auto"/>
                  <w:shd w:val="clear" w:color="auto" w:fill="auto"/>
                  <w:noWrap w:val="0"/>
                  <w:vAlign w:val="center"/>
                </w:tcPr>
                <w:p w14:paraId="64392D0D">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非甲烷总烃（mg/m</w:t>
                  </w:r>
                  <w:r>
                    <w:rPr>
                      <w:rFonts w:hint="eastAsia"/>
                      <w:b w:val="0"/>
                      <w:color w:val="000000"/>
                      <w:szCs w:val="22"/>
                      <w:vertAlign w:val="superscript"/>
                      <w:lang w:val="en-US" w:eastAsia="zh-CN"/>
                    </w:rPr>
                    <w:t>3</w:t>
                  </w:r>
                  <w:r>
                    <w:rPr>
                      <w:rFonts w:hint="default"/>
                      <w:b w:val="0"/>
                      <w:color w:val="000000"/>
                      <w:szCs w:val="22"/>
                    </w:rPr>
                    <w:t>）</w:t>
                  </w:r>
                </w:p>
              </w:tc>
              <w:tc>
                <w:tcPr>
                  <w:tcW w:w="0" w:type="auto"/>
                  <w:shd w:val="clear" w:color="auto" w:fill="auto"/>
                  <w:noWrap w:val="0"/>
                  <w:vAlign w:val="center"/>
                </w:tcPr>
                <w:p w14:paraId="3357B5D2">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21.2</w:t>
                  </w:r>
                </w:p>
              </w:tc>
              <w:tc>
                <w:tcPr>
                  <w:tcW w:w="0" w:type="auto"/>
                  <w:shd w:val="clear" w:color="auto" w:fill="auto"/>
                  <w:noWrap w:val="0"/>
                  <w:vAlign w:val="center"/>
                </w:tcPr>
                <w:p w14:paraId="2C290745">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19.9</w:t>
                  </w:r>
                </w:p>
              </w:tc>
              <w:tc>
                <w:tcPr>
                  <w:tcW w:w="0" w:type="auto"/>
                  <w:shd w:val="clear" w:color="auto" w:fill="auto"/>
                  <w:noWrap w:val="0"/>
                  <w:vAlign w:val="center"/>
                </w:tcPr>
                <w:p w14:paraId="73C4A6C9">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20.5</w:t>
                  </w:r>
                </w:p>
              </w:tc>
              <w:tc>
                <w:tcPr>
                  <w:tcW w:w="0" w:type="auto"/>
                  <w:shd w:val="clear" w:color="auto" w:fill="auto"/>
                  <w:noWrap w:val="0"/>
                  <w:vAlign w:val="center"/>
                </w:tcPr>
                <w:p w14:paraId="09133FD0">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20.5</w:t>
                  </w:r>
                </w:p>
              </w:tc>
              <w:tc>
                <w:tcPr>
                  <w:tcW w:w="0" w:type="auto"/>
                  <w:tcBorders>
                    <w:right w:val="nil"/>
                  </w:tcBorders>
                  <w:shd w:val="clear" w:color="auto" w:fill="auto"/>
                  <w:noWrap w:val="0"/>
                  <w:vAlign w:val="center"/>
                </w:tcPr>
                <w:p w14:paraId="358E167F">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8.26×10</w:t>
                  </w:r>
                  <w:r>
                    <w:rPr>
                      <w:rFonts w:hint="eastAsia"/>
                      <w:b w:val="0"/>
                      <w:color w:val="000000"/>
                      <w:szCs w:val="22"/>
                      <w:vertAlign w:val="superscript"/>
                      <w:lang w:val="en-US" w:eastAsia="zh-CN"/>
                    </w:rPr>
                    <w:t>-2</w:t>
                  </w:r>
                </w:p>
              </w:tc>
            </w:tr>
            <w:tr w14:paraId="373A054D">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435" w:hRule="atLeast"/>
                <w:jc w:val="center"/>
              </w:trPr>
              <w:tc>
                <w:tcPr>
                  <w:tcW w:w="0" w:type="auto"/>
                  <w:vMerge w:val="continue"/>
                  <w:tcBorders>
                    <w:left w:val="nil"/>
                  </w:tcBorders>
                  <w:shd w:val="clear" w:color="auto" w:fill="auto"/>
                  <w:noWrap w:val="0"/>
                  <w:vAlign w:val="center"/>
                </w:tcPr>
                <w:p w14:paraId="17C8F37E">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vMerge w:val="restart"/>
                  <w:shd w:val="clear" w:color="auto" w:fill="auto"/>
                  <w:noWrap w:val="0"/>
                  <w:vAlign w:val="center"/>
                </w:tcPr>
                <w:p w14:paraId="624A71C1">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G2喷漆、烘干、加烤工序废气排气筒</w:t>
                  </w:r>
                  <w:r>
                    <w:rPr>
                      <w:rFonts w:hint="eastAsia"/>
                      <w:b w:val="0"/>
                      <w:color w:val="000000"/>
                      <w:szCs w:val="22"/>
                      <w:lang w:eastAsia="zh-CN"/>
                    </w:rPr>
                    <w:t>（</w:t>
                  </w:r>
                  <w:r>
                    <w:rPr>
                      <w:rFonts w:hint="default"/>
                      <w:b w:val="0"/>
                      <w:color w:val="000000"/>
                      <w:szCs w:val="22"/>
                    </w:rPr>
                    <w:t>DA001</w:t>
                  </w:r>
                  <w:r>
                    <w:rPr>
                      <w:rFonts w:hint="eastAsia"/>
                      <w:b w:val="0"/>
                      <w:color w:val="000000"/>
                      <w:szCs w:val="22"/>
                      <w:lang w:eastAsia="zh-CN"/>
                    </w:rPr>
                    <w:t>）</w:t>
                  </w:r>
                  <w:r>
                    <w:rPr>
                      <w:rFonts w:hint="default"/>
                      <w:b w:val="0"/>
                      <w:color w:val="000000"/>
                      <w:szCs w:val="22"/>
                    </w:rPr>
                    <w:t>出口</w:t>
                  </w:r>
                </w:p>
              </w:tc>
              <w:tc>
                <w:tcPr>
                  <w:tcW w:w="0" w:type="auto"/>
                  <w:shd w:val="clear" w:color="auto" w:fill="auto"/>
                  <w:noWrap w:val="0"/>
                  <w:vAlign w:val="center"/>
                </w:tcPr>
                <w:p w14:paraId="1C804B3D">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标干排气量（m</w:t>
                  </w:r>
                  <w:r>
                    <w:rPr>
                      <w:rFonts w:hint="eastAsia"/>
                      <w:b w:val="0"/>
                      <w:color w:val="000000"/>
                      <w:szCs w:val="22"/>
                      <w:vertAlign w:val="superscript"/>
                      <w:lang w:val="en-US" w:eastAsia="zh-CN"/>
                    </w:rPr>
                    <w:t>3</w:t>
                  </w:r>
                  <w:r>
                    <w:rPr>
                      <w:rFonts w:hint="default"/>
                      <w:b w:val="0"/>
                      <w:color w:val="000000"/>
                      <w:szCs w:val="22"/>
                    </w:rPr>
                    <w:t>/h）</w:t>
                  </w:r>
                </w:p>
              </w:tc>
              <w:tc>
                <w:tcPr>
                  <w:tcW w:w="0" w:type="auto"/>
                  <w:shd w:val="clear" w:color="auto" w:fill="auto"/>
                  <w:noWrap w:val="0"/>
                  <w:vAlign w:val="center"/>
                </w:tcPr>
                <w:p w14:paraId="48383AF0">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4.34×10</w:t>
                  </w:r>
                  <w:r>
                    <w:rPr>
                      <w:rFonts w:hint="eastAsia"/>
                      <w:b w:val="0"/>
                      <w:color w:val="000000"/>
                      <w:szCs w:val="22"/>
                      <w:vertAlign w:val="superscript"/>
                      <w:lang w:val="en-US" w:eastAsia="zh-CN"/>
                    </w:rPr>
                    <w:t>3</w:t>
                  </w:r>
                </w:p>
              </w:tc>
              <w:tc>
                <w:tcPr>
                  <w:tcW w:w="0" w:type="auto"/>
                  <w:shd w:val="clear" w:color="auto" w:fill="auto"/>
                  <w:noWrap w:val="0"/>
                  <w:vAlign w:val="center"/>
                </w:tcPr>
                <w:p w14:paraId="214E8D7A">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4.56×10</w:t>
                  </w:r>
                  <w:r>
                    <w:rPr>
                      <w:rFonts w:hint="eastAsia"/>
                      <w:b w:val="0"/>
                      <w:color w:val="000000"/>
                      <w:szCs w:val="22"/>
                      <w:vertAlign w:val="superscript"/>
                      <w:lang w:val="en-US" w:eastAsia="zh-CN"/>
                    </w:rPr>
                    <w:t>3</w:t>
                  </w:r>
                </w:p>
              </w:tc>
              <w:tc>
                <w:tcPr>
                  <w:tcW w:w="0" w:type="auto"/>
                  <w:shd w:val="clear" w:color="auto" w:fill="auto"/>
                  <w:noWrap w:val="0"/>
                  <w:vAlign w:val="center"/>
                </w:tcPr>
                <w:p w14:paraId="3F110D6B">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4.49×10</w:t>
                  </w:r>
                  <w:r>
                    <w:rPr>
                      <w:rFonts w:hint="eastAsia"/>
                      <w:b w:val="0"/>
                      <w:color w:val="000000"/>
                      <w:szCs w:val="22"/>
                      <w:vertAlign w:val="superscript"/>
                      <w:lang w:val="en-US" w:eastAsia="zh-CN"/>
                    </w:rPr>
                    <w:t>3</w:t>
                  </w:r>
                </w:p>
              </w:tc>
              <w:tc>
                <w:tcPr>
                  <w:tcW w:w="0" w:type="auto"/>
                  <w:shd w:val="clear" w:color="auto" w:fill="auto"/>
                  <w:noWrap w:val="0"/>
                  <w:vAlign w:val="center"/>
                </w:tcPr>
                <w:p w14:paraId="6ECE4CA1">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4.46×10</w:t>
                  </w:r>
                  <w:r>
                    <w:rPr>
                      <w:rFonts w:hint="eastAsia"/>
                      <w:b w:val="0"/>
                      <w:color w:val="000000"/>
                      <w:szCs w:val="22"/>
                      <w:vertAlign w:val="superscript"/>
                      <w:lang w:val="en-US" w:eastAsia="zh-CN"/>
                    </w:rPr>
                    <w:t>3</w:t>
                  </w:r>
                </w:p>
              </w:tc>
              <w:tc>
                <w:tcPr>
                  <w:tcW w:w="0" w:type="auto"/>
                  <w:tcBorders>
                    <w:right w:val="nil"/>
                  </w:tcBorders>
                  <w:shd w:val="clear" w:color="auto" w:fill="auto"/>
                  <w:noWrap w:val="0"/>
                  <w:vAlign w:val="center"/>
                </w:tcPr>
                <w:p w14:paraId="1EB597BF">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w:t>
                  </w:r>
                </w:p>
              </w:tc>
            </w:tr>
            <w:tr w14:paraId="07F5FBDF">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830" w:hRule="atLeast"/>
                <w:jc w:val="center"/>
              </w:trPr>
              <w:tc>
                <w:tcPr>
                  <w:tcW w:w="0" w:type="auto"/>
                  <w:vMerge w:val="continue"/>
                  <w:tcBorders>
                    <w:left w:val="nil"/>
                  </w:tcBorders>
                  <w:shd w:val="clear" w:color="auto" w:fill="auto"/>
                  <w:noWrap w:val="0"/>
                  <w:vAlign w:val="center"/>
                </w:tcPr>
                <w:p w14:paraId="45BF407E">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vMerge w:val="continue"/>
                  <w:shd w:val="clear" w:color="auto" w:fill="auto"/>
                  <w:noWrap w:val="0"/>
                  <w:vAlign w:val="center"/>
                </w:tcPr>
                <w:p w14:paraId="02AA246F">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shd w:val="clear" w:color="auto" w:fill="auto"/>
                  <w:noWrap w:val="0"/>
                  <w:vAlign w:val="center"/>
                </w:tcPr>
                <w:p w14:paraId="3A809C9E">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颗粒物（mg/m</w:t>
                  </w:r>
                  <w:r>
                    <w:rPr>
                      <w:rFonts w:hint="eastAsia"/>
                      <w:b w:val="0"/>
                      <w:color w:val="000000"/>
                      <w:szCs w:val="22"/>
                      <w:vertAlign w:val="superscript"/>
                      <w:lang w:val="en-US" w:eastAsia="zh-CN"/>
                    </w:rPr>
                    <w:t>3</w:t>
                  </w:r>
                  <w:r>
                    <w:rPr>
                      <w:rFonts w:hint="default"/>
                      <w:b w:val="0"/>
                      <w:color w:val="000000"/>
                      <w:szCs w:val="22"/>
                    </w:rPr>
                    <w:t>）</w:t>
                  </w:r>
                </w:p>
              </w:tc>
              <w:tc>
                <w:tcPr>
                  <w:tcW w:w="0" w:type="auto"/>
                  <w:shd w:val="clear" w:color="auto" w:fill="auto"/>
                  <w:noWrap w:val="0"/>
                  <w:vAlign w:val="center"/>
                </w:tcPr>
                <w:p w14:paraId="26050F67">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15.3</w:t>
                  </w:r>
                </w:p>
              </w:tc>
              <w:tc>
                <w:tcPr>
                  <w:tcW w:w="0" w:type="auto"/>
                  <w:shd w:val="clear" w:color="auto" w:fill="auto"/>
                  <w:noWrap w:val="0"/>
                  <w:vAlign w:val="center"/>
                </w:tcPr>
                <w:p w14:paraId="171E377B">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10.4</w:t>
                  </w:r>
                </w:p>
              </w:tc>
              <w:tc>
                <w:tcPr>
                  <w:tcW w:w="0" w:type="auto"/>
                  <w:shd w:val="clear" w:color="auto" w:fill="auto"/>
                  <w:noWrap w:val="0"/>
                  <w:vAlign w:val="center"/>
                </w:tcPr>
                <w:p w14:paraId="03850002">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12.6</w:t>
                  </w:r>
                </w:p>
              </w:tc>
              <w:tc>
                <w:tcPr>
                  <w:tcW w:w="0" w:type="auto"/>
                  <w:shd w:val="clear" w:color="auto" w:fill="auto"/>
                  <w:noWrap w:val="0"/>
                  <w:vAlign w:val="center"/>
                </w:tcPr>
                <w:p w14:paraId="678319BC">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12.8</w:t>
                  </w:r>
                </w:p>
              </w:tc>
              <w:tc>
                <w:tcPr>
                  <w:tcW w:w="0" w:type="auto"/>
                  <w:tcBorders>
                    <w:right w:val="nil"/>
                  </w:tcBorders>
                  <w:shd w:val="clear" w:color="auto" w:fill="auto"/>
                  <w:noWrap w:val="0"/>
                  <w:vAlign w:val="center"/>
                </w:tcPr>
                <w:p w14:paraId="1D958B5F">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5.71×10</w:t>
                  </w:r>
                  <w:r>
                    <w:rPr>
                      <w:rFonts w:hint="eastAsia"/>
                      <w:b w:val="0"/>
                      <w:color w:val="000000"/>
                      <w:szCs w:val="22"/>
                      <w:vertAlign w:val="superscript"/>
                      <w:lang w:val="en-US" w:eastAsia="zh-CN"/>
                    </w:rPr>
                    <w:t>-2</w:t>
                  </w:r>
                </w:p>
              </w:tc>
            </w:tr>
            <w:tr w14:paraId="30F9A823">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440" w:hRule="atLeast"/>
                <w:jc w:val="center"/>
              </w:trPr>
              <w:tc>
                <w:tcPr>
                  <w:tcW w:w="0" w:type="auto"/>
                  <w:vMerge w:val="continue"/>
                  <w:tcBorders>
                    <w:left w:val="nil"/>
                  </w:tcBorders>
                  <w:shd w:val="clear" w:color="auto" w:fill="auto"/>
                  <w:noWrap w:val="0"/>
                  <w:vAlign w:val="center"/>
                </w:tcPr>
                <w:p w14:paraId="666A1772">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vMerge w:val="continue"/>
                  <w:shd w:val="clear" w:color="auto" w:fill="auto"/>
                  <w:noWrap w:val="0"/>
                  <w:vAlign w:val="center"/>
                </w:tcPr>
                <w:p w14:paraId="75986309">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0" w:type="auto"/>
                  <w:shd w:val="clear" w:color="auto" w:fill="auto"/>
                  <w:noWrap w:val="0"/>
                  <w:vAlign w:val="center"/>
                </w:tcPr>
                <w:p w14:paraId="366DB490">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非甲烷总烃（mg/m</w:t>
                  </w:r>
                  <w:r>
                    <w:rPr>
                      <w:rFonts w:hint="eastAsia"/>
                      <w:b w:val="0"/>
                      <w:color w:val="000000"/>
                      <w:szCs w:val="22"/>
                      <w:vertAlign w:val="superscript"/>
                      <w:lang w:val="en-US" w:eastAsia="zh-CN"/>
                    </w:rPr>
                    <w:t>3</w:t>
                  </w:r>
                  <w:r>
                    <w:rPr>
                      <w:rFonts w:hint="default"/>
                      <w:b w:val="0"/>
                      <w:color w:val="000000"/>
                      <w:szCs w:val="22"/>
                    </w:rPr>
                    <w:t>）</w:t>
                  </w:r>
                </w:p>
              </w:tc>
              <w:tc>
                <w:tcPr>
                  <w:tcW w:w="0" w:type="auto"/>
                  <w:shd w:val="clear" w:color="auto" w:fill="auto"/>
                  <w:noWrap w:val="0"/>
                  <w:vAlign w:val="center"/>
                </w:tcPr>
                <w:p w14:paraId="6C1B9362">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rPr>
                    <w:t>5.66</w:t>
                  </w:r>
                </w:p>
              </w:tc>
              <w:tc>
                <w:tcPr>
                  <w:tcW w:w="0" w:type="auto"/>
                  <w:shd w:val="clear" w:color="auto" w:fill="auto"/>
                  <w:noWrap w:val="0"/>
                  <w:vAlign w:val="center"/>
                </w:tcPr>
                <w:p w14:paraId="24924163">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5.85</w:t>
                  </w:r>
                </w:p>
              </w:tc>
              <w:tc>
                <w:tcPr>
                  <w:tcW w:w="0" w:type="auto"/>
                  <w:shd w:val="clear" w:color="auto" w:fill="auto"/>
                  <w:noWrap w:val="0"/>
                  <w:vAlign w:val="center"/>
                </w:tcPr>
                <w:p w14:paraId="12F56CEF">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5.54</w:t>
                  </w:r>
                </w:p>
              </w:tc>
              <w:tc>
                <w:tcPr>
                  <w:tcW w:w="0" w:type="auto"/>
                  <w:shd w:val="clear" w:color="auto" w:fill="auto"/>
                  <w:noWrap w:val="0"/>
                  <w:vAlign w:val="center"/>
                </w:tcPr>
                <w:p w14:paraId="0E3139D2">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5.68</w:t>
                  </w:r>
                </w:p>
              </w:tc>
              <w:tc>
                <w:tcPr>
                  <w:tcW w:w="0" w:type="auto"/>
                  <w:tcBorders>
                    <w:right w:val="nil"/>
                  </w:tcBorders>
                  <w:shd w:val="clear" w:color="auto" w:fill="auto"/>
                  <w:noWrap w:val="0"/>
                  <w:vAlign w:val="center"/>
                </w:tcPr>
                <w:p w14:paraId="2847F7B5">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default"/>
                      <w:b w:val="0"/>
                      <w:color w:val="000000"/>
                      <w:szCs w:val="22"/>
                    </w:rPr>
                    <w:t>2.53×10</w:t>
                  </w:r>
                  <w:r>
                    <w:rPr>
                      <w:rFonts w:hint="eastAsia"/>
                      <w:b w:val="0"/>
                      <w:color w:val="000000"/>
                      <w:szCs w:val="22"/>
                      <w:vertAlign w:val="superscript"/>
                      <w:lang w:val="en-US" w:eastAsia="zh-CN"/>
                    </w:rPr>
                    <w:t>-2</w:t>
                  </w:r>
                </w:p>
              </w:tc>
            </w:tr>
            <w:tr w14:paraId="70F75B96">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440" w:hRule="atLeast"/>
                <w:jc w:val="center"/>
              </w:trPr>
              <w:tc>
                <w:tcPr>
                  <w:tcW w:w="0" w:type="auto"/>
                  <w:gridSpan w:val="8"/>
                  <w:tcBorders>
                    <w:left w:val="nil"/>
                    <w:bottom w:val="single" w:color="000000" w:sz="12" w:space="0"/>
                    <w:right w:val="nil"/>
                  </w:tcBorders>
                  <w:shd w:val="clear" w:color="auto" w:fill="auto"/>
                  <w:noWrap w:val="0"/>
                  <w:vAlign w:val="center"/>
                </w:tcPr>
                <w:p w14:paraId="589B674E">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eastAsia"/>
                      <w:b w:val="0"/>
                      <w:color w:val="000000"/>
                      <w:szCs w:val="22"/>
                      <w:lang w:val="en-US" w:eastAsia="zh-CN"/>
                    </w:rPr>
                    <w:t>注：2023年10月21日监测工况为83.37%，2023年10月22日监测工况为83.12%。</w:t>
                  </w:r>
                </w:p>
              </w:tc>
            </w:tr>
          </w:tbl>
          <w:p w14:paraId="798B4410">
            <w:pPr>
              <w:pStyle w:val="39"/>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表2.3-4厂界无组织废气检测结果</w:t>
            </w:r>
          </w:p>
          <w:tbl>
            <w:tblPr>
              <w:tblStyle w:val="47"/>
              <w:tblW w:w="4995" w:type="pct"/>
              <w:tblInd w:w="12" w:type="dxa"/>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1359"/>
              <w:gridCol w:w="1724"/>
              <w:gridCol w:w="1501"/>
              <w:gridCol w:w="664"/>
              <w:gridCol w:w="664"/>
              <w:gridCol w:w="664"/>
              <w:gridCol w:w="713"/>
              <w:gridCol w:w="1097"/>
            </w:tblGrid>
            <w:tr w14:paraId="3AEF503B">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249" w:hRule="atLeast"/>
              </w:trPr>
              <w:tc>
                <w:tcPr>
                  <w:tcW w:w="810" w:type="pct"/>
                  <w:vMerge w:val="restart"/>
                  <w:tcBorders>
                    <w:top w:val="single" w:color="000000" w:sz="12" w:space="0"/>
                    <w:left w:val="nil"/>
                    <w:tl2br w:val="nil"/>
                  </w:tcBorders>
                  <w:shd w:val="clear" w:color="auto" w:fill="auto"/>
                  <w:vAlign w:val="center"/>
                </w:tcPr>
                <w:p w14:paraId="1FE514BB">
                  <w:pPr>
                    <w:pStyle w:val="38"/>
                    <w:bidi w:val="0"/>
                    <w:rPr>
                      <w:rFonts w:hint="default"/>
                      <w:b w:val="0"/>
                      <w:color w:val="000000"/>
                    </w:rPr>
                  </w:pPr>
                  <w:r>
                    <w:rPr>
                      <w:rFonts w:hint="default"/>
                      <w:b w:val="0"/>
                      <w:color w:val="000000"/>
                    </w:rPr>
                    <w:t>采样日期</w:t>
                  </w:r>
                </w:p>
              </w:tc>
              <w:tc>
                <w:tcPr>
                  <w:tcW w:w="1028" w:type="pct"/>
                  <w:vMerge w:val="restart"/>
                  <w:tcBorders>
                    <w:top w:val="single" w:color="000000" w:sz="12" w:space="0"/>
                  </w:tcBorders>
                  <w:shd w:val="clear" w:color="auto" w:fill="auto"/>
                  <w:vAlign w:val="center"/>
                </w:tcPr>
                <w:p w14:paraId="1EE077DA">
                  <w:pPr>
                    <w:pStyle w:val="38"/>
                    <w:bidi w:val="0"/>
                    <w:rPr>
                      <w:rFonts w:hint="default"/>
                      <w:b w:val="0"/>
                      <w:color w:val="000000"/>
                    </w:rPr>
                  </w:pPr>
                  <w:r>
                    <w:rPr>
                      <w:rFonts w:hint="default"/>
                      <w:b w:val="0"/>
                      <w:color w:val="000000"/>
                    </w:rPr>
                    <w:t>检测项目</w:t>
                  </w:r>
                </w:p>
              </w:tc>
              <w:tc>
                <w:tcPr>
                  <w:tcW w:w="895" w:type="pct"/>
                  <w:vMerge w:val="restart"/>
                  <w:tcBorders>
                    <w:top w:val="single" w:color="000000" w:sz="12" w:space="0"/>
                  </w:tcBorders>
                  <w:shd w:val="clear" w:color="auto" w:fill="auto"/>
                  <w:vAlign w:val="center"/>
                </w:tcPr>
                <w:p w14:paraId="7DC2090F">
                  <w:pPr>
                    <w:pStyle w:val="38"/>
                    <w:bidi w:val="0"/>
                    <w:rPr>
                      <w:rFonts w:hint="default"/>
                      <w:b w:val="0"/>
                      <w:color w:val="000000"/>
                    </w:rPr>
                  </w:pPr>
                  <w:r>
                    <w:rPr>
                      <w:rFonts w:hint="default"/>
                      <w:b w:val="0"/>
                      <w:color w:val="000000"/>
                    </w:rPr>
                    <w:t>检测点位</w:t>
                  </w:r>
                </w:p>
              </w:tc>
              <w:tc>
                <w:tcPr>
                  <w:tcW w:w="1613" w:type="pct"/>
                  <w:gridSpan w:val="4"/>
                  <w:tcBorders>
                    <w:top w:val="single" w:color="000000" w:sz="12" w:space="0"/>
                  </w:tcBorders>
                  <w:shd w:val="clear" w:color="auto" w:fill="auto"/>
                  <w:vAlign w:val="center"/>
                </w:tcPr>
                <w:p w14:paraId="58F3CB6D">
                  <w:pPr>
                    <w:pStyle w:val="38"/>
                    <w:bidi w:val="0"/>
                    <w:rPr>
                      <w:rFonts w:hint="default"/>
                      <w:b w:val="0"/>
                      <w:color w:val="000000"/>
                    </w:rPr>
                  </w:pPr>
                  <w:r>
                    <w:rPr>
                      <w:rFonts w:hint="default"/>
                      <w:b w:val="0"/>
                      <w:color w:val="000000"/>
                    </w:rPr>
                    <w:t>检测频次及结果（mg/m</w:t>
                  </w:r>
                  <w:r>
                    <w:rPr>
                      <w:rFonts w:hint="eastAsia"/>
                      <w:b w:val="0"/>
                      <w:color w:val="000000"/>
                      <w:vertAlign w:val="superscript"/>
                      <w:lang w:val="en-US" w:eastAsia="zh-CN"/>
                    </w:rPr>
                    <w:t>3</w:t>
                  </w:r>
                  <w:r>
                    <w:rPr>
                      <w:rFonts w:hint="default"/>
                      <w:b w:val="0"/>
                      <w:color w:val="000000"/>
                    </w:rPr>
                    <w:t>）</w:t>
                  </w:r>
                </w:p>
              </w:tc>
              <w:tc>
                <w:tcPr>
                  <w:tcW w:w="652" w:type="pct"/>
                  <w:vMerge w:val="restart"/>
                  <w:tcBorders>
                    <w:top w:val="single" w:color="000000" w:sz="12" w:space="0"/>
                    <w:right w:val="nil"/>
                  </w:tcBorders>
                  <w:shd w:val="clear" w:color="auto" w:fill="auto"/>
                  <w:vAlign w:val="center"/>
                </w:tcPr>
                <w:p w14:paraId="1C248BB9">
                  <w:pPr>
                    <w:pStyle w:val="38"/>
                    <w:bidi w:val="0"/>
                    <w:rPr>
                      <w:rFonts w:hint="default"/>
                      <w:b w:val="0"/>
                      <w:color w:val="000000"/>
                    </w:rPr>
                  </w:pPr>
                  <w:r>
                    <w:rPr>
                      <w:rFonts w:hint="default"/>
                      <w:b w:val="0"/>
                      <w:color w:val="000000"/>
                    </w:rPr>
                    <w:t>标准限值</w:t>
                  </w:r>
                </w:p>
                <w:p w14:paraId="285A98D1">
                  <w:pPr>
                    <w:pStyle w:val="38"/>
                    <w:bidi w:val="0"/>
                    <w:rPr>
                      <w:rFonts w:hint="default"/>
                      <w:b w:val="0"/>
                      <w:color w:val="000000"/>
                    </w:rPr>
                  </w:pPr>
                  <w:r>
                    <w:rPr>
                      <w:rFonts w:hint="default"/>
                      <w:b w:val="0"/>
                      <w:color w:val="000000"/>
                    </w:rPr>
                    <w:t>（mg/m</w:t>
                  </w:r>
                  <w:r>
                    <w:rPr>
                      <w:rFonts w:hint="eastAsia"/>
                      <w:b w:val="0"/>
                      <w:color w:val="000000"/>
                      <w:vertAlign w:val="superscript"/>
                      <w:lang w:val="en-US" w:eastAsia="zh-CN"/>
                    </w:rPr>
                    <w:t>3</w:t>
                  </w:r>
                  <w:r>
                    <w:rPr>
                      <w:rFonts w:hint="default"/>
                      <w:b w:val="0"/>
                      <w:color w:val="000000"/>
                    </w:rPr>
                    <w:t>）</w:t>
                  </w:r>
                </w:p>
              </w:tc>
            </w:tr>
            <w:tr w14:paraId="5DA1BB9F">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210" w:hRule="atLeast"/>
              </w:trPr>
              <w:tc>
                <w:tcPr>
                  <w:tcW w:w="810" w:type="pct"/>
                  <w:vMerge w:val="continue"/>
                  <w:tcBorders>
                    <w:left w:val="nil"/>
                  </w:tcBorders>
                  <w:shd w:val="clear" w:color="auto" w:fill="auto"/>
                  <w:vAlign w:val="center"/>
                </w:tcPr>
                <w:p w14:paraId="27D68968">
                  <w:pPr>
                    <w:pStyle w:val="38"/>
                    <w:bidi w:val="0"/>
                    <w:rPr>
                      <w:rFonts w:hint="default"/>
                      <w:b w:val="0"/>
                      <w:color w:val="000000"/>
                    </w:rPr>
                  </w:pPr>
                </w:p>
              </w:tc>
              <w:tc>
                <w:tcPr>
                  <w:tcW w:w="1028" w:type="pct"/>
                  <w:vMerge w:val="continue"/>
                  <w:shd w:val="clear" w:color="auto" w:fill="auto"/>
                  <w:vAlign w:val="center"/>
                </w:tcPr>
                <w:p w14:paraId="1174B45B">
                  <w:pPr>
                    <w:pStyle w:val="38"/>
                    <w:bidi w:val="0"/>
                    <w:rPr>
                      <w:rFonts w:hint="default"/>
                      <w:b w:val="0"/>
                      <w:color w:val="000000"/>
                    </w:rPr>
                  </w:pPr>
                </w:p>
              </w:tc>
              <w:tc>
                <w:tcPr>
                  <w:tcW w:w="895" w:type="pct"/>
                  <w:vMerge w:val="continue"/>
                  <w:shd w:val="clear" w:color="auto" w:fill="auto"/>
                  <w:vAlign w:val="center"/>
                </w:tcPr>
                <w:p w14:paraId="18D6B0BB">
                  <w:pPr>
                    <w:pStyle w:val="38"/>
                    <w:bidi w:val="0"/>
                    <w:rPr>
                      <w:rFonts w:hint="default"/>
                      <w:b w:val="0"/>
                      <w:color w:val="000000"/>
                    </w:rPr>
                  </w:pPr>
                </w:p>
              </w:tc>
              <w:tc>
                <w:tcPr>
                  <w:tcW w:w="396" w:type="pct"/>
                  <w:shd w:val="clear" w:color="auto" w:fill="auto"/>
                  <w:vAlign w:val="center"/>
                </w:tcPr>
                <w:p w14:paraId="767BD399">
                  <w:pPr>
                    <w:pStyle w:val="38"/>
                    <w:bidi w:val="0"/>
                    <w:rPr>
                      <w:rFonts w:hint="default"/>
                      <w:b w:val="0"/>
                      <w:color w:val="000000"/>
                    </w:rPr>
                  </w:pPr>
                  <w:r>
                    <w:rPr>
                      <w:rFonts w:hint="default"/>
                      <w:b w:val="0"/>
                      <w:color w:val="000000"/>
                    </w:rPr>
                    <w:t>1</w:t>
                  </w:r>
                </w:p>
              </w:tc>
              <w:tc>
                <w:tcPr>
                  <w:tcW w:w="396" w:type="pct"/>
                  <w:shd w:val="clear" w:color="auto" w:fill="auto"/>
                  <w:vAlign w:val="center"/>
                </w:tcPr>
                <w:p w14:paraId="72245A4B">
                  <w:pPr>
                    <w:pStyle w:val="38"/>
                    <w:bidi w:val="0"/>
                    <w:rPr>
                      <w:rFonts w:hint="default"/>
                      <w:b w:val="0"/>
                      <w:color w:val="000000"/>
                    </w:rPr>
                  </w:pPr>
                  <w:r>
                    <w:rPr>
                      <w:rFonts w:hint="default"/>
                      <w:b w:val="0"/>
                      <w:color w:val="000000"/>
                    </w:rPr>
                    <w:t>2</w:t>
                  </w:r>
                </w:p>
              </w:tc>
              <w:tc>
                <w:tcPr>
                  <w:tcW w:w="396" w:type="pct"/>
                  <w:shd w:val="clear" w:color="auto" w:fill="auto"/>
                  <w:vAlign w:val="center"/>
                </w:tcPr>
                <w:p w14:paraId="26305EBF">
                  <w:pPr>
                    <w:pStyle w:val="38"/>
                    <w:bidi w:val="0"/>
                    <w:rPr>
                      <w:rFonts w:hint="default"/>
                      <w:b w:val="0"/>
                      <w:color w:val="000000"/>
                    </w:rPr>
                  </w:pPr>
                  <w:r>
                    <w:rPr>
                      <w:rFonts w:hint="default"/>
                      <w:b w:val="0"/>
                      <w:color w:val="000000"/>
                    </w:rPr>
                    <w:t>3</w:t>
                  </w:r>
                </w:p>
              </w:tc>
              <w:tc>
                <w:tcPr>
                  <w:tcW w:w="425" w:type="pct"/>
                  <w:shd w:val="clear" w:color="auto" w:fill="auto"/>
                  <w:vAlign w:val="center"/>
                </w:tcPr>
                <w:p w14:paraId="41888699">
                  <w:pPr>
                    <w:pStyle w:val="38"/>
                    <w:bidi w:val="0"/>
                    <w:rPr>
                      <w:rFonts w:hint="default"/>
                      <w:b w:val="0"/>
                      <w:color w:val="000000"/>
                    </w:rPr>
                  </w:pPr>
                  <w:r>
                    <w:rPr>
                      <w:rFonts w:hint="default"/>
                      <w:b w:val="0"/>
                      <w:color w:val="000000"/>
                    </w:rPr>
                    <w:t>最大值</w:t>
                  </w:r>
                </w:p>
              </w:tc>
              <w:tc>
                <w:tcPr>
                  <w:tcW w:w="652" w:type="pct"/>
                  <w:vMerge w:val="continue"/>
                  <w:tcBorders>
                    <w:right w:val="nil"/>
                  </w:tcBorders>
                  <w:shd w:val="clear" w:color="auto" w:fill="auto"/>
                  <w:vAlign w:val="center"/>
                </w:tcPr>
                <w:p w14:paraId="4FA1E495">
                  <w:pPr>
                    <w:pStyle w:val="38"/>
                    <w:bidi w:val="0"/>
                    <w:rPr>
                      <w:rFonts w:hint="default"/>
                      <w:b w:val="0"/>
                      <w:color w:val="000000"/>
                    </w:rPr>
                  </w:pPr>
                </w:p>
              </w:tc>
            </w:tr>
            <w:tr w14:paraId="5A9FDA29">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28" w:hRule="atLeast"/>
              </w:trPr>
              <w:tc>
                <w:tcPr>
                  <w:tcW w:w="810" w:type="pct"/>
                  <w:vMerge w:val="restart"/>
                  <w:tcBorders>
                    <w:left w:val="nil"/>
                  </w:tcBorders>
                  <w:shd w:val="clear" w:color="auto" w:fill="auto"/>
                  <w:vAlign w:val="center"/>
                </w:tcPr>
                <w:p w14:paraId="1823DCE6">
                  <w:pPr>
                    <w:pStyle w:val="38"/>
                    <w:bidi w:val="0"/>
                    <w:rPr>
                      <w:rFonts w:hint="default"/>
                      <w:b w:val="0"/>
                      <w:color w:val="000000"/>
                    </w:rPr>
                  </w:pPr>
                  <w:r>
                    <w:rPr>
                      <w:rFonts w:hint="default"/>
                      <w:b w:val="0"/>
                      <w:color w:val="000000"/>
                    </w:rPr>
                    <w:t>2023年10月21日</w:t>
                  </w:r>
                </w:p>
              </w:tc>
              <w:tc>
                <w:tcPr>
                  <w:tcW w:w="1028" w:type="pct"/>
                  <w:vMerge w:val="restart"/>
                  <w:shd w:val="clear" w:color="auto" w:fill="auto"/>
                  <w:vAlign w:val="center"/>
                </w:tcPr>
                <w:p w14:paraId="73644CDD">
                  <w:pPr>
                    <w:pStyle w:val="38"/>
                    <w:bidi w:val="0"/>
                    <w:rPr>
                      <w:rFonts w:hint="default"/>
                      <w:b w:val="0"/>
                      <w:color w:val="000000"/>
                    </w:rPr>
                  </w:pPr>
                  <w:r>
                    <w:rPr>
                      <w:rFonts w:hint="default"/>
                      <w:b w:val="0"/>
                      <w:color w:val="000000"/>
                    </w:rPr>
                    <w:t>颗粒物</w:t>
                  </w:r>
                </w:p>
              </w:tc>
              <w:tc>
                <w:tcPr>
                  <w:tcW w:w="895" w:type="pct"/>
                  <w:shd w:val="clear" w:color="auto" w:fill="auto"/>
                  <w:vAlign w:val="center"/>
                </w:tcPr>
                <w:p w14:paraId="77B3BCCE">
                  <w:pPr>
                    <w:pStyle w:val="38"/>
                    <w:bidi w:val="0"/>
                    <w:rPr>
                      <w:rFonts w:hint="default"/>
                      <w:b w:val="0"/>
                      <w:color w:val="000000"/>
                    </w:rPr>
                  </w:pPr>
                  <w:r>
                    <w:rPr>
                      <w:rFonts w:hint="default"/>
                      <w:b w:val="0"/>
                      <w:color w:val="000000"/>
                    </w:rPr>
                    <w:t>Q1厂界上风向</w:t>
                  </w:r>
                </w:p>
              </w:tc>
              <w:tc>
                <w:tcPr>
                  <w:tcW w:w="396" w:type="pct"/>
                  <w:shd w:val="clear" w:color="auto" w:fill="auto"/>
                  <w:vAlign w:val="center"/>
                </w:tcPr>
                <w:p w14:paraId="234D1942">
                  <w:pPr>
                    <w:pStyle w:val="38"/>
                    <w:bidi w:val="0"/>
                    <w:rPr>
                      <w:rFonts w:hint="default"/>
                      <w:b w:val="0"/>
                      <w:color w:val="000000"/>
                    </w:rPr>
                  </w:pPr>
                  <w:r>
                    <w:rPr>
                      <w:rFonts w:hint="default"/>
                      <w:b w:val="0"/>
                      <w:color w:val="000000"/>
                    </w:rPr>
                    <w:t>&lt;0.167</w:t>
                  </w:r>
                </w:p>
              </w:tc>
              <w:tc>
                <w:tcPr>
                  <w:tcW w:w="396" w:type="pct"/>
                  <w:shd w:val="clear" w:color="auto" w:fill="auto"/>
                  <w:vAlign w:val="center"/>
                </w:tcPr>
                <w:p w14:paraId="0D0B0D34">
                  <w:pPr>
                    <w:pStyle w:val="38"/>
                    <w:bidi w:val="0"/>
                    <w:rPr>
                      <w:rFonts w:hint="default"/>
                      <w:b w:val="0"/>
                      <w:color w:val="000000"/>
                    </w:rPr>
                  </w:pPr>
                  <w:r>
                    <w:rPr>
                      <w:rFonts w:hint="default"/>
                      <w:b w:val="0"/>
                      <w:color w:val="000000"/>
                    </w:rPr>
                    <w:t>&lt;0.167</w:t>
                  </w:r>
                </w:p>
              </w:tc>
              <w:tc>
                <w:tcPr>
                  <w:tcW w:w="396" w:type="pct"/>
                  <w:shd w:val="clear" w:color="auto" w:fill="auto"/>
                  <w:vAlign w:val="center"/>
                </w:tcPr>
                <w:p w14:paraId="005D4F89">
                  <w:pPr>
                    <w:pStyle w:val="38"/>
                    <w:bidi w:val="0"/>
                    <w:rPr>
                      <w:rFonts w:hint="default"/>
                      <w:b w:val="0"/>
                      <w:color w:val="000000"/>
                    </w:rPr>
                  </w:pPr>
                  <w:r>
                    <w:rPr>
                      <w:rFonts w:hint="default"/>
                      <w:b w:val="0"/>
                      <w:color w:val="000000"/>
                    </w:rPr>
                    <w:t>&lt;0.167</w:t>
                  </w:r>
                </w:p>
              </w:tc>
              <w:tc>
                <w:tcPr>
                  <w:tcW w:w="425" w:type="pct"/>
                  <w:vMerge w:val="restart"/>
                  <w:shd w:val="clear" w:color="auto" w:fill="auto"/>
                  <w:vAlign w:val="center"/>
                </w:tcPr>
                <w:p w14:paraId="75CBEA0C">
                  <w:pPr>
                    <w:pStyle w:val="38"/>
                    <w:bidi w:val="0"/>
                    <w:rPr>
                      <w:rFonts w:hint="default"/>
                      <w:b w:val="0"/>
                      <w:color w:val="000000"/>
                    </w:rPr>
                  </w:pPr>
                  <w:r>
                    <w:rPr>
                      <w:rFonts w:hint="default"/>
                      <w:b w:val="0"/>
                      <w:color w:val="000000"/>
                    </w:rPr>
                    <w:t>&lt;0.167</w:t>
                  </w:r>
                </w:p>
              </w:tc>
              <w:tc>
                <w:tcPr>
                  <w:tcW w:w="652" w:type="pct"/>
                  <w:vMerge w:val="restart"/>
                  <w:tcBorders>
                    <w:right w:val="nil"/>
                  </w:tcBorders>
                  <w:shd w:val="clear" w:color="auto" w:fill="auto"/>
                  <w:vAlign w:val="center"/>
                </w:tcPr>
                <w:p w14:paraId="29DC6FCE">
                  <w:pPr>
                    <w:pStyle w:val="38"/>
                    <w:bidi w:val="0"/>
                    <w:rPr>
                      <w:rFonts w:hint="default"/>
                      <w:b w:val="0"/>
                      <w:color w:val="000000"/>
                    </w:rPr>
                  </w:pPr>
                  <w:r>
                    <w:rPr>
                      <w:rFonts w:hint="default"/>
                      <w:b w:val="0"/>
                      <w:color w:val="000000"/>
                    </w:rPr>
                    <w:t>1.0</w:t>
                  </w:r>
                </w:p>
              </w:tc>
            </w:tr>
            <w:tr w14:paraId="5E206D12">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27" w:hRule="atLeast"/>
              </w:trPr>
              <w:tc>
                <w:tcPr>
                  <w:tcW w:w="810" w:type="pct"/>
                  <w:vMerge w:val="continue"/>
                  <w:tcBorders>
                    <w:left w:val="nil"/>
                  </w:tcBorders>
                  <w:shd w:val="clear" w:color="auto" w:fill="auto"/>
                  <w:vAlign w:val="center"/>
                </w:tcPr>
                <w:p w14:paraId="2D37A903">
                  <w:pPr>
                    <w:pStyle w:val="38"/>
                    <w:bidi w:val="0"/>
                    <w:rPr>
                      <w:rFonts w:hint="default"/>
                      <w:b w:val="0"/>
                      <w:color w:val="000000"/>
                    </w:rPr>
                  </w:pPr>
                </w:p>
              </w:tc>
              <w:tc>
                <w:tcPr>
                  <w:tcW w:w="1028" w:type="pct"/>
                  <w:vMerge w:val="continue"/>
                  <w:shd w:val="clear" w:color="auto" w:fill="auto"/>
                  <w:vAlign w:val="center"/>
                </w:tcPr>
                <w:p w14:paraId="7D286611">
                  <w:pPr>
                    <w:pStyle w:val="38"/>
                    <w:bidi w:val="0"/>
                    <w:rPr>
                      <w:rFonts w:hint="default"/>
                      <w:b w:val="0"/>
                      <w:color w:val="000000"/>
                    </w:rPr>
                  </w:pPr>
                </w:p>
              </w:tc>
              <w:tc>
                <w:tcPr>
                  <w:tcW w:w="895" w:type="pct"/>
                  <w:shd w:val="clear" w:color="auto" w:fill="auto"/>
                  <w:vAlign w:val="center"/>
                </w:tcPr>
                <w:p w14:paraId="40B8681C">
                  <w:pPr>
                    <w:pStyle w:val="38"/>
                    <w:bidi w:val="0"/>
                    <w:rPr>
                      <w:rFonts w:hint="default"/>
                      <w:b w:val="0"/>
                      <w:color w:val="000000"/>
                    </w:rPr>
                  </w:pPr>
                  <w:r>
                    <w:rPr>
                      <w:rFonts w:hint="default"/>
                      <w:b w:val="0"/>
                      <w:color w:val="000000"/>
                    </w:rPr>
                    <w:t>Q2厂界下风向</w:t>
                  </w:r>
                </w:p>
              </w:tc>
              <w:tc>
                <w:tcPr>
                  <w:tcW w:w="396" w:type="pct"/>
                  <w:shd w:val="clear" w:color="auto" w:fill="auto"/>
                  <w:vAlign w:val="center"/>
                </w:tcPr>
                <w:p w14:paraId="27823FDF">
                  <w:pPr>
                    <w:pStyle w:val="38"/>
                    <w:bidi w:val="0"/>
                    <w:rPr>
                      <w:rFonts w:hint="default"/>
                      <w:b w:val="0"/>
                      <w:color w:val="000000"/>
                    </w:rPr>
                  </w:pPr>
                  <w:r>
                    <w:rPr>
                      <w:rFonts w:hint="default"/>
                      <w:b w:val="0"/>
                      <w:color w:val="000000"/>
                    </w:rPr>
                    <w:t>&lt;0.167</w:t>
                  </w:r>
                </w:p>
              </w:tc>
              <w:tc>
                <w:tcPr>
                  <w:tcW w:w="396" w:type="pct"/>
                  <w:shd w:val="clear" w:color="auto" w:fill="auto"/>
                  <w:vAlign w:val="center"/>
                </w:tcPr>
                <w:p w14:paraId="2705AB31">
                  <w:pPr>
                    <w:pStyle w:val="38"/>
                    <w:bidi w:val="0"/>
                    <w:rPr>
                      <w:rFonts w:hint="default"/>
                      <w:b w:val="0"/>
                      <w:color w:val="000000"/>
                    </w:rPr>
                  </w:pPr>
                  <w:r>
                    <w:rPr>
                      <w:rFonts w:hint="default"/>
                      <w:b w:val="0"/>
                      <w:color w:val="000000"/>
                    </w:rPr>
                    <w:t>&lt;0.167</w:t>
                  </w:r>
                </w:p>
              </w:tc>
              <w:tc>
                <w:tcPr>
                  <w:tcW w:w="396" w:type="pct"/>
                  <w:shd w:val="clear" w:color="auto" w:fill="auto"/>
                  <w:vAlign w:val="center"/>
                </w:tcPr>
                <w:p w14:paraId="35247A49">
                  <w:pPr>
                    <w:pStyle w:val="38"/>
                    <w:bidi w:val="0"/>
                    <w:rPr>
                      <w:rFonts w:hint="default"/>
                      <w:b w:val="0"/>
                      <w:color w:val="000000"/>
                    </w:rPr>
                  </w:pPr>
                  <w:r>
                    <w:rPr>
                      <w:rFonts w:hint="default"/>
                      <w:b w:val="0"/>
                      <w:color w:val="000000"/>
                    </w:rPr>
                    <w:t>&lt;0.167</w:t>
                  </w:r>
                </w:p>
              </w:tc>
              <w:tc>
                <w:tcPr>
                  <w:tcW w:w="425" w:type="pct"/>
                  <w:vMerge w:val="continue"/>
                  <w:shd w:val="clear" w:color="auto" w:fill="auto"/>
                  <w:vAlign w:val="center"/>
                </w:tcPr>
                <w:p w14:paraId="2A431851">
                  <w:pPr>
                    <w:pStyle w:val="38"/>
                    <w:bidi w:val="0"/>
                    <w:rPr>
                      <w:rFonts w:hint="default"/>
                      <w:b w:val="0"/>
                      <w:color w:val="000000"/>
                    </w:rPr>
                  </w:pPr>
                </w:p>
              </w:tc>
              <w:tc>
                <w:tcPr>
                  <w:tcW w:w="652" w:type="pct"/>
                  <w:vMerge w:val="continue"/>
                  <w:tcBorders>
                    <w:right w:val="nil"/>
                  </w:tcBorders>
                  <w:shd w:val="clear" w:color="auto" w:fill="auto"/>
                  <w:vAlign w:val="center"/>
                </w:tcPr>
                <w:p w14:paraId="212FCAE8">
                  <w:pPr>
                    <w:pStyle w:val="38"/>
                    <w:bidi w:val="0"/>
                    <w:rPr>
                      <w:rFonts w:hint="default"/>
                      <w:b w:val="0"/>
                      <w:color w:val="000000"/>
                    </w:rPr>
                  </w:pPr>
                </w:p>
              </w:tc>
            </w:tr>
            <w:tr w14:paraId="6B323083">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628" w:hRule="atLeast"/>
              </w:trPr>
              <w:tc>
                <w:tcPr>
                  <w:tcW w:w="810" w:type="pct"/>
                  <w:vMerge w:val="continue"/>
                  <w:tcBorders>
                    <w:left w:val="nil"/>
                  </w:tcBorders>
                  <w:shd w:val="clear" w:color="auto" w:fill="auto"/>
                  <w:vAlign w:val="center"/>
                </w:tcPr>
                <w:p w14:paraId="39747038">
                  <w:pPr>
                    <w:pStyle w:val="38"/>
                    <w:bidi w:val="0"/>
                    <w:rPr>
                      <w:rFonts w:hint="default"/>
                      <w:b w:val="0"/>
                      <w:color w:val="000000"/>
                    </w:rPr>
                  </w:pPr>
                </w:p>
              </w:tc>
              <w:tc>
                <w:tcPr>
                  <w:tcW w:w="1028" w:type="pct"/>
                  <w:vMerge w:val="continue"/>
                  <w:shd w:val="clear" w:color="auto" w:fill="auto"/>
                  <w:vAlign w:val="center"/>
                </w:tcPr>
                <w:p w14:paraId="5B53A813">
                  <w:pPr>
                    <w:pStyle w:val="38"/>
                    <w:bidi w:val="0"/>
                    <w:rPr>
                      <w:rFonts w:hint="default"/>
                      <w:b w:val="0"/>
                      <w:color w:val="000000"/>
                    </w:rPr>
                  </w:pPr>
                </w:p>
              </w:tc>
              <w:tc>
                <w:tcPr>
                  <w:tcW w:w="895" w:type="pct"/>
                  <w:shd w:val="clear" w:color="auto" w:fill="auto"/>
                  <w:vAlign w:val="center"/>
                </w:tcPr>
                <w:p w14:paraId="6E1BD9C2">
                  <w:pPr>
                    <w:pStyle w:val="38"/>
                    <w:bidi w:val="0"/>
                    <w:rPr>
                      <w:rFonts w:hint="default"/>
                      <w:b w:val="0"/>
                      <w:color w:val="000000"/>
                    </w:rPr>
                  </w:pPr>
                  <w:r>
                    <w:rPr>
                      <w:rFonts w:hint="default"/>
                      <w:b w:val="0"/>
                      <w:color w:val="000000"/>
                    </w:rPr>
                    <w:t>Q3厂界下风向</w:t>
                  </w:r>
                </w:p>
              </w:tc>
              <w:tc>
                <w:tcPr>
                  <w:tcW w:w="396" w:type="pct"/>
                  <w:shd w:val="clear" w:color="auto" w:fill="auto"/>
                  <w:vAlign w:val="center"/>
                </w:tcPr>
                <w:p w14:paraId="54719171">
                  <w:pPr>
                    <w:pStyle w:val="38"/>
                    <w:bidi w:val="0"/>
                    <w:rPr>
                      <w:rFonts w:hint="default"/>
                      <w:b w:val="0"/>
                      <w:color w:val="000000"/>
                    </w:rPr>
                  </w:pPr>
                  <w:r>
                    <w:rPr>
                      <w:rFonts w:hint="default"/>
                      <w:b w:val="0"/>
                      <w:color w:val="000000"/>
                    </w:rPr>
                    <w:t>&lt;0.167</w:t>
                  </w:r>
                </w:p>
              </w:tc>
              <w:tc>
                <w:tcPr>
                  <w:tcW w:w="396" w:type="pct"/>
                  <w:shd w:val="clear" w:color="auto" w:fill="auto"/>
                  <w:vAlign w:val="center"/>
                </w:tcPr>
                <w:p w14:paraId="56BE2A2B">
                  <w:pPr>
                    <w:pStyle w:val="38"/>
                    <w:bidi w:val="0"/>
                    <w:rPr>
                      <w:rFonts w:hint="default"/>
                      <w:b w:val="0"/>
                      <w:color w:val="000000"/>
                    </w:rPr>
                  </w:pPr>
                  <w:r>
                    <w:rPr>
                      <w:rFonts w:hint="default"/>
                      <w:b w:val="0"/>
                      <w:color w:val="000000"/>
                    </w:rPr>
                    <w:t>&lt;0.167</w:t>
                  </w:r>
                </w:p>
              </w:tc>
              <w:tc>
                <w:tcPr>
                  <w:tcW w:w="396" w:type="pct"/>
                  <w:shd w:val="clear" w:color="auto" w:fill="auto"/>
                  <w:vAlign w:val="center"/>
                </w:tcPr>
                <w:p w14:paraId="5CE82173">
                  <w:pPr>
                    <w:pStyle w:val="38"/>
                    <w:bidi w:val="0"/>
                    <w:rPr>
                      <w:rFonts w:hint="default"/>
                      <w:b w:val="0"/>
                      <w:color w:val="000000"/>
                    </w:rPr>
                  </w:pPr>
                  <w:r>
                    <w:rPr>
                      <w:rFonts w:hint="default"/>
                      <w:b w:val="0"/>
                      <w:color w:val="000000"/>
                    </w:rPr>
                    <w:t>&lt;0.167</w:t>
                  </w:r>
                </w:p>
              </w:tc>
              <w:tc>
                <w:tcPr>
                  <w:tcW w:w="425" w:type="pct"/>
                  <w:vMerge w:val="continue"/>
                  <w:shd w:val="clear" w:color="auto" w:fill="auto"/>
                  <w:vAlign w:val="center"/>
                </w:tcPr>
                <w:p w14:paraId="22C106D1">
                  <w:pPr>
                    <w:pStyle w:val="38"/>
                    <w:bidi w:val="0"/>
                    <w:rPr>
                      <w:rFonts w:hint="default"/>
                      <w:b w:val="0"/>
                      <w:color w:val="000000"/>
                    </w:rPr>
                  </w:pPr>
                </w:p>
              </w:tc>
              <w:tc>
                <w:tcPr>
                  <w:tcW w:w="652" w:type="pct"/>
                  <w:vMerge w:val="continue"/>
                  <w:tcBorders>
                    <w:right w:val="nil"/>
                  </w:tcBorders>
                  <w:shd w:val="clear" w:color="auto" w:fill="auto"/>
                  <w:vAlign w:val="center"/>
                </w:tcPr>
                <w:p w14:paraId="232375AA">
                  <w:pPr>
                    <w:pStyle w:val="38"/>
                    <w:bidi w:val="0"/>
                    <w:rPr>
                      <w:rFonts w:hint="default"/>
                      <w:b w:val="0"/>
                      <w:color w:val="000000"/>
                    </w:rPr>
                  </w:pPr>
                </w:p>
              </w:tc>
            </w:tr>
            <w:tr w14:paraId="6B37F30E">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28" w:hRule="atLeast"/>
              </w:trPr>
              <w:tc>
                <w:tcPr>
                  <w:tcW w:w="810" w:type="pct"/>
                  <w:vMerge w:val="continue"/>
                  <w:tcBorders>
                    <w:left w:val="nil"/>
                  </w:tcBorders>
                  <w:shd w:val="clear" w:color="auto" w:fill="auto"/>
                  <w:vAlign w:val="center"/>
                </w:tcPr>
                <w:p w14:paraId="42F60507">
                  <w:pPr>
                    <w:pStyle w:val="38"/>
                    <w:bidi w:val="0"/>
                    <w:rPr>
                      <w:rFonts w:hint="default"/>
                      <w:b w:val="0"/>
                      <w:color w:val="000000"/>
                    </w:rPr>
                  </w:pPr>
                </w:p>
              </w:tc>
              <w:tc>
                <w:tcPr>
                  <w:tcW w:w="1028" w:type="pct"/>
                  <w:vMerge w:val="continue"/>
                  <w:shd w:val="clear" w:color="auto" w:fill="auto"/>
                  <w:vAlign w:val="center"/>
                </w:tcPr>
                <w:p w14:paraId="3E9E8D4E">
                  <w:pPr>
                    <w:pStyle w:val="38"/>
                    <w:bidi w:val="0"/>
                    <w:rPr>
                      <w:rFonts w:hint="default"/>
                      <w:b w:val="0"/>
                      <w:color w:val="000000"/>
                    </w:rPr>
                  </w:pPr>
                </w:p>
              </w:tc>
              <w:tc>
                <w:tcPr>
                  <w:tcW w:w="895" w:type="pct"/>
                  <w:shd w:val="clear" w:color="auto" w:fill="auto"/>
                  <w:vAlign w:val="center"/>
                </w:tcPr>
                <w:p w14:paraId="1A60BA71">
                  <w:pPr>
                    <w:pStyle w:val="38"/>
                    <w:bidi w:val="0"/>
                    <w:rPr>
                      <w:rFonts w:hint="default"/>
                      <w:b w:val="0"/>
                      <w:color w:val="000000"/>
                    </w:rPr>
                  </w:pPr>
                  <w:r>
                    <w:rPr>
                      <w:rFonts w:hint="default"/>
                      <w:b w:val="0"/>
                      <w:color w:val="000000"/>
                    </w:rPr>
                    <w:t>Q4厂界下风向</w:t>
                  </w:r>
                </w:p>
              </w:tc>
              <w:tc>
                <w:tcPr>
                  <w:tcW w:w="396" w:type="pct"/>
                  <w:shd w:val="clear" w:color="auto" w:fill="auto"/>
                  <w:vAlign w:val="center"/>
                </w:tcPr>
                <w:p w14:paraId="4805DB57">
                  <w:pPr>
                    <w:pStyle w:val="38"/>
                    <w:bidi w:val="0"/>
                    <w:rPr>
                      <w:rFonts w:hint="default"/>
                      <w:b w:val="0"/>
                      <w:color w:val="000000"/>
                    </w:rPr>
                  </w:pPr>
                  <w:r>
                    <w:rPr>
                      <w:rFonts w:hint="default"/>
                      <w:b w:val="0"/>
                      <w:color w:val="000000"/>
                    </w:rPr>
                    <w:t>&lt;0.167</w:t>
                  </w:r>
                </w:p>
              </w:tc>
              <w:tc>
                <w:tcPr>
                  <w:tcW w:w="396" w:type="pct"/>
                  <w:shd w:val="clear" w:color="auto" w:fill="auto"/>
                  <w:vAlign w:val="center"/>
                </w:tcPr>
                <w:p w14:paraId="4E4DE799">
                  <w:pPr>
                    <w:pStyle w:val="38"/>
                    <w:bidi w:val="0"/>
                    <w:rPr>
                      <w:rFonts w:hint="default"/>
                      <w:b w:val="0"/>
                      <w:color w:val="000000"/>
                    </w:rPr>
                  </w:pPr>
                  <w:r>
                    <w:rPr>
                      <w:rFonts w:hint="default"/>
                      <w:b w:val="0"/>
                      <w:color w:val="000000"/>
                    </w:rPr>
                    <w:t>&lt;0.167</w:t>
                  </w:r>
                </w:p>
              </w:tc>
              <w:tc>
                <w:tcPr>
                  <w:tcW w:w="396" w:type="pct"/>
                  <w:shd w:val="clear" w:color="auto" w:fill="auto"/>
                  <w:vAlign w:val="center"/>
                </w:tcPr>
                <w:p w14:paraId="7DFD7BDA">
                  <w:pPr>
                    <w:pStyle w:val="38"/>
                    <w:bidi w:val="0"/>
                    <w:rPr>
                      <w:rFonts w:hint="default"/>
                      <w:b w:val="0"/>
                      <w:color w:val="000000"/>
                    </w:rPr>
                  </w:pPr>
                  <w:r>
                    <w:rPr>
                      <w:rFonts w:hint="default"/>
                      <w:b w:val="0"/>
                      <w:color w:val="000000"/>
                    </w:rPr>
                    <w:t>&lt;0.167</w:t>
                  </w:r>
                </w:p>
              </w:tc>
              <w:tc>
                <w:tcPr>
                  <w:tcW w:w="425" w:type="pct"/>
                  <w:vMerge w:val="continue"/>
                  <w:shd w:val="clear" w:color="auto" w:fill="auto"/>
                  <w:vAlign w:val="center"/>
                </w:tcPr>
                <w:p w14:paraId="36764030">
                  <w:pPr>
                    <w:pStyle w:val="38"/>
                    <w:bidi w:val="0"/>
                    <w:rPr>
                      <w:rFonts w:hint="default"/>
                      <w:b w:val="0"/>
                      <w:color w:val="000000"/>
                    </w:rPr>
                  </w:pPr>
                </w:p>
              </w:tc>
              <w:tc>
                <w:tcPr>
                  <w:tcW w:w="652" w:type="pct"/>
                  <w:vMerge w:val="continue"/>
                  <w:tcBorders>
                    <w:right w:val="nil"/>
                  </w:tcBorders>
                  <w:shd w:val="clear" w:color="auto" w:fill="auto"/>
                  <w:vAlign w:val="center"/>
                </w:tcPr>
                <w:p w14:paraId="230368C7">
                  <w:pPr>
                    <w:pStyle w:val="38"/>
                    <w:bidi w:val="0"/>
                    <w:rPr>
                      <w:rFonts w:hint="default"/>
                      <w:b w:val="0"/>
                      <w:color w:val="000000"/>
                    </w:rPr>
                  </w:pPr>
                </w:p>
              </w:tc>
            </w:tr>
            <w:tr w14:paraId="5D4333A5">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27" w:hRule="atLeast"/>
              </w:trPr>
              <w:tc>
                <w:tcPr>
                  <w:tcW w:w="810" w:type="pct"/>
                  <w:vMerge w:val="continue"/>
                  <w:tcBorders>
                    <w:left w:val="nil"/>
                  </w:tcBorders>
                  <w:shd w:val="clear" w:color="auto" w:fill="auto"/>
                  <w:vAlign w:val="center"/>
                </w:tcPr>
                <w:p w14:paraId="7FB0BF98">
                  <w:pPr>
                    <w:pStyle w:val="38"/>
                    <w:bidi w:val="0"/>
                    <w:rPr>
                      <w:rFonts w:hint="default"/>
                      <w:b w:val="0"/>
                      <w:color w:val="000000"/>
                    </w:rPr>
                  </w:pPr>
                </w:p>
              </w:tc>
              <w:tc>
                <w:tcPr>
                  <w:tcW w:w="1028" w:type="pct"/>
                  <w:vMerge w:val="restart"/>
                  <w:shd w:val="clear" w:color="auto" w:fill="auto"/>
                  <w:vAlign w:val="center"/>
                </w:tcPr>
                <w:p w14:paraId="08426196">
                  <w:pPr>
                    <w:pStyle w:val="38"/>
                    <w:bidi w:val="0"/>
                    <w:rPr>
                      <w:rFonts w:hint="default"/>
                      <w:b w:val="0"/>
                      <w:color w:val="000000"/>
                    </w:rPr>
                  </w:pPr>
                  <w:r>
                    <w:rPr>
                      <w:rFonts w:hint="default"/>
                      <w:b w:val="0"/>
                      <w:color w:val="000000"/>
                    </w:rPr>
                    <w:t>非甲烷总烃</w:t>
                  </w:r>
                </w:p>
              </w:tc>
              <w:tc>
                <w:tcPr>
                  <w:tcW w:w="895" w:type="pct"/>
                  <w:shd w:val="clear" w:color="auto" w:fill="auto"/>
                  <w:vAlign w:val="center"/>
                </w:tcPr>
                <w:p w14:paraId="69AC9703">
                  <w:pPr>
                    <w:pStyle w:val="38"/>
                    <w:bidi w:val="0"/>
                    <w:rPr>
                      <w:rFonts w:hint="default"/>
                      <w:b w:val="0"/>
                      <w:color w:val="000000"/>
                    </w:rPr>
                  </w:pPr>
                  <w:r>
                    <w:rPr>
                      <w:rFonts w:hint="default"/>
                      <w:b w:val="0"/>
                      <w:color w:val="000000"/>
                    </w:rPr>
                    <w:t>Q1厂界上风向</w:t>
                  </w:r>
                </w:p>
              </w:tc>
              <w:tc>
                <w:tcPr>
                  <w:tcW w:w="396" w:type="pct"/>
                  <w:shd w:val="clear" w:color="auto" w:fill="auto"/>
                  <w:vAlign w:val="center"/>
                </w:tcPr>
                <w:p w14:paraId="022EA158">
                  <w:pPr>
                    <w:pStyle w:val="38"/>
                    <w:bidi w:val="0"/>
                    <w:rPr>
                      <w:rFonts w:hint="default"/>
                      <w:b w:val="0"/>
                      <w:color w:val="000000"/>
                    </w:rPr>
                  </w:pPr>
                  <w:r>
                    <w:rPr>
                      <w:rFonts w:hint="default"/>
                      <w:b w:val="0"/>
                      <w:color w:val="000000"/>
                    </w:rPr>
                    <w:t>1.07</w:t>
                  </w:r>
                </w:p>
              </w:tc>
              <w:tc>
                <w:tcPr>
                  <w:tcW w:w="396" w:type="pct"/>
                  <w:shd w:val="clear" w:color="auto" w:fill="auto"/>
                  <w:vAlign w:val="center"/>
                </w:tcPr>
                <w:p w14:paraId="639FF0E2">
                  <w:pPr>
                    <w:pStyle w:val="38"/>
                    <w:bidi w:val="0"/>
                    <w:rPr>
                      <w:rFonts w:hint="default"/>
                      <w:b w:val="0"/>
                      <w:color w:val="000000"/>
                    </w:rPr>
                  </w:pPr>
                  <w:r>
                    <w:rPr>
                      <w:rFonts w:hint="default"/>
                      <w:b w:val="0"/>
                      <w:color w:val="000000"/>
                    </w:rPr>
                    <w:t>1.12</w:t>
                  </w:r>
                </w:p>
              </w:tc>
              <w:tc>
                <w:tcPr>
                  <w:tcW w:w="396" w:type="pct"/>
                  <w:shd w:val="clear" w:color="auto" w:fill="auto"/>
                  <w:vAlign w:val="center"/>
                </w:tcPr>
                <w:p w14:paraId="496767E5">
                  <w:pPr>
                    <w:pStyle w:val="38"/>
                    <w:bidi w:val="0"/>
                    <w:rPr>
                      <w:rFonts w:hint="default"/>
                      <w:b w:val="0"/>
                      <w:color w:val="000000"/>
                    </w:rPr>
                  </w:pPr>
                  <w:r>
                    <w:rPr>
                      <w:rFonts w:hint="default"/>
                      <w:b w:val="0"/>
                      <w:color w:val="000000"/>
                    </w:rPr>
                    <w:t>1.01</w:t>
                  </w:r>
                </w:p>
              </w:tc>
              <w:tc>
                <w:tcPr>
                  <w:tcW w:w="425" w:type="pct"/>
                  <w:vMerge w:val="restart"/>
                  <w:shd w:val="clear" w:color="auto" w:fill="auto"/>
                  <w:vAlign w:val="center"/>
                </w:tcPr>
                <w:p w14:paraId="0FBB0934">
                  <w:pPr>
                    <w:pStyle w:val="38"/>
                    <w:bidi w:val="0"/>
                    <w:rPr>
                      <w:rFonts w:hint="default"/>
                      <w:b w:val="0"/>
                      <w:color w:val="000000"/>
                    </w:rPr>
                  </w:pPr>
                  <w:r>
                    <w:rPr>
                      <w:rFonts w:hint="default"/>
                      <w:b w:val="0"/>
                      <w:color w:val="000000"/>
                    </w:rPr>
                    <w:t>1.76</w:t>
                  </w:r>
                </w:p>
              </w:tc>
              <w:tc>
                <w:tcPr>
                  <w:tcW w:w="652" w:type="pct"/>
                  <w:vMerge w:val="restart"/>
                  <w:tcBorders>
                    <w:right w:val="nil"/>
                  </w:tcBorders>
                  <w:shd w:val="clear" w:color="auto" w:fill="auto"/>
                  <w:vAlign w:val="center"/>
                </w:tcPr>
                <w:p w14:paraId="40A2982F">
                  <w:pPr>
                    <w:pStyle w:val="38"/>
                    <w:bidi w:val="0"/>
                    <w:rPr>
                      <w:rFonts w:hint="default"/>
                      <w:b w:val="0"/>
                      <w:color w:val="000000"/>
                    </w:rPr>
                  </w:pPr>
                  <w:r>
                    <w:rPr>
                      <w:rFonts w:hint="default"/>
                      <w:b w:val="0"/>
                      <w:color w:val="000000"/>
                    </w:rPr>
                    <w:t>2.0</w:t>
                  </w:r>
                </w:p>
              </w:tc>
            </w:tr>
            <w:tr w14:paraId="3003C332">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28" w:hRule="atLeast"/>
              </w:trPr>
              <w:tc>
                <w:tcPr>
                  <w:tcW w:w="810" w:type="pct"/>
                  <w:vMerge w:val="continue"/>
                  <w:tcBorders>
                    <w:left w:val="nil"/>
                  </w:tcBorders>
                  <w:shd w:val="clear" w:color="auto" w:fill="auto"/>
                  <w:vAlign w:val="center"/>
                </w:tcPr>
                <w:p w14:paraId="63BE5880">
                  <w:pPr>
                    <w:pStyle w:val="38"/>
                    <w:bidi w:val="0"/>
                    <w:rPr>
                      <w:rFonts w:hint="default"/>
                      <w:b w:val="0"/>
                      <w:color w:val="000000"/>
                    </w:rPr>
                  </w:pPr>
                </w:p>
              </w:tc>
              <w:tc>
                <w:tcPr>
                  <w:tcW w:w="1028" w:type="pct"/>
                  <w:vMerge w:val="continue"/>
                  <w:shd w:val="clear" w:color="auto" w:fill="auto"/>
                  <w:vAlign w:val="center"/>
                </w:tcPr>
                <w:p w14:paraId="04264CDF">
                  <w:pPr>
                    <w:pStyle w:val="38"/>
                    <w:bidi w:val="0"/>
                    <w:rPr>
                      <w:rFonts w:hint="default"/>
                      <w:b w:val="0"/>
                      <w:color w:val="000000"/>
                    </w:rPr>
                  </w:pPr>
                </w:p>
              </w:tc>
              <w:tc>
                <w:tcPr>
                  <w:tcW w:w="895" w:type="pct"/>
                  <w:shd w:val="clear" w:color="auto" w:fill="auto"/>
                  <w:vAlign w:val="center"/>
                </w:tcPr>
                <w:p w14:paraId="1405A71C">
                  <w:pPr>
                    <w:pStyle w:val="38"/>
                    <w:bidi w:val="0"/>
                    <w:rPr>
                      <w:rFonts w:hint="default"/>
                      <w:b w:val="0"/>
                      <w:color w:val="000000"/>
                    </w:rPr>
                  </w:pPr>
                  <w:r>
                    <w:rPr>
                      <w:rFonts w:hint="default"/>
                      <w:b w:val="0"/>
                      <w:color w:val="000000"/>
                    </w:rPr>
                    <w:t>Q2厂界下风向</w:t>
                  </w:r>
                </w:p>
              </w:tc>
              <w:tc>
                <w:tcPr>
                  <w:tcW w:w="396" w:type="pct"/>
                  <w:shd w:val="clear" w:color="auto" w:fill="auto"/>
                  <w:vAlign w:val="center"/>
                </w:tcPr>
                <w:p w14:paraId="6CBC4278">
                  <w:pPr>
                    <w:pStyle w:val="38"/>
                    <w:bidi w:val="0"/>
                    <w:rPr>
                      <w:rFonts w:hint="default"/>
                      <w:b w:val="0"/>
                      <w:color w:val="000000"/>
                    </w:rPr>
                  </w:pPr>
                  <w:r>
                    <w:rPr>
                      <w:rFonts w:hint="default"/>
                      <w:b w:val="0"/>
                      <w:color w:val="000000"/>
                    </w:rPr>
                    <w:t>1.56</w:t>
                  </w:r>
                </w:p>
              </w:tc>
              <w:tc>
                <w:tcPr>
                  <w:tcW w:w="396" w:type="pct"/>
                  <w:shd w:val="clear" w:color="auto" w:fill="auto"/>
                  <w:vAlign w:val="center"/>
                </w:tcPr>
                <w:p w14:paraId="6B8F5748">
                  <w:pPr>
                    <w:pStyle w:val="38"/>
                    <w:bidi w:val="0"/>
                    <w:rPr>
                      <w:rFonts w:hint="default"/>
                      <w:b w:val="0"/>
                      <w:color w:val="000000"/>
                    </w:rPr>
                  </w:pPr>
                  <w:r>
                    <w:rPr>
                      <w:rFonts w:hint="default"/>
                      <w:b w:val="0"/>
                      <w:color w:val="000000"/>
                    </w:rPr>
                    <w:t>1.54</w:t>
                  </w:r>
                </w:p>
              </w:tc>
              <w:tc>
                <w:tcPr>
                  <w:tcW w:w="396" w:type="pct"/>
                  <w:shd w:val="clear" w:color="auto" w:fill="auto"/>
                  <w:vAlign w:val="center"/>
                </w:tcPr>
                <w:p w14:paraId="1FD53B75">
                  <w:pPr>
                    <w:pStyle w:val="38"/>
                    <w:bidi w:val="0"/>
                    <w:rPr>
                      <w:rFonts w:hint="default"/>
                      <w:b w:val="0"/>
                      <w:color w:val="000000"/>
                    </w:rPr>
                  </w:pPr>
                  <w:r>
                    <w:rPr>
                      <w:rFonts w:hint="default"/>
                      <w:b w:val="0"/>
                      <w:color w:val="000000"/>
                    </w:rPr>
                    <w:t>1.65</w:t>
                  </w:r>
                </w:p>
              </w:tc>
              <w:tc>
                <w:tcPr>
                  <w:tcW w:w="425" w:type="pct"/>
                  <w:vMerge w:val="continue"/>
                  <w:shd w:val="clear" w:color="auto" w:fill="auto"/>
                  <w:vAlign w:val="center"/>
                </w:tcPr>
                <w:p w14:paraId="25BDE1CE">
                  <w:pPr>
                    <w:pStyle w:val="38"/>
                    <w:bidi w:val="0"/>
                    <w:rPr>
                      <w:rFonts w:hint="default"/>
                      <w:b w:val="0"/>
                      <w:color w:val="000000"/>
                    </w:rPr>
                  </w:pPr>
                </w:p>
              </w:tc>
              <w:tc>
                <w:tcPr>
                  <w:tcW w:w="652" w:type="pct"/>
                  <w:vMerge w:val="continue"/>
                  <w:tcBorders>
                    <w:right w:val="nil"/>
                  </w:tcBorders>
                  <w:shd w:val="clear" w:color="auto" w:fill="auto"/>
                  <w:vAlign w:val="center"/>
                </w:tcPr>
                <w:p w14:paraId="1A697016">
                  <w:pPr>
                    <w:pStyle w:val="38"/>
                    <w:bidi w:val="0"/>
                    <w:rPr>
                      <w:rFonts w:hint="default"/>
                      <w:b w:val="0"/>
                      <w:color w:val="000000"/>
                    </w:rPr>
                  </w:pPr>
                </w:p>
              </w:tc>
            </w:tr>
            <w:tr w14:paraId="7392A1BE">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27" w:hRule="atLeast"/>
              </w:trPr>
              <w:tc>
                <w:tcPr>
                  <w:tcW w:w="810" w:type="pct"/>
                  <w:vMerge w:val="continue"/>
                  <w:tcBorders>
                    <w:left w:val="nil"/>
                  </w:tcBorders>
                  <w:shd w:val="clear" w:color="auto" w:fill="auto"/>
                  <w:vAlign w:val="center"/>
                </w:tcPr>
                <w:p w14:paraId="4CCE939A">
                  <w:pPr>
                    <w:pStyle w:val="38"/>
                    <w:bidi w:val="0"/>
                    <w:rPr>
                      <w:rFonts w:hint="default"/>
                      <w:b w:val="0"/>
                      <w:color w:val="000000"/>
                    </w:rPr>
                  </w:pPr>
                </w:p>
              </w:tc>
              <w:tc>
                <w:tcPr>
                  <w:tcW w:w="1028" w:type="pct"/>
                  <w:vMerge w:val="continue"/>
                  <w:shd w:val="clear" w:color="auto" w:fill="auto"/>
                  <w:vAlign w:val="center"/>
                </w:tcPr>
                <w:p w14:paraId="4A57F38E">
                  <w:pPr>
                    <w:pStyle w:val="38"/>
                    <w:bidi w:val="0"/>
                    <w:rPr>
                      <w:rFonts w:hint="default"/>
                      <w:b w:val="0"/>
                      <w:color w:val="000000"/>
                    </w:rPr>
                  </w:pPr>
                </w:p>
              </w:tc>
              <w:tc>
                <w:tcPr>
                  <w:tcW w:w="895" w:type="pct"/>
                  <w:shd w:val="clear" w:color="auto" w:fill="auto"/>
                  <w:vAlign w:val="center"/>
                </w:tcPr>
                <w:p w14:paraId="5DFE2322">
                  <w:pPr>
                    <w:pStyle w:val="38"/>
                    <w:bidi w:val="0"/>
                    <w:rPr>
                      <w:rFonts w:hint="default"/>
                      <w:b w:val="0"/>
                      <w:color w:val="000000"/>
                    </w:rPr>
                  </w:pPr>
                  <w:r>
                    <w:rPr>
                      <w:rFonts w:hint="default"/>
                      <w:b w:val="0"/>
                      <w:color w:val="000000"/>
                    </w:rPr>
                    <w:t>Q3厂界下风向</w:t>
                  </w:r>
                </w:p>
              </w:tc>
              <w:tc>
                <w:tcPr>
                  <w:tcW w:w="396" w:type="pct"/>
                  <w:shd w:val="clear" w:color="auto" w:fill="auto"/>
                  <w:vAlign w:val="center"/>
                </w:tcPr>
                <w:p w14:paraId="36A24C45">
                  <w:pPr>
                    <w:pStyle w:val="38"/>
                    <w:bidi w:val="0"/>
                    <w:rPr>
                      <w:rFonts w:hint="default"/>
                      <w:b w:val="0"/>
                      <w:color w:val="000000"/>
                    </w:rPr>
                  </w:pPr>
                  <w:r>
                    <w:rPr>
                      <w:rFonts w:hint="default"/>
                      <w:b w:val="0"/>
                      <w:color w:val="000000"/>
                    </w:rPr>
                    <w:t>1.76</w:t>
                  </w:r>
                </w:p>
              </w:tc>
              <w:tc>
                <w:tcPr>
                  <w:tcW w:w="396" w:type="pct"/>
                  <w:shd w:val="clear" w:color="auto" w:fill="auto"/>
                  <w:vAlign w:val="center"/>
                </w:tcPr>
                <w:p w14:paraId="42A0DDF2">
                  <w:pPr>
                    <w:pStyle w:val="38"/>
                    <w:bidi w:val="0"/>
                    <w:rPr>
                      <w:rFonts w:hint="default"/>
                      <w:b w:val="0"/>
                      <w:color w:val="000000"/>
                    </w:rPr>
                  </w:pPr>
                  <w:r>
                    <w:rPr>
                      <w:rFonts w:hint="default"/>
                      <w:b w:val="0"/>
                      <w:color w:val="000000"/>
                    </w:rPr>
                    <w:t>1.66</w:t>
                  </w:r>
                </w:p>
              </w:tc>
              <w:tc>
                <w:tcPr>
                  <w:tcW w:w="396" w:type="pct"/>
                  <w:shd w:val="clear" w:color="auto" w:fill="auto"/>
                  <w:vAlign w:val="center"/>
                </w:tcPr>
                <w:p w14:paraId="48B69030">
                  <w:pPr>
                    <w:pStyle w:val="38"/>
                    <w:bidi w:val="0"/>
                    <w:rPr>
                      <w:rFonts w:hint="default"/>
                      <w:b w:val="0"/>
                      <w:color w:val="000000"/>
                    </w:rPr>
                  </w:pPr>
                  <w:r>
                    <w:rPr>
                      <w:rFonts w:hint="default"/>
                      <w:b w:val="0"/>
                      <w:color w:val="000000"/>
                    </w:rPr>
                    <w:t>1.67</w:t>
                  </w:r>
                </w:p>
              </w:tc>
              <w:tc>
                <w:tcPr>
                  <w:tcW w:w="425" w:type="pct"/>
                  <w:vMerge w:val="continue"/>
                  <w:shd w:val="clear" w:color="auto" w:fill="auto"/>
                  <w:vAlign w:val="center"/>
                </w:tcPr>
                <w:p w14:paraId="0C439104">
                  <w:pPr>
                    <w:pStyle w:val="38"/>
                    <w:bidi w:val="0"/>
                    <w:rPr>
                      <w:rFonts w:hint="default"/>
                      <w:b w:val="0"/>
                      <w:color w:val="000000"/>
                    </w:rPr>
                  </w:pPr>
                </w:p>
              </w:tc>
              <w:tc>
                <w:tcPr>
                  <w:tcW w:w="652" w:type="pct"/>
                  <w:vMerge w:val="continue"/>
                  <w:tcBorders>
                    <w:right w:val="nil"/>
                  </w:tcBorders>
                  <w:shd w:val="clear" w:color="auto" w:fill="auto"/>
                  <w:vAlign w:val="center"/>
                </w:tcPr>
                <w:p w14:paraId="22B47F5D">
                  <w:pPr>
                    <w:pStyle w:val="38"/>
                    <w:bidi w:val="0"/>
                    <w:rPr>
                      <w:rFonts w:hint="default"/>
                      <w:b w:val="0"/>
                      <w:color w:val="000000"/>
                    </w:rPr>
                  </w:pPr>
                </w:p>
              </w:tc>
            </w:tr>
            <w:tr w14:paraId="2E6B35B2">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628" w:hRule="atLeast"/>
              </w:trPr>
              <w:tc>
                <w:tcPr>
                  <w:tcW w:w="810" w:type="pct"/>
                  <w:vMerge w:val="continue"/>
                  <w:tcBorders>
                    <w:left w:val="nil"/>
                  </w:tcBorders>
                  <w:shd w:val="clear" w:color="auto" w:fill="auto"/>
                  <w:vAlign w:val="center"/>
                </w:tcPr>
                <w:p w14:paraId="0B244262">
                  <w:pPr>
                    <w:pStyle w:val="38"/>
                    <w:bidi w:val="0"/>
                    <w:rPr>
                      <w:rFonts w:hint="default"/>
                      <w:b w:val="0"/>
                      <w:color w:val="000000"/>
                    </w:rPr>
                  </w:pPr>
                </w:p>
              </w:tc>
              <w:tc>
                <w:tcPr>
                  <w:tcW w:w="1028" w:type="pct"/>
                  <w:vMerge w:val="continue"/>
                  <w:shd w:val="clear" w:color="auto" w:fill="auto"/>
                  <w:vAlign w:val="center"/>
                </w:tcPr>
                <w:p w14:paraId="44882D31">
                  <w:pPr>
                    <w:pStyle w:val="38"/>
                    <w:bidi w:val="0"/>
                    <w:rPr>
                      <w:rFonts w:hint="default"/>
                      <w:b w:val="0"/>
                      <w:color w:val="000000"/>
                    </w:rPr>
                  </w:pPr>
                </w:p>
              </w:tc>
              <w:tc>
                <w:tcPr>
                  <w:tcW w:w="895" w:type="pct"/>
                  <w:shd w:val="clear" w:color="auto" w:fill="auto"/>
                  <w:vAlign w:val="center"/>
                </w:tcPr>
                <w:p w14:paraId="6C3202FF">
                  <w:pPr>
                    <w:pStyle w:val="38"/>
                    <w:bidi w:val="0"/>
                    <w:rPr>
                      <w:rFonts w:hint="default"/>
                      <w:b w:val="0"/>
                      <w:color w:val="000000"/>
                    </w:rPr>
                  </w:pPr>
                  <w:r>
                    <w:rPr>
                      <w:rFonts w:hint="default"/>
                      <w:b w:val="0"/>
                      <w:color w:val="000000"/>
                    </w:rPr>
                    <w:t>Q4厂界下风向</w:t>
                  </w:r>
                </w:p>
              </w:tc>
              <w:tc>
                <w:tcPr>
                  <w:tcW w:w="396" w:type="pct"/>
                  <w:shd w:val="clear" w:color="auto" w:fill="auto"/>
                  <w:vAlign w:val="center"/>
                </w:tcPr>
                <w:p w14:paraId="429689AA">
                  <w:pPr>
                    <w:pStyle w:val="38"/>
                    <w:bidi w:val="0"/>
                    <w:rPr>
                      <w:rFonts w:hint="default"/>
                      <w:b w:val="0"/>
                      <w:color w:val="000000"/>
                    </w:rPr>
                  </w:pPr>
                  <w:r>
                    <w:rPr>
                      <w:rFonts w:hint="default"/>
                      <w:b w:val="0"/>
                      <w:color w:val="000000"/>
                    </w:rPr>
                    <w:t>1.74</w:t>
                  </w:r>
                </w:p>
              </w:tc>
              <w:tc>
                <w:tcPr>
                  <w:tcW w:w="396" w:type="pct"/>
                  <w:shd w:val="clear" w:color="auto" w:fill="auto"/>
                  <w:vAlign w:val="center"/>
                </w:tcPr>
                <w:p w14:paraId="54571BEB">
                  <w:pPr>
                    <w:pStyle w:val="38"/>
                    <w:bidi w:val="0"/>
                    <w:rPr>
                      <w:rFonts w:hint="default"/>
                      <w:b w:val="0"/>
                      <w:color w:val="000000"/>
                    </w:rPr>
                  </w:pPr>
                  <w:r>
                    <w:rPr>
                      <w:rFonts w:hint="default"/>
                      <w:b w:val="0"/>
                      <w:color w:val="000000"/>
                    </w:rPr>
                    <w:t>1.70</w:t>
                  </w:r>
                </w:p>
              </w:tc>
              <w:tc>
                <w:tcPr>
                  <w:tcW w:w="396" w:type="pct"/>
                  <w:shd w:val="clear" w:color="auto" w:fill="auto"/>
                  <w:vAlign w:val="center"/>
                </w:tcPr>
                <w:p w14:paraId="1D5EB47E">
                  <w:pPr>
                    <w:pStyle w:val="38"/>
                    <w:bidi w:val="0"/>
                    <w:rPr>
                      <w:rFonts w:hint="default"/>
                      <w:b w:val="0"/>
                      <w:color w:val="000000"/>
                    </w:rPr>
                  </w:pPr>
                  <w:r>
                    <w:rPr>
                      <w:rFonts w:hint="default"/>
                      <w:b w:val="0"/>
                      <w:color w:val="000000"/>
                    </w:rPr>
                    <w:t>1.69</w:t>
                  </w:r>
                </w:p>
              </w:tc>
              <w:tc>
                <w:tcPr>
                  <w:tcW w:w="425" w:type="pct"/>
                  <w:vMerge w:val="continue"/>
                  <w:shd w:val="clear" w:color="auto" w:fill="auto"/>
                  <w:vAlign w:val="center"/>
                </w:tcPr>
                <w:p w14:paraId="364222C8">
                  <w:pPr>
                    <w:pStyle w:val="38"/>
                    <w:bidi w:val="0"/>
                    <w:rPr>
                      <w:rFonts w:hint="default"/>
                      <w:b w:val="0"/>
                      <w:color w:val="000000"/>
                    </w:rPr>
                  </w:pPr>
                </w:p>
              </w:tc>
              <w:tc>
                <w:tcPr>
                  <w:tcW w:w="652" w:type="pct"/>
                  <w:vMerge w:val="continue"/>
                  <w:tcBorders>
                    <w:right w:val="nil"/>
                  </w:tcBorders>
                  <w:shd w:val="clear" w:color="auto" w:fill="auto"/>
                  <w:vAlign w:val="center"/>
                </w:tcPr>
                <w:p w14:paraId="6508AC83">
                  <w:pPr>
                    <w:pStyle w:val="38"/>
                    <w:bidi w:val="0"/>
                    <w:rPr>
                      <w:rFonts w:hint="default"/>
                      <w:b w:val="0"/>
                      <w:color w:val="000000"/>
                    </w:rPr>
                  </w:pPr>
                </w:p>
              </w:tc>
            </w:tr>
            <w:tr w14:paraId="16D790C7">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28" w:hRule="atLeast"/>
              </w:trPr>
              <w:tc>
                <w:tcPr>
                  <w:tcW w:w="810" w:type="pct"/>
                  <w:vMerge w:val="restart"/>
                  <w:tcBorders>
                    <w:left w:val="nil"/>
                  </w:tcBorders>
                  <w:shd w:val="clear" w:color="auto" w:fill="auto"/>
                  <w:vAlign w:val="center"/>
                </w:tcPr>
                <w:p w14:paraId="3D33D2B0">
                  <w:pPr>
                    <w:pStyle w:val="38"/>
                    <w:bidi w:val="0"/>
                    <w:rPr>
                      <w:rFonts w:hint="default"/>
                      <w:b w:val="0"/>
                      <w:color w:val="000000"/>
                    </w:rPr>
                  </w:pPr>
                  <w:r>
                    <w:rPr>
                      <w:rFonts w:hint="default"/>
                      <w:b w:val="0"/>
                      <w:color w:val="000000"/>
                    </w:rPr>
                    <w:t>2023年10月22日</w:t>
                  </w:r>
                </w:p>
              </w:tc>
              <w:tc>
                <w:tcPr>
                  <w:tcW w:w="1028" w:type="pct"/>
                  <w:vMerge w:val="restart"/>
                  <w:shd w:val="clear" w:color="auto" w:fill="auto"/>
                  <w:vAlign w:val="center"/>
                </w:tcPr>
                <w:p w14:paraId="549199E5">
                  <w:pPr>
                    <w:pStyle w:val="38"/>
                    <w:bidi w:val="0"/>
                    <w:rPr>
                      <w:rFonts w:hint="default"/>
                      <w:b w:val="0"/>
                      <w:color w:val="000000"/>
                    </w:rPr>
                  </w:pPr>
                  <w:r>
                    <w:rPr>
                      <w:rFonts w:hint="default"/>
                      <w:b w:val="0"/>
                      <w:color w:val="000000"/>
                    </w:rPr>
                    <w:t>颗粒物</w:t>
                  </w:r>
                </w:p>
              </w:tc>
              <w:tc>
                <w:tcPr>
                  <w:tcW w:w="895" w:type="pct"/>
                  <w:shd w:val="clear" w:color="auto" w:fill="auto"/>
                  <w:vAlign w:val="center"/>
                </w:tcPr>
                <w:p w14:paraId="16B80125">
                  <w:pPr>
                    <w:pStyle w:val="38"/>
                    <w:bidi w:val="0"/>
                    <w:rPr>
                      <w:rFonts w:hint="default"/>
                      <w:b w:val="0"/>
                      <w:color w:val="000000"/>
                    </w:rPr>
                  </w:pPr>
                  <w:r>
                    <w:rPr>
                      <w:rFonts w:hint="default"/>
                      <w:b w:val="0"/>
                      <w:color w:val="000000"/>
                    </w:rPr>
                    <w:t>Q1厂界上风向</w:t>
                  </w:r>
                </w:p>
              </w:tc>
              <w:tc>
                <w:tcPr>
                  <w:tcW w:w="396" w:type="pct"/>
                  <w:shd w:val="clear" w:color="auto" w:fill="auto"/>
                  <w:vAlign w:val="center"/>
                </w:tcPr>
                <w:p w14:paraId="494F887B">
                  <w:pPr>
                    <w:pStyle w:val="38"/>
                    <w:bidi w:val="0"/>
                    <w:rPr>
                      <w:rFonts w:hint="default"/>
                      <w:b w:val="0"/>
                      <w:color w:val="000000"/>
                    </w:rPr>
                  </w:pPr>
                  <w:r>
                    <w:rPr>
                      <w:rFonts w:hint="default"/>
                      <w:b w:val="0"/>
                      <w:color w:val="000000"/>
                    </w:rPr>
                    <w:t>&lt;0.167</w:t>
                  </w:r>
                </w:p>
              </w:tc>
              <w:tc>
                <w:tcPr>
                  <w:tcW w:w="396" w:type="pct"/>
                  <w:shd w:val="clear" w:color="auto" w:fill="auto"/>
                  <w:vAlign w:val="center"/>
                </w:tcPr>
                <w:p w14:paraId="4820CB58">
                  <w:pPr>
                    <w:pStyle w:val="38"/>
                    <w:bidi w:val="0"/>
                    <w:rPr>
                      <w:rFonts w:hint="default"/>
                      <w:b w:val="0"/>
                      <w:color w:val="000000"/>
                    </w:rPr>
                  </w:pPr>
                  <w:r>
                    <w:rPr>
                      <w:rFonts w:hint="default"/>
                      <w:b w:val="0"/>
                      <w:color w:val="000000"/>
                    </w:rPr>
                    <w:t>&lt;0.167</w:t>
                  </w:r>
                </w:p>
              </w:tc>
              <w:tc>
                <w:tcPr>
                  <w:tcW w:w="396" w:type="pct"/>
                  <w:shd w:val="clear" w:color="auto" w:fill="auto"/>
                  <w:vAlign w:val="center"/>
                </w:tcPr>
                <w:p w14:paraId="658CD2C8">
                  <w:pPr>
                    <w:pStyle w:val="38"/>
                    <w:bidi w:val="0"/>
                    <w:rPr>
                      <w:rFonts w:hint="default"/>
                      <w:b w:val="0"/>
                      <w:color w:val="000000"/>
                    </w:rPr>
                  </w:pPr>
                  <w:r>
                    <w:rPr>
                      <w:rFonts w:hint="default"/>
                      <w:b w:val="0"/>
                      <w:color w:val="000000"/>
                    </w:rPr>
                    <w:t>&lt;0.167</w:t>
                  </w:r>
                </w:p>
              </w:tc>
              <w:tc>
                <w:tcPr>
                  <w:tcW w:w="425" w:type="pct"/>
                  <w:vMerge w:val="restart"/>
                  <w:shd w:val="clear" w:color="auto" w:fill="auto"/>
                  <w:vAlign w:val="center"/>
                </w:tcPr>
                <w:p w14:paraId="75BD7AC5">
                  <w:pPr>
                    <w:pStyle w:val="38"/>
                    <w:bidi w:val="0"/>
                    <w:rPr>
                      <w:rFonts w:hint="default"/>
                      <w:b w:val="0"/>
                      <w:color w:val="000000"/>
                    </w:rPr>
                  </w:pPr>
                  <w:r>
                    <w:rPr>
                      <w:rFonts w:hint="default"/>
                      <w:b w:val="0"/>
                      <w:color w:val="000000"/>
                    </w:rPr>
                    <w:t>&lt;0.167</w:t>
                  </w:r>
                </w:p>
              </w:tc>
              <w:tc>
                <w:tcPr>
                  <w:tcW w:w="652" w:type="pct"/>
                  <w:vMerge w:val="restart"/>
                  <w:tcBorders>
                    <w:right w:val="nil"/>
                  </w:tcBorders>
                  <w:shd w:val="clear" w:color="auto" w:fill="auto"/>
                  <w:vAlign w:val="center"/>
                </w:tcPr>
                <w:p w14:paraId="3575F92B">
                  <w:pPr>
                    <w:pStyle w:val="38"/>
                    <w:bidi w:val="0"/>
                    <w:rPr>
                      <w:rFonts w:hint="default"/>
                      <w:b w:val="0"/>
                      <w:color w:val="000000"/>
                    </w:rPr>
                  </w:pPr>
                  <w:r>
                    <w:rPr>
                      <w:rFonts w:hint="default"/>
                      <w:b w:val="0"/>
                      <w:color w:val="000000"/>
                    </w:rPr>
                    <w:t>1.0</w:t>
                  </w:r>
                </w:p>
              </w:tc>
            </w:tr>
            <w:tr w14:paraId="3176C7A9">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28" w:hRule="atLeast"/>
              </w:trPr>
              <w:tc>
                <w:tcPr>
                  <w:tcW w:w="810" w:type="pct"/>
                  <w:vMerge w:val="continue"/>
                  <w:tcBorders>
                    <w:left w:val="nil"/>
                  </w:tcBorders>
                  <w:shd w:val="clear" w:color="auto" w:fill="auto"/>
                  <w:vAlign w:val="center"/>
                </w:tcPr>
                <w:p w14:paraId="0A4F428D">
                  <w:pPr>
                    <w:pStyle w:val="38"/>
                    <w:bidi w:val="0"/>
                    <w:rPr>
                      <w:rFonts w:hint="default"/>
                      <w:b w:val="0"/>
                      <w:color w:val="000000"/>
                    </w:rPr>
                  </w:pPr>
                </w:p>
              </w:tc>
              <w:tc>
                <w:tcPr>
                  <w:tcW w:w="1028" w:type="pct"/>
                  <w:vMerge w:val="continue"/>
                  <w:shd w:val="clear" w:color="auto" w:fill="auto"/>
                  <w:vAlign w:val="center"/>
                </w:tcPr>
                <w:p w14:paraId="6D1810AD">
                  <w:pPr>
                    <w:pStyle w:val="38"/>
                    <w:bidi w:val="0"/>
                    <w:rPr>
                      <w:rFonts w:hint="default"/>
                      <w:b w:val="0"/>
                      <w:color w:val="000000"/>
                    </w:rPr>
                  </w:pPr>
                </w:p>
              </w:tc>
              <w:tc>
                <w:tcPr>
                  <w:tcW w:w="895" w:type="pct"/>
                  <w:shd w:val="clear" w:color="auto" w:fill="auto"/>
                  <w:vAlign w:val="center"/>
                </w:tcPr>
                <w:p w14:paraId="2FD39487">
                  <w:pPr>
                    <w:pStyle w:val="38"/>
                    <w:bidi w:val="0"/>
                    <w:rPr>
                      <w:rFonts w:hint="default"/>
                      <w:b w:val="0"/>
                      <w:color w:val="000000"/>
                    </w:rPr>
                  </w:pPr>
                  <w:r>
                    <w:rPr>
                      <w:rFonts w:hint="default"/>
                      <w:b w:val="0"/>
                      <w:color w:val="000000"/>
                    </w:rPr>
                    <w:t>Q2厂界下风向</w:t>
                  </w:r>
                </w:p>
              </w:tc>
              <w:tc>
                <w:tcPr>
                  <w:tcW w:w="396" w:type="pct"/>
                  <w:shd w:val="clear" w:color="auto" w:fill="auto"/>
                  <w:vAlign w:val="center"/>
                </w:tcPr>
                <w:p w14:paraId="3CF8803B">
                  <w:pPr>
                    <w:pStyle w:val="38"/>
                    <w:bidi w:val="0"/>
                    <w:rPr>
                      <w:rFonts w:hint="default"/>
                      <w:b w:val="0"/>
                      <w:color w:val="000000"/>
                    </w:rPr>
                  </w:pPr>
                  <w:r>
                    <w:rPr>
                      <w:rFonts w:hint="default"/>
                      <w:b w:val="0"/>
                      <w:color w:val="000000"/>
                    </w:rPr>
                    <w:t>&lt;0.167</w:t>
                  </w:r>
                </w:p>
              </w:tc>
              <w:tc>
                <w:tcPr>
                  <w:tcW w:w="396" w:type="pct"/>
                  <w:shd w:val="clear" w:color="auto" w:fill="auto"/>
                  <w:vAlign w:val="center"/>
                </w:tcPr>
                <w:p w14:paraId="006B34F9">
                  <w:pPr>
                    <w:pStyle w:val="38"/>
                    <w:bidi w:val="0"/>
                    <w:rPr>
                      <w:rFonts w:hint="default"/>
                      <w:b w:val="0"/>
                      <w:color w:val="000000"/>
                    </w:rPr>
                  </w:pPr>
                  <w:r>
                    <w:rPr>
                      <w:rFonts w:hint="default"/>
                      <w:b w:val="0"/>
                      <w:color w:val="000000"/>
                    </w:rPr>
                    <w:t>&lt;0.167</w:t>
                  </w:r>
                </w:p>
              </w:tc>
              <w:tc>
                <w:tcPr>
                  <w:tcW w:w="396" w:type="pct"/>
                  <w:shd w:val="clear" w:color="auto" w:fill="auto"/>
                  <w:vAlign w:val="center"/>
                </w:tcPr>
                <w:p w14:paraId="2938336A">
                  <w:pPr>
                    <w:pStyle w:val="38"/>
                    <w:bidi w:val="0"/>
                    <w:rPr>
                      <w:rFonts w:hint="default"/>
                      <w:b w:val="0"/>
                      <w:color w:val="000000"/>
                    </w:rPr>
                  </w:pPr>
                  <w:r>
                    <w:rPr>
                      <w:rFonts w:hint="default"/>
                      <w:b w:val="0"/>
                      <w:color w:val="000000"/>
                    </w:rPr>
                    <w:t>&lt;0.167</w:t>
                  </w:r>
                </w:p>
              </w:tc>
              <w:tc>
                <w:tcPr>
                  <w:tcW w:w="425" w:type="pct"/>
                  <w:vMerge w:val="continue"/>
                  <w:shd w:val="clear" w:color="auto" w:fill="auto"/>
                  <w:vAlign w:val="center"/>
                </w:tcPr>
                <w:p w14:paraId="3BA99681">
                  <w:pPr>
                    <w:pStyle w:val="38"/>
                    <w:bidi w:val="0"/>
                    <w:rPr>
                      <w:rFonts w:hint="default"/>
                      <w:b w:val="0"/>
                      <w:color w:val="000000"/>
                    </w:rPr>
                  </w:pPr>
                </w:p>
              </w:tc>
              <w:tc>
                <w:tcPr>
                  <w:tcW w:w="652" w:type="pct"/>
                  <w:vMerge w:val="continue"/>
                  <w:tcBorders>
                    <w:right w:val="nil"/>
                  </w:tcBorders>
                  <w:shd w:val="clear" w:color="auto" w:fill="auto"/>
                  <w:vAlign w:val="center"/>
                </w:tcPr>
                <w:p w14:paraId="4F444405">
                  <w:pPr>
                    <w:pStyle w:val="38"/>
                    <w:bidi w:val="0"/>
                    <w:rPr>
                      <w:rFonts w:hint="default"/>
                      <w:b w:val="0"/>
                      <w:color w:val="000000"/>
                    </w:rPr>
                  </w:pPr>
                </w:p>
              </w:tc>
            </w:tr>
            <w:tr w14:paraId="64C537D6">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28" w:hRule="atLeast"/>
              </w:trPr>
              <w:tc>
                <w:tcPr>
                  <w:tcW w:w="810" w:type="pct"/>
                  <w:vMerge w:val="continue"/>
                  <w:tcBorders>
                    <w:left w:val="nil"/>
                  </w:tcBorders>
                  <w:shd w:val="clear" w:color="auto" w:fill="auto"/>
                  <w:vAlign w:val="center"/>
                </w:tcPr>
                <w:p w14:paraId="5942BE45">
                  <w:pPr>
                    <w:pStyle w:val="38"/>
                    <w:bidi w:val="0"/>
                    <w:rPr>
                      <w:rFonts w:hint="default"/>
                      <w:b w:val="0"/>
                      <w:color w:val="000000"/>
                    </w:rPr>
                  </w:pPr>
                </w:p>
              </w:tc>
              <w:tc>
                <w:tcPr>
                  <w:tcW w:w="1028" w:type="pct"/>
                  <w:vMerge w:val="continue"/>
                  <w:shd w:val="clear" w:color="auto" w:fill="auto"/>
                  <w:vAlign w:val="center"/>
                </w:tcPr>
                <w:p w14:paraId="3785D2EB">
                  <w:pPr>
                    <w:pStyle w:val="38"/>
                    <w:bidi w:val="0"/>
                    <w:rPr>
                      <w:rFonts w:hint="default"/>
                      <w:b w:val="0"/>
                      <w:color w:val="000000"/>
                    </w:rPr>
                  </w:pPr>
                </w:p>
              </w:tc>
              <w:tc>
                <w:tcPr>
                  <w:tcW w:w="895" w:type="pct"/>
                  <w:shd w:val="clear" w:color="auto" w:fill="auto"/>
                  <w:vAlign w:val="center"/>
                </w:tcPr>
                <w:p w14:paraId="300F87E7">
                  <w:pPr>
                    <w:pStyle w:val="38"/>
                    <w:bidi w:val="0"/>
                    <w:rPr>
                      <w:rFonts w:hint="default"/>
                      <w:b w:val="0"/>
                      <w:color w:val="000000"/>
                    </w:rPr>
                  </w:pPr>
                  <w:r>
                    <w:rPr>
                      <w:rFonts w:hint="default"/>
                      <w:b w:val="0"/>
                      <w:color w:val="000000"/>
                    </w:rPr>
                    <w:t>Q3厂界下风向</w:t>
                  </w:r>
                </w:p>
              </w:tc>
              <w:tc>
                <w:tcPr>
                  <w:tcW w:w="396" w:type="pct"/>
                  <w:shd w:val="clear" w:color="auto" w:fill="auto"/>
                  <w:vAlign w:val="center"/>
                </w:tcPr>
                <w:p w14:paraId="117BD510">
                  <w:pPr>
                    <w:pStyle w:val="38"/>
                    <w:bidi w:val="0"/>
                    <w:rPr>
                      <w:rFonts w:hint="default"/>
                      <w:b w:val="0"/>
                      <w:color w:val="000000"/>
                    </w:rPr>
                  </w:pPr>
                  <w:r>
                    <w:rPr>
                      <w:rFonts w:hint="default"/>
                      <w:b w:val="0"/>
                      <w:color w:val="000000"/>
                    </w:rPr>
                    <w:t>&lt;0.167</w:t>
                  </w:r>
                </w:p>
              </w:tc>
              <w:tc>
                <w:tcPr>
                  <w:tcW w:w="396" w:type="pct"/>
                  <w:shd w:val="clear" w:color="auto" w:fill="auto"/>
                  <w:vAlign w:val="center"/>
                </w:tcPr>
                <w:p w14:paraId="17577B2B">
                  <w:pPr>
                    <w:pStyle w:val="38"/>
                    <w:bidi w:val="0"/>
                    <w:rPr>
                      <w:rFonts w:hint="default"/>
                      <w:b w:val="0"/>
                      <w:color w:val="000000"/>
                    </w:rPr>
                  </w:pPr>
                  <w:r>
                    <w:rPr>
                      <w:rFonts w:hint="default"/>
                      <w:b w:val="0"/>
                      <w:color w:val="000000"/>
                    </w:rPr>
                    <w:t>&lt;0.167</w:t>
                  </w:r>
                </w:p>
              </w:tc>
              <w:tc>
                <w:tcPr>
                  <w:tcW w:w="396" w:type="pct"/>
                  <w:shd w:val="clear" w:color="auto" w:fill="auto"/>
                  <w:vAlign w:val="center"/>
                </w:tcPr>
                <w:p w14:paraId="43A76C9A">
                  <w:pPr>
                    <w:pStyle w:val="38"/>
                    <w:bidi w:val="0"/>
                    <w:rPr>
                      <w:rFonts w:hint="default"/>
                      <w:b w:val="0"/>
                      <w:color w:val="000000"/>
                    </w:rPr>
                  </w:pPr>
                  <w:r>
                    <w:rPr>
                      <w:rFonts w:hint="default"/>
                      <w:b w:val="0"/>
                      <w:color w:val="000000"/>
                    </w:rPr>
                    <w:t>&lt;0.167</w:t>
                  </w:r>
                </w:p>
              </w:tc>
              <w:tc>
                <w:tcPr>
                  <w:tcW w:w="425" w:type="pct"/>
                  <w:vMerge w:val="continue"/>
                  <w:shd w:val="clear" w:color="auto" w:fill="auto"/>
                  <w:vAlign w:val="center"/>
                </w:tcPr>
                <w:p w14:paraId="4D73700E">
                  <w:pPr>
                    <w:pStyle w:val="38"/>
                    <w:bidi w:val="0"/>
                    <w:rPr>
                      <w:rFonts w:hint="default"/>
                      <w:b w:val="0"/>
                      <w:color w:val="000000"/>
                    </w:rPr>
                  </w:pPr>
                </w:p>
              </w:tc>
              <w:tc>
                <w:tcPr>
                  <w:tcW w:w="652" w:type="pct"/>
                  <w:vMerge w:val="continue"/>
                  <w:tcBorders>
                    <w:right w:val="nil"/>
                  </w:tcBorders>
                  <w:shd w:val="clear" w:color="auto" w:fill="auto"/>
                  <w:vAlign w:val="center"/>
                </w:tcPr>
                <w:p w14:paraId="2C6A4E1D">
                  <w:pPr>
                    <w:pStyle w:val="38"/>
                    <w:bidi w:val="0"/>
                    <w:rPr>
                      <w:rFonts w:hint="default"/>
                      <w:b w:val="0"/>
                      <w:color w:val="000000"/>
                    </w:rPr>
                  </w:pPr>
                </w:p>
              </w:tc>
            </w:tr>
            <w:tr w14:paraId="2B2EE655">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28" w:hRule="atLeast"/>
              </w:trPr>
              <w:tc>
                <w:tcPr>
                  <w:tcW w:w="810" w:type="pct"/>
                  <w:vMerge w:val="continue"/>
                  <w:tcBorders>
                    <w:left w:val="nil"/>
                  </w:tcBorders>
                  <w:shd w:val="clear" w:color="auto" w:fill="auto"/>
                  <w:vAlign w:val="center"/>
                </w:tcPr>
                <w:p w14:paraId="311ACE77">
                  <w:pPr>
                    <w:pStyle w:val="38"/>
                    <w:bidi w:val="0"/>
                    <w:rPr>
                      <w:rFonts w:hint="default"/>
                      <w:b w:val="0"/>
                      <w:color w:val="000000"/>
                    </w:rPr>
                  </w:pPr>
                </w:p>
              </w:tc>
              <w:tc>
                <w:tcPr>
                  <w:tcW w:w="1028" w:type="pct"/>
                  <w:vMerge w:val="continue"/>
                  <w:shd w:val="clear" w:color="auto" w:fill="auto"/>
                  <w:vAlign w:val="center"/>
                </w:tcPr>
                <w:p w14:paraId="1303B552">
                  <w:pPr>
                    <w:pStyle w:val="38"/>
                    <w:bidi w:val="0"/>
                    <w:rPr>
                      <w:rFonts w:hint="default"/>
                      <w:b w:val="0"/>
                      <w:color w:val="000000"/>
                    </w:rPr>
                  </w:pPr>
                </w:p>
              </w:tc>
              <w:tc>
                <w:tcPr>
                  <w:tcW w:w="895" w:type="pct"/>
                  <w:shd w:val="clear" w:color="auto" w:fill="auto"/>
                  <w:vAlign w:val="center"/>
                </w:tcPr>
                <w:p w14:paraId="21185CAC">
                  <w:pPr>
                    <w:pStyle w:val="38"/>
                    <w:bidi w:val="0"/>
                    <w:rPr>
                      <w:rFonts w:hint="default"/>
                      <w:b w:val="0"/>
                      <w:color w:val="000000"/>
                    </w:rPr>
                  </w:pPr>
                  <w:r>
                    <w:rPr>
                      <w:rFonts w:hint="default"/>
                      <w:b w:val="0"/>
                      <w:color w:val="000000"/>
                    </w:rPr>
                    <w:t>Q4厂界下风向</w:t>
                  </w:r>
                </w:p>
              </w:tc>
              <w:tc>
                <w:tcPr>
                  <w:tcW w:w="396" w:type="pct"/>
                  <w:shd w:val="clear" w:color="auto" w:fill="auto"/>
                  <w:vAlign w:val="center"/>
                </w:tcPr>
                <w:p w14:paraId="1E4D5A32">
                  <w:pPr>
                    <w:pStyle w:val="38"/>
                    <w:bidi w:val="0"/>
                    <w:rPr>
                      <w:rFonts w:hint="default"/>
                      <w:b w:val="0"/>
                      <w:color w:val="000000"/>
                    </w:rPr>
                  </w:pPr>
                  <w:r>
                    <w:rPr>
                      <w:rFonts w:hint="default"/>
                      <w:b w:val="0"/>
                      <w:color w:val="000000"/>
                    </w:rPr>
                    <w:t>&lt;0.167</w:t>
                  </w:r>
                </w:p>
              </w:tc>
              <w:tc>
                <w:tcPr>
                  <w:tcW w:w="396" w:type="pct"/>
                  <w:shd w:val="clear" w:color="auto" w:fill="auto"/>
                  <w:vAlign w:val="center"/>
                </w:tcPr>
                <w:p w14:paraId="3B65FCD2">
                  <w:pPr>
                    <w:pStyle w:val="38"/>
                    <w:bidi w:val="0"/>
                    <w:rPr>
                      <w:rFonts w:hint="default"/>
                      <w:b w:val="0"/>
                      <w:color w:val="000000"/>
                    </w:rPr>
                  </w:pPr>
                  <w:r>
                    <w:rPr>
                      <w:rFonts w:hint="default"/>
                      <w:b w:val="0"/>
                      <w:color w:val="000000"/>
                    </w:rPr>
                    <w:t>&lt;0.167</w:t>
                  </w:r>
                </w:p>
              </w:tc>
              <w:tc>
                <w:tcPr>
                  <w:tcW w:w="396" w:type="pct"/>
                  <w:shd w:val="clear" w:color="auto" w:fill="auto"/>
                  <w:vAlign w:val="center"/>
                </w:tcPr>
                <w:p w14:paraId="3D97A36B">
                  <w:pPr>
                    <w:pStyle w:val="38"/>
                    <w:bidi w:val="0"/>
                    <w:rPr>
                      <w:rFonts w:hint="default"/>
                      <w:b w:val="0"/>
                      <w:color w:val="000000"/>
                    </w:rPr>
                  </w:pPr>
                  <w:r>
                    <w:rPr>
                      <w:rFonts w:hint="default"/>
                      <w:b w:val="0"/>
                      <w:color w:val="000000"/>
                    </w:rPr>
                    <w:t>&lt;0.167</w:t>
                  </w:r>
                </w:p>
              </w:tc>
              <w:tc>
                <w:tcPr>
                  <w:tcW w:w="425" w:type="pct"/>
                  <w:vMerge w:val="continue"/>
                  <w:shd w:val="clear" w:color="auto" w:fill="auto"/>
                  <w:vAlign w:val="center"/>
                </w:tcPr>
                <w:p w14:paraId="292DDB4B">
                  <w:pPr>
                    <w:pStyle w:val="38"/>
                    <w:bidi w:val="0"/>
                    <w:rPr>
                      <w:rFonts w:hint="default"/>
                      <w:b w:val="0"/>
                      <w:color w:val="000000"/>
                    </w:rPr>
                  </w:pPr>
                </w:p>
              </w:tc>
              <w:tc>
                <w:tcPr>
                  <w:tcW w:w="652" w:type="pct"/>
                  <w:vMerge w:val="continue"/>
                  <w:tcBorders>
                    <w:right w:val="nil"/>
                  </w:tcBorders>
                  <w:shd w:val="clear" w:color="auto" w:fill="auto"/>
                  <w:vAlign w:val="center"/>
                </w:tcPr>
                <w:p w14:paraId="553534F1">
                  <w:pPr>
                    <w:pStyle w:val="38"/>
                    <w:bidi w:val="0"/>
                    <w:rPr>
                      <w:rFonts w:hint="default"/>
                      <w:b w:val="0"/>
                      <w:color w:val="000000"/>
                    </w:rPr>
                  </w:pPr>
                </w:p>
              </w:tc>
            </w:tr>
            <w:tr w14:paraId="7A4C4FE5">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27" w:hRule="atLeast"/>
              </w:trPr>
              <w:tc>
                <w:tcPr>
                  <w:tcW w:w="810" w:type="pct"/>
                  <w:vMerge w:val="continue"/>
                  <w:tcBorders>
                    <w:left w:val="nil"/>
                  </w:tcBorders>
                  <w:shd w:val="clear" w:color="auto" w:fill="auto"/>
                  <w:vAlign w:val="center"/>
                </w:tcPr>
                <w:p w14:paraId="2538DC4E">
                  <w:pPr>
                    <w:pStyle w:val="38"/>
                    <w:bidi w:val="0"/>
                    <w:rPr>
                      <w:rFonts w:hint="default"/>
                      <w:b w:val="0"/>
                      <w:color w:val="000000"/>
                    </w:rPr>
                  </w:pPr>
                </w:p>
              </w:tc>
              <w:tc>
                <w:tcPr>
                  <w:tcW w:w="1028" w:type="pct"/>
                  <w:vMerge w:val="restart"/>
                  <w:shd w:val="clear" w:color="auto" w:fill="auto"/>
                  <w:vAlign w:val="center"/>
                </w:tcPr>
                <w:p w14:paraId="159AC85E">
                  <w:pPr>
                    <w:pStyle w:val="38"/>
                    <w:bidi w:val="0"/>
                    <w:rPr>
                      <w:rFonts w:hint="default"/>
                      <w:b w:val="0"/>
                      <w:color w:val="000000"/>
                    </w:rPr>
                  </w:pPr>
                  <w:r>
                    <w:rPr>
                      <w:rFonts w:hint="default"/>
                      <w:b w:val="0"/>
                      <w:color w:val="000000"/>
                    </w:rPr>
                    <w:t>非甲烷总烃</w:t>
                  </w:r>
                </w:p>
              </w:tc>
              <w:tc>
                <w:tcPr>
                  <w:tcW w:w="895" w:type="pct"/>
                  <w:shd w:val="clear" w:color="auto" w:fill="auto"/>
                  <w:vAlign w:val="center"/>
                </w:tcPr>
                <w:p w14:paraId="4EDC914F">
                  <w:pPr>
                    <w:pStyle w:val="38"/>
                    <w:bidi w:val="0"/>
                    <w:rPr>
                      <w:rFonts w:hint="default"/>
                      <w:b w:val="0"/>
                      <w:color w:val="000000"/>
                    </w:rPr>
                  </w:pPr>
                  <w:r>
                    <w:rPr>
                      <w:rFonts w:hint="default"/>
                      <w:b w:val="0"/>
                      <w:color w:val="000000"/>
                    </w:rPr>
                    <w:t>Q1厂界上风向</w:t>
                  </w:r>
                </w:p>
              </w:tc>
              <w:tc>
                <w:tcPr>
                  <w:tcW w:w="396" w:type="pct"/>
                  <w:shd w:val="clear" w:color="auto" w:fill="auto"/>
                  <w:vAlign w:val="center"/>
                </w:tcPr>
                <w:p w14:paraId="3231D46B">
                  <w:pPr>
                    <w:pStyle w:val="38"/>
                    <w:bidi w:val="0"/>
                    <w:rPr>
                      <w:rFonts w:hint="default"/>
                      <w:b w:val="0"/>
                      <w:color w:val="000000"/>
                    </w:rPr>
                  </w:pPr>
                  <w:r>
                    <w:rPr>
                      <w:rFonts w:hint="default"/>
                      <w:b w:val="0"/>
                      <w:color w:val="000000"/>
                    </w:rPr>
                    <w:t>1.02</w:t>
                  </w:r>
                </w:p>
              </w:tc>
              <w:tc>
                <w:tcPr>
                  <w:tcW w:w="396" w:type="pct"/>
                  <w:shd w:val="clear" w:color="auto" w:fill="auto"/>
                  <w:vAlign w:val="center"/>
                </w:tcPr>
                <w:p w14:paraId="04C14DE3">
                  <w:pPr>
                    <w:pStyle w:val="38"/>
                    <w:bidi w:val="0"/>
                    <w:rPr>
                      <w:rFonts w:hint="default"/>
                      <w:b w:val="0"/>
                      <w:color w:val="000000"/>
                    </w:rPr>
                  </w:pPr>
                  <w:r>
                    <w:rPr>
                      <w:rFonts w:hint="default"/>
                      <w:b w:val="0"/>
                      <w:color w:val="000000"/>
                    </w:rPr>
                    <w:t>0.99</w:t>
                  </w:r>
                </w:p>
              </w:tc>
              <w:tc>
                <w:tcPr>
                  <w:tcW w:w="396" w:type="pct"/>
                  <w:shd w:val="clear" w:color="auto" w:fill="auto"/>
                  <w:vAlign w:val="center"/>
                </w:tcPr>
                <w:p w14:paraId="6CB9F0E6">
                  <w:pPr>
                    <w:pStyle w:val="38"/>
                    <w:bidi w:val="0"/>
                    <w:rPr>
                      <w:rFonts w:hint="default"/>
                      <w:b w:val="0"/>
                      <w:color w:val="000000"/>
                    </w:rPr>
                  </w:pPr>
                  <w:r>
                    <w:rPr>
                      <w:rFonts w:hint="default"/>
                      <w:b w:val="0"/>
                      <w:color w:val="000000"/>
                    </w:rPr>
                    <w:t>1.07</w:t>
                  </w:r>
                </w:p>
              </w:tc>
              <w:tc>
                <w:tcPr>
                  <w:tcW w:w="425" w:type="pct"/>
                  <w:vMerge w:val="restart"/>
                  <w:shd w:val="clear" w:color="auto" w:fill="auto"/>
                  <w:vAlign w:val="center"/>
                </w:tcPr>
                <w:p w14:paraId="1FE0EA93">
                  <w:pPr>
                    <w:pStyle w:val="38"/>
                    <w:bidi w:val="0"/>
                    <w:rPr>
                      <w:rFonts w:hint="default"/>
                      <w:b w:val="0"/>
                      <w:color w:val="000000"/>
                    </w:rPr>
                  </w:pPr>
                  <w:r>
                    <w:rPr>
                      <w:rFonts w:hint="default"/>
                      <w:b w:val="0"/>
                      <w:color w:val="000000"/>
                    </w:rPr>
                    <w:t>1.67</w:t>
                  </w:r>
                </w:p>
              </w:tc>
              <w:tc>
                <w:tcPr>
                  <w:tcW w:w="652" w:type="pct"/>
                  <w:vMerge w:val="restart"/>
                  <w:tcBorders>
                    <w:right w:val="nil"/>
                  </w:tcBorders>
                  <w:shd w:val="clear" w:color="auto" w:fill="auto"/>
                  <w:vAlign w:val="center"/>
                </w:tcPr>
                <w:p w14:paraId="0C76F8E4">
                  <w:pPr>
                    <w:pStyle w:val="38"/>
                    <w:bidi w:val="0"/>
                    <w:rPr>
                      <w:rFonts w:hint="default"/>
                      <w:b w:val="0"/>
                      <w:color w:val="000000"/>
                    </w:rPr>
                  </w:pPr>
                  <w:r>
                    <w:rPr>
                      <w:rFonts w:hint="default"/>
                      <w:b w:val="0"/>
                      <w:color w:val="000000"/>
                    </w:rPr>
                    <w:t>2.0</w:t>
                  </w:r>
                </w:p>
              </w:tc>
            </w:tr>
            <w:tr w14:paraId="07649F02">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PrEx>
              <w:trPr>
                <w:trHeight w:val="628" w:hRule="atLeast"/>
              </w:trPr>
              <w:tc>
                <w:tcPr>
                  <w:tcW w:w="810" w:type="pct"/>
                  <w:vMerge w:val="continue"/>
                  <w:tcBorders>
                    <w:left w:val="nil"/>
                  </w:tcBorders>
                  <w:shd w:val="clear" w:color="auto" w:fill="auto"/>
                  <w:vAlign w:val="center"/>
                </w:tcPr>
                <w:p w14:paraId="6C3C8E96">
                  <w:pPr>
                    <w:pStyle w:val="38"/>
                    <w:bidi w:val="0"/>
                    <w:rPr>
                      <w:rFonts w:hint="default"/>
                      <w:b w:val="0"/>
                      <w:color w:val="000000"/>
                    </w:rPr>
                  </w:pPr>
                </w:p>
              </w:tc>
              <w:tc>
                <w:tcPr>
                  <w:tcW w:w="1028" w:type="pct"/>
                  <w:vMerge w:val="continue"/>
                  <w:shd w:val="clear" w:color="auto" w:fill="auto"/>
                  <w:vAlign w:val="center"/>
                </w:tcPr>
                <w:p w14:paraId="7F7CFA72">
                  <w:pPr>
                    <w:pStyle w:val="38"/>
                    <w:bidi w:val="0"/>
                    <w:rPr>
                      <w:rFonts w:hint="default"/>
                      <w:b w:val="0"/>
                      <w:color w:val="000000"/>
                    </w:rPr>
                  </w:pPr>
                </w:p>
              </w:tc>
              <w:tc>
                <w:tcPr>
                  <w:tcW w:w="895" w:type="pct"/>
                  <w:shd w:val="clear" w:color="auto" w:fill="auto"/>
                  <w:vAlign w:val="center"/>
                </w:tcPr>
                <w:p w14:paraId="217D3BD3">
                  <w:pPr>
                    <w:pStyle w:val="38"/>
                    <w:bidi w:val="0"/>
                    <w:rPr>
                      <w:rFonts w:hint="default"/>
                      <w:b w:val="0"/>
                      <w:color w:val="000000"/>
                    </w:rPr>
                  </w:pPr>
                  <w:r>
                    <w:rPr>
                      <w:rFonts w:hint="default"/>
                      <w:b w:val="0"/>
                      <w:color w:val="000000"/>
                    </w:rPr>
                    <w:t>Q2厂界下风向</w:t>
                  </w:r>
                </w:p>
              </w:tc>
              <w:tc>
                <w:tcPr>
                  <w:tcW w:w="396" w:type="pct"/>
                  <w:shd w:val="clear" w:color="auto" w:fill="auto"/>
                  <w:vAlign w:val="center"/>
                </w:tcPr>
                <w:p w14:paraId="67498383">
                  <w:pPr>
                    <w:pStyle w:val="38"/>
                    <w:bidi w:val="0"/>
                    <w:rPr>
                      <w:rFonts w:hint="default"/>
                      <w:b w:val="0"/>
                      <w:color w:val="000000"/>
                    </w:rPr>
                  </w:pPr>
                  <w:r>
                    <w:rPr>
                      <w:rFonts w:hint="default"/>
                      <w:b w:val="0"/>
                      <w:color w:val="000000"/>
                    </w:rPr>
                    <w:t>1.46</w:t>
                  </w:r>
                </w:p>
              </w:tc>
              <w:tc>
                <w:tcPr>
                  <w:tcW w:w="396" w:type="pct"/>
                  <w:shd w:val="clear" w:color="auto" w:fill="auto"/>
                  <w:vAlign w:val="center"/>
                </w:tcPr>
                <w:p w14:paraId="3F235EFA">
                  <w:pPr>
                    <w:pStyle w:val="38"/>
                    <w:bidi w:val="0"/>
                    <w:rPr>
                      <w:rFonts w:hint="default"/>
                      <w:b w:val="0"/>
                      <w:color w:val="000000"/>
                    </w:rPr>
                  </w:pPr>
                  <w:r>
                    <w:rPr>
                      <w:rFonts w:hint="default"/>
                      <w:b w:val="0"/>
                      <w:color w:val="000000"/>
                    </w:rPr>
                    <w:t>1.49</w:t>
                  </w:r>
                </w:p>
              </w:tc>
              <w:tc>
                <w:tcPr>
                  <w:tcW w:w="396" w:type="pct"/>
                  <w:shd w:val="clear" w:color="auto" w:fill="auto"/>
                  <w:vAlign w:val="center"/>
                </w:tcPr>
                <w:p w14:paraId="583A6FE7">
                  <w:pPr>
                    <w:pStyle w:val="38"/>
                    <w:bidi w:val="0"/>
                    <w:rPr>
                      <w:rFonts w:hint="default"/>
                      <w:b w:val="0"/>
                      <w:color w:val="000000"/>
                    </w:rPr>
                  </w:pPr>
                  <w:r>
                    <w:rPr>
                      <w:rFonts w:hint="default"/>
                      <w:b w:val="0"/>
                      <w:color w:val="000000"/>
                    </w:rPr>
                    <w:t>1.48</w:t>
                  </w:r>
                </w:p>
              </w:tc>
              <w:tc>
                <w:tcPr>
                  <w:tcW w:w="425" w:type="pct"/>
                  <w:vMerge w:val="continue"/>
                  <w:shd w:val="clear" w:color="auto" w:fill="auto"/>
                  <w:vAlign w:val="center"/>
                </w:tcPr>
                <w:p w14:paraId="256E54E3">
                  <w:pPr>
                    <w:pStyle w:val="38"/>
                    <w:bidi w:val="0"/>
                    <w:rPr>
                      <w:rFonts w:hint="default"/>
                      <w:b w:val="0"/>
                      <w:color w:val="000000"/>
                    </w:rPr>
                  </w:pPr>
                </w:p>
              </w:tc>
              <w:tc>
                <w:tcPr>
                  <w:tcW w:w="652" w:type="pct"/>
                  <w:vMerge w:val="continue"/>
                  <w:tcBorders>
                    <w:right w:val="nil"/>
                  </w:tcBorders>
                  <w:shd w:val="clear" w:color="auto" w:fill="auto"/>
                  <w:vAlign w:val="center"/>
                </w:tcPr>
                <w:p w14:paraId="3299F599">
                  <w:pPr>
                    <w:pStyle w:val="38"/>
                    <w:bidi w:val="0"/>
                    <w:rPr>
                      <w:rFonts w:hint="default"/>
                      <w:b w:val="0"/>
                      <w:color w:val="000000"/>
                    </w:rPr>
                  </w:pPr>
                </w:p>
              </w:tc>
            </w:tr>
            <w:tr w14:paraId="06FB6686">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28" w:hRule="atLeast"/>
              </w:trPr>
              <w:tc>
                <w:tcPr>
                  <w:tcW w:w="810" w:type="pct"/>
                  <w:vMerge w:val="continue"/>
                  <w:tcBorders>
                    <w:left w:val="nil"/>
                  </w:tcBorders>
                  <w:shd w:val="clear" w:color="auto" w:fill="auto"/>
                  <w:vAlign w:val="center"/>
                </w:tcPr>
                <w:p w14:paraId="6DCFA121">
                  <w:pPr>
                    <w:pStyle w:val="38"/>
                    <w:bidi w:val="0"/>
                    <w:rPr>
                      <w:rFonts w:hint="default"/>
                      <w:b w:val="0"/>
                      <w:color w:val="000000"/>
                    </w:rPr>
                  </w:pPr>
                </w:p>
              </w:tc>
              <w:tc>
                <w:tcPr>
                  <w:tcW w:w="1028" w:type="pct"/>
                  <w:vMerge w:val="continue"/>
                  <w:shd w:val="clear" w:color="auto" w:fill="auto"/>
                  <w:vAlign w:val="center"/>
                </w:tcPr>
                <w:p w14:paraId="1CB48504">
                  <w:pPr>
                    <w:pStyle w:val="38"/>
                    <w:bidi w:val="0"/>
                    <w:rPr>
                      <w:rFonts w:hint="default"/>
                      <w:b w:val="0"/>
                      <w:color w:val="000000"/>
                    </w:rPr>
                  </w:pPr>
                </w:p>
              </w:tc>
              <w:tc>
                <w:tcPr>
                  <w:tcW w:w="895" w:type="pct"/>
                  <w:shd w:val="clear" w:color="auto" w:fill="auto"/>
                  <w:vAlign w:val="center"/>
                </w:tcPr>
                <w:p w14:paraId="310E220B">
                  <w:pPr>
                    <w:pStyle w:val="38"/>
                    <w:bidi w:val="0"/>
                    <w:rPr>
                      <w:rFonts w:hint="default"/>
                      <w:b w:val="0"/>
                      <w:color w:val="000000"/>
                    </w:rPr>
                  </w:pPr>
                  <w:r>
                    <w:rPr>
                      <w:rFonts w:hint="default"/>
                      <w:b w:val="0"/>
                      <w:color w:val="000000"/>
                    </w:rPr>
                    <w:t>Q3厂界下风向</w:t>
                  </w:r>
                </w:p>
              </w:tc>
              <w:tc>
                <w:tcPr>
                  <w:tcW w:w="396" w:type="pct"/>
                  <w:shd w:val="clear" w:color="auto" w:fill="auto"/>
                  <w:vAlign w:val="center"/>
                </w:tcPr>
                <w:p w14:paraId="53B563D9">
                  <w:pPr>
                    <w:pStyle w:val="38"/>
                    <w:bidi w:val="0"/>
                    <w:rPr>
                      <w:rFonts w:hint="default"/>
                      <w:b w:val="0"/>
                      <w:color w:val="000000"/>
                    </w:rPr>
                  </w:pPr>
                  <w:r>
                    <w:rPr>
                      <w:rFonts w:hint="default"/>
                      <w:b w:val="0"/>
                      <w:color w:val="000000"/>
                    </w:rPr>
                    <w:t>1.59</w:t>
                  </w:r>
                </w:p>
              </w:tc>
              <w:tc>
                <w:tcPr>
                  <w:tcW w:w="396" w:type="pct"/>
                  <w:shd w:val="clear" w:color="auto" w:fill="auto"/>
                  <w:vAlign w:val="center"/>
                </w:tcPr>
                <w:p w14:paraId="2C85C856">
                  <w:pPr>
                    <w:pStyle w:val="38"/>
                    <w:bidi w:val="0"/>
                    <w:rPr>
                      <w:rFonts w:hint="default"/>
                      <w:b w:val="0"/>
                      <w:color w:val="000000"/>
                    </w:rPr>
                  </w:pPr>
                  <w:r>
                    <w:rPr>
                      <w:rFonts w:hint="default"/>
                      <w:b w:val="0"/>
                      <w:color w:val="000000"/>
                    </w:rPr>
                    <w:t>1.66</w:t>
                  </w:r>
                </w:p>
              </w:tc>
              <w:tc>
                <w:tcPr>
                  <w:tcW w:w="396" w:type="pct"/>
                  <w:shd w:val="clear" w:color="auto" w:fill="auto"/>
                  <w:vAlign w:val="center"/>
                </w:tcPr>
                <w:p w14:paraId="360B7568">
                  <w:pPr>
                    <w:pStyle w:val="38"/>
                    <w:bidi w:val="0"/>
                    <w:rPr>
                      <w:rFonts w:hint="default"/>
                      <w:b w:val="0"/>
                      <w:color w:val="000000"/>
                    </w:rPr>
                  </w:pPr>
                  <w:r>
                    <w:rPr>
                      <w:rFonts w:hint="default"/>
                      <w:b w:val="0"/>
                      <w:color w:val="000000"/>
                    </w:rPr>
                    <w:t>1.55</w:t>
                  </w:r>
                </w:p>
              </w:tc>
              <w:tc>
                <w:tcPr>
                  <w:tcW w:w="425" w:type="pct"/>
                  <w:vMerge w:val="continue"/>
                  <w:shd w:val="clear" w:color="auto" w:fill="auto"/>
                  <w:vAlign w:val="center"/>
                </w:tcPr>
                <w:p w14:paraId="64C61BA0">
                  <w:pPr>
                    <w:pStyle w:val="38"/>
                    <w:bidi w:val="0"/>
                    <w:rPr>
                      <w:rFonts w:hint="default"/>
                      <w:b w:val="0"/>
                      <w:color w:val="000000"/>
                    </w:rPr>
                  </w:pPr>
                </w:p>
              </w:tc>
              <w:tc>
                <w:tcPr>
                  <w:tcW w:w="652" w:type="pct"/>
                  <w:vMerge w:val="continue"/>
                  <w:tcBorders>
                    <w:right w:val="nil"/>
                  </w:tcBorders>
                  <w:shd w:val="clear" w:color="auto" w:fill="auto"/>
                  <w:vAlign w:val="center"/>
                </w:tcPr>
                <w:p w14:paraId="45F10759">
                  <w:pPr>
                    <w:pStyle w:val="38"/>
                    <w:bidi w:val="0"/>
                    <w:rPr>
                      <w:rFonts w:hint="default"/>
                      <w:b w:val="0"/>
                      <w:color w:val="000000"/>
                    </w:rPr>
                  </w:pPr>
                </w:p>
              </w:tc>
            </w:tr>
            <w:tr w14:paraId="00E3A179">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PrEx>
              <w:trPr>
                <w:trHeight w:val="628" w:hRule="atLeast"/>
              </w:trPr>
              <w:tc>
                <w:tcPr>
                  <w:tcW w:w="810" w:type="pct"/>
                  <w:vMerge w:val="continue"/>
                  <w:tcBorders>
                    <w:left w:val="nil"/>
                  </w:tcBorders>
                  <w:shd w:val="clear" w:color="auto" w:fill="auto"/>
                  <w:vAlign w:val="center"/>
                </w:tcPr>
                <w:p w14:paraId="1D7FBABD">
                  <w:pPr>
                    <w:pStyle w:val="38"/>
                    <w:bidi w:val="0"/>
                    <w:rPr>
                      <w:rFonts w:hint="default"/>
                      <w:b w:val="0"/>
                      <w:color w:val="000000"/>
                    </w:rPr>
                  </w:pPr>
                </w:p>
              </w:tc>
              <w:tc>
                <w:tcPr>
                  <w:tcW w:w="1028" w:type="pct"/>
                  <w:vMerge w:val="continue"/>
                  <w:shd w:val="clear" w:color="auto" w:fill="auto"/>
                  <w:vAlign w:val="center"/>
                </w:tcPr>
                <w:p w14:paraId="0F31D22F">
                  <w:pPr>
                    <w:pStyle w:val="38"/>
                    <w:bidi w:val="0"/>
                    <w:rPr>
                      <w:rFonts w:hint="default"/>
                      <w:b w:val="0"/>
                      <w:color w:val="000000"/>
                    </w:rPr>
                  </w:pPr>
                </w:p>
              </w:tc>
              <w:tc>
                <w:tcPr>
                  <w:tcW w:w="895" w:type="pct"/>
                  <w:shd w:val="clear" w:color="auto" w:fill="auto"/>
                  <w:vAlign w:val="center"/>
                </w:tcPr>
                <w:p w14:paraId="394492E8">
                  <w:pPr>
                    <w:pStyle w:val="38"/>
                    <w:bidi w:val="0"/>
                    <w:rPr>
                      <w:rFonts w:hint="default"/>
                      <w:b w:val="0"/>
                      <w:color w:val="000000"/>
                    </w:rPr>
                  </w:pPr>
                  <w:r>
                    <w:rPr>
                      <w:rFonts w:hint="default"/>
                      <w:b w:val="0"/>
                      <w:color w:val="000000"/>
                    </w:rPr>
                    <w:t>Q4厂界下风向</w:t>
                  </w:r>
                </w:p>
              </w:tc>
              <w:tc>
                <w:tcPr>
                  <w:tcW w:w="396" w:type="pct"/>
                  <w:shd w:val="clear" w:color="auto" w:fill="auto"/>
                  <w:vAlign w:val="center"/>
                </w:tcPr>
                <w:p w14:paraId="32D1AA57">
                  <w:pPr>
                    <w:pStyle w:val="38"/>
                    <w:bidi w:val="0"/>
                    <w:rPr>
                      <w:rFonts w:hint="default"/>
                      <w:b w:val="0"/>
                      <w:color w:val="000000"/>
                    </w:rPr>
                  </w:pPr>
                  <w:r>
                    <w:rPr>
                      <w:rFonts w:hint="default"/>
                      <w:b w:val="0"/>
                      <w:color w:val="000000"/>
                    </w:rPr>
                    <w:t>1.62</w:t>
                  </w:r>
                </w:p>
              </w:tc>
              <w:tc>
                <w:tcPr>
                  <w:tcW w:w="396" w:type="pct"/>
                  <w:shd w:val="clear" w:color="auto" w:fill="auto"/>
                  <w:vAlign w:val="center"/>
                </w:tcPr>
                <w:p w14:paraId="3D17244E">
                  <w:pPr>
                    <w:pStyle w:val="38"/>
                    <w:bidi w:val="0"/>
                    <w:rPr>
                      <w:rFonts w:hint="default"/>
                      <w:b w:val="0"/>
                      <w:color w:val="000000"/>
                    </w:rPr>
                  </w:pPr>
                  <w:r>
                    <w:rPr>
                      <w:rFonts w:hint="default"/>
                      <w:b w:val="0"/>
                      <w:color w:val="000000"/>
                    </w:rPr>
                    <w:t>1.67</w:t>
                  </w:r>
                </w:p>
              </w:tc>
              <w:tc>
                <w:tcPr>
                  <w:tcW w:w="396" w:type="pct"/>
                  <w:shd w:val="clear" w:color="auto" w:fill="auto"/>
                  <w:vAlign w:val="center"/>
                </w:tcPr>
                <w:p w14:paraId="1CDCBC88">
                  <w:pPr>
                    <w:pStyle w:val="38"/>
                    <w:bidi w:val="0"/>
                    <w:rPr>
                      <w:rFonts w:hint="default"/>
                      <w:b w:val="0"/>
                      <w:color w:val="000000"/>
                    </w:rPr>
                  </w:pPr>
                  <w:r>
                    <w:rPr>
                      <w:rFonts w:hint="default"/>
                      <w:b w:val="0"/>
                      <w:color w:val="000000"/>
                    </w:rPr>
                    <w:t>1.54</w:t>
                  </w:r>
                </w:p>
              </w:tc>
              <w:tc>
                <w:tcPr>
                  <w:tcW w:w="425" w:type="pct"/>
                  <w:vMerge w:val="continue"/>
                  <w:shd w:val="clear" w:color="auto" w:fill="auto"/>
                  <w:vAlign w:val="center"/>
                </w:tcPr>
                <w:p w14:paraId="5101D2BA">
                  <w:pPr>
                    <w:pStyle w:val="38"/>
                    <w:bidi w:val="0"/>
                    <w:rPr>
                      <w:rFonts w:hint="default"/>
                      <w:b w:val="0"/>
                      <w:color w:val="000000"/>
                    </w:rPr>
                  </w:pPr>
                </w:p>
              </w:tc>
              <w:tc>
                <w:tcPr>
                  <w:tcW w:w="652" w:type="pct"/>
                  <w:vMerge w:val="continue"/>
                  <w:tcBorders>
                    <w:right w:val="nil"/>
                  </w:tcBorders>
                  <w:shd w:val="clear" w:color="auto" w:fill="auto"/>
                  <w:vAlign w:val="center"/>
                </w:tcPr>
                <w:p w14:paraId="17EDE99E">
                  <w:pPr>
                    <w:pStyle w:val="38"/>
                    <w:bidi w:val="0"/>
                    <w:rPr>
                      <w:rFonts w:hint="default"/>
                      <w:b w:val="0"/>
                      <w:color w:val="000000"/>
                    </w:rPr>
                  </w:pPr>
                </w:p>
              </w:tc>
            </w:tr>
            <w:tr w14:paraId="04F7BAC8">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628" w:hRule="atLeast"/>
              </w:trPr>
              <w:tc>
                <w:tcPr>
                  <w:tcW w:w="5000" w:type="pct"/>
                  <w:gridSpan w:val="8"/>
                  <w:tcBorders>
                    <w:left w:val="nil"/>
                    <w:bottom w:val="single" w:color="000000" w:sz="12" w:space="0"/>
                    <w:right w:val="nil"/>
                  </w:tcBorders>
                  <w:shd w:val="clear" w:color="auto" w:fill="auto"/>
                  <w:vAlign w:val="center"/>
                </w:tcPr>
                <w:p w14:paraId="5B28FFCB">
                  <w:pPr>
                    <w:pStyle w:val="38"/>
                    <w:bidi w:val="0"/>
                    <w:rPr>
                      <w:rFonts w:hint="default"/>
                      <w:b w:val="0"/>
                      <w:color w:val="000000"/>
                    </w:rPr>
                  </w:pPr>
                  <w:r>
                    <w:rPr>
                      <w:rFonts w:hint="eastAsia"/>
                      <w:b w:val="0"/>
                      <w:color w:val="000000"/>
                      <w:lang w:val="en-US" w:eastAsia="zh-CN"/>
                    </w:rPr>
                    <w:t>注：2023年10月21日监测工况为83.37%，2023年10月22日监测工况为83.12%。</w:t>
                  </w:r>
                </w:p>
              </w:tc>
            </w:tr>
          </w:tbl>
          <w:p w14:paraId="1DA5E224">
            <w:pPr>
              <w:pStyle w:val="39"/>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表2.3-5厂区内无组织废气检测结果</w:t>
            </w:r>
          </w:p>
          <w:tbl>
            <w:tblPr>
              <w:tblStyle w:val="47"/>
              <w:tblW w:w="4995" w:type="pct"/>
              <w:jc w:val="center"/>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765"/>
              <w:gridCol w:w="961"/>
              <w:gridCol w:w="944"/>
              <w:gridCol w:w="1011"/>
              <w:gridCol w:w="907"/>
              <w:gridCol w:w="907"/>
              <w:gridCol w:w="907"/>
              <w:gridCol w:w="913"/>
              <w:gridCol w:w="1071"/>
            </w:tblGrid>
            <w:tr w14:paraId="43438E1A">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564" w:hRule="atLeast"/>
                <w:jc w:val="center"/>
              </w:trPr>
              <w:tc>
                <w:tcPr>
                  <w:tcW w:w="456" w:type="pct"/>
                  <w:vMerge w:val="restart"/>
                  <w:tcBorders>
                    <w:top w:val="single" w:color="000000" w:sz="12" w:space="0"/>
                    <w:left w:val="nil"/>
                    <w:tl2br w:val="nil"/>
                    <w:tr2bl w:val="nil"/>
                  </w:tcBorders>
                  <w:shd w:val="clear" w:color="auto" w:fill="auto"/>
                  <w:vAlign w:val="center"/>
                </w:tcPr>
                <w:p w14:paraId="7B1F6182">
                  <w:pPr>
                    <w:pStyle w:val="38"/>
                    <w:bidi w:val="0"/>
                    <w:rPr>
                      <w:rFonts w:hint="default"/>
                      <w:b w:val="0"/>
                      <w:color w:val="000000"/>
                    </w:rPr>
                  </w:pPr>
                  <w:r>
                    <w:rPr>
                      <w:rFonts w:hint="default"/>
                      <w:b w:val="0"/>
                      <w:color w:val="000000"/>
                    </w:rPr>
                    <w:t>采样日期</w:t>
                  </w:r>
                </w:p>
              </w:tc>
              <w:tc>
                <w:tcPr>
                  <w:tcW w:w="573" w:type="pct"/>
                  <w:vMerge w:val="restart"/>
                  <w:tcBorders>
                    <w:top w:val="single" w:color="000000" w:sz="12" w:space="0"/>
                    <w:tl2br w:val="nil"/>
                    <w:tr2bl w:val="nil"/>
                  </w:tcBorders>
                  <w:shd w:val="clear" w:color="auto" w:fill="auto"/>
                  <w:vAlign w:val="center"/>
                </w:tcPr>
                <w:p w14:paraId="3AE058FA">
                  <w:pPr>
                    <w:pStyle w:val="38"/>
                    <w:bidi w:val="0"/>
                    <w:rPr>
                      <w:rFonts w:hint="default"/>
                      <w:b w:val="0"/>
                      <w:color w:val="000000"/>
                    </w:rPr>
                  </w:pPr>
                  <w:r>
                    <w:rPr>
                      <w:rFonts w:hint="default"/>
                      <w:b w:val="0"/>
                      <w:color w:val="000000"/>
                    </w:rPr>
                    <w:t>检测点位</w:t>
                  </w:r>
                </w:p>
              </w:tc>
              <w:tc>
                <w:tcPr>
                  <w:tcW w:w="563" w:type="pct"/>
                  <w:vMerge w:val="restart"/>
                  <w:tcBorders>
                    <w:top w:val="single" w:color="000000" w:sz="12" w:space="0"/>
                    <w:tl2br w:val="nil"/>
                    <w:tr2bl w:val="nil"/>
                  </w:tcBorders>
                  <w:shd w:val="clear" w:color="auto" w:fill="auto"/>
                  <w:vAlign w:val="center"/>
                </w:tcPr>
                <w:p w14:paraId="04FEADCF">
                  <w:pPr>
                    <w:pStyle w:val="38"/>
                    <w:bidi w:val="0"/>
                    <w:rPr>
                      <w:rFonts w:hint="default"/>
                      <w:b w:val="0"/>
                      <w:color w:val="000000"/>
                    </w:rPr>
                  </w:pPr>
                  <w:r>
                    <w:rPr>
                      <w:rFonts w:hint="default"/>
                      <w:b w:val="0"/>
                      <w:color w:val="000000"/>
                    </w:rPr>
                    <w:t>检测项目</w:t>
                  </w:r>
                </w:p>
              </w:tc>
              <w:tc>
                <w:tcPr>
                  <w:tcW w:w="603" w:type="pct"/>
                  <w:vMerge w:val="restart"/>
                  <w:tcBorders>
                    <w:top w:val="single" w:color="000000" w:sz="12" w:space="0"/>
                    <w:tl2br w:val="nil"/>
                    <w:tr2bl w:val="nil"/>
                  </w:tcBorders>
                  <w:shd w:val="clear" w:color="auto" w:fill="auto"/>
                  <w:vAlign w:val="center"/>
                </w:tcPr>
                <w:p w14:paraId="72566D7A">
                  <w:pPr>
                    <w:pStyle w:val="38"/>
                    <w:bidi w:val="0"/>
                    <w:rPr>
                      <w:rFonts w:hint="default"/>
                      <w:b w:val="0"/>
                      <w:color w:val="000000"/>
                    </w:rPr>
                  </w:pPr>
                  <w:r>
                    <w:rPr>
                      <w:rFonts w:hint="default"/>
                      <w:b w:val="0"/>
                      <w:color w:val="000000"/>
                    </w:rPr>
                    <w:t>检测频次</w:t>
                  </w:r>
                </w:p>
              </w:tc>
              <w:tc>
                <w:tcPr>
                  <w:tcW w:w="2167" w:type="pct"/>
                  <w:gridSpan w:val="4"/>
                  <w:tcBorders>
                    <w:top w:val="single" w:color="000000" w:sz="12" w:space="0"/>
                    <w:tl2br w:val="nil"/>
                    <w:tr2bl w:val="nil"/>
                  </w:tcBorders>
                  <w:shd w:val="clear" w:color="auto" w:fill="auto"/>
                  <w:vAlign w:val="center"/>
                </w:tcPr>
                <w:p w14:paraId="5CF8BDBA">
                  <w:pPr>
                    <w:pStyle w:val="38"/>
                    <w:bidi w:val="0"/>
                    <w:rPr>
                      <w:rFonts w:hint="default"/>
                      <w:b w:val="0"/>
                      <w:color w:val="000000"/>
                    </w:rPr>
                  </w:pPr>
                  <w:r>
                    <w:rPr>
                      <w:rFonts w:hint="default"/>
                      <w:b w:val="0"/>
                      <w:color w:val="000000"/>
                    </w:rPr>
                    <w:t>瞬时值（mg/m</w:t>
                  </w:r>
                  <w:r>
                    <w:rPr>
                      <w:rFonts w:hint="eastAsia"/>
                      <w:b w:val="0"/>
                      <w:color w:val="000000"/>
                      <w:vertAlign w:val="superscript"/>
                      <w:lang w:val="en-US" w:eastAsia="zh-CN"/>
                    </w:rPr>
                    <w:t>3</w:t>
                  </w:r>
                  <w:r>
                    <w:rPr>
                      <w:rFonts w:hint="default"/>
                      <w:b w:val="0"/>
                      <w:color w:val="000000"/>
                    </w:rPr>
                    <w:t>）</w:t>
                  </w:r>
                </w:p>
              </w:tc>
              <w:tc>
                <w:tcPr>
                  <w:tcW w:w="636" w:type="pct"/>
                  <w:vMerge w:val="restart"/>
                  <w:tcBorders>
                    <w:top w:val="single" w:color="000000" w:sz="12" w:space="0"/>
                    <w:right w:val="nil"/>
                    <w:tl2br w:val="nil"/>
                    <w:tr2bl w:val="nil"/>
                  </w:tcBorders>
                  <w:shd w:val="clear" w:color="auto" w:fill="auto"/>
                  <w:vAlign w:val="center"/>
                </w:tcPr>
                <w:p w14:paraId="45A2FCDD">
                  <w:pPr>
                    <w:pStyle w:val="38"/>
                    <w:bidi w:val="0"/>
                    <w:rPr>
                      <w:rFonts w:hint="default"/>
                      <w:b w:val="0"/>
                      <w:color w:val="000000"/>
                    </w:rPr>
                  </w:pPr>
                  <w:r>
                    <w:rPr>
                      <w:rFonts w:hint="default"/>
                      <w:b w:val="0"/>
                      <w:color w:val="000000"/>
                    </w:rPr>
                    <w:t>小时值（mg/m</w:t>
                  </w:r>
                  <w:r>
                    <w:rPr>
                      <w:rFonts w:hint="eastAsia"/>
                      <w:b w:val="0"/>
                      <w:color w:val="000000"/>
                      <w:vertAlign w:val="superscript"/>
                      <w:lang w:val="en-US" w:eastAsia="zh-CN"/>
                    </w:rPr>
                    <w:t>3</w:t>
                  </w:r>
                  <w:r>
                    <w:rPr>
                      <w:rFonts w:hint="default"/>
                      <w:b w:val="0"/>
                      <w:color w:val="000000"/>
                    </w:rPr>
                    <w:t>）</w:t>
                  </w:r>
                </w:p>
              </w:tc>
            </w:tr>
            <w:tr w14:paraId="69A5B236">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560" w:hRule="atLeast"/>
                <w:jc w:val="center"/>
              </w:trPr>
              <w:tc>
                <w:tcPr>
                  <w:tcW w:w="456" w:type="pct"/>
                  <w:vMerge w:val="continue"/>
                  <w:tcBorders>
                    <w:left w:val="nil"/>
                    <w:tl2br w:val="nil"/>
                    <w:tr2bl w:val="nil"/>
                  </w:tcBorders>
                  <w:shd w:val="clear" w:color="auto" w:fill="auto"/>
                  <w:vAlign w:val="center"/>
                </w:tcPr>
                <w:p w14:paraId="5D1124A4">
                  <w:pPr>
                    <w:pStyle w:val="38"/>
                    <w:bidi w:val="0"/>
                    <w:rPr>
                      <w:rFonts w:hint="default"/>
                      <w:b w:val="0"/>
                      <w:color w:val="000000"/>
                    </w:rPr>
                  </w:pPr>
                </w:p>
              </w:tc>
              <w:tc>
                <w:tcPr>
                  <w:tcW w:w="573" w:type="pct"/>
                  <w:vMerge w:val="continue"/>
                  <w:tcBorders>
                    <w:tl2br w:val="nil"/>
                    <w:tr2bl w:val="nil"/>
                  </w:tcBorders>
                  <w:shd w:val="clear" w:color="auto" w:fill="auto"/>
                  <w:vAlign w:val="center"/>
                </w:tcPr>
                <w:p w14:paraId="160107D5">
                  <w:pPr>
                    <w:pStyle w:val="38"/>
                    <w:bidi w:val="0"/>
                    <w:rPr>
                      <w:rFonts w:hint="default"/>
                      <w:b w:val="0"/>
                      <w:color w:val="000000"/>
                    </w:rPr>
                  </w:pPr>
                </w:p>
              </w:tc>
              <w:tc>
                <w:tcPr>
                  <w:tcW w:w="563" w:type="pct"/>
                  <w:vMerge w:val="continue"/>
                  <w:tcBorders>
                    <w:tl2br w:val="nil"/>
                    <w:tr2bl w:val="nil"/>
                  </w:tcBorders>
                  <w:shd w:val="clear" w:color="auto" w:fill="auto"/>
                  <w:vAlign w:val="center"/>
                </w:tcPr>
                <w:p w14:paraId="287E44BD">
                  <w:pPr>
                    <w:pStyle w:val="38"/>
                    <w:bidi w:val="0"/>
                    <w:rPr>
                      <w:rFonts w:hint="default"/>
                      <w:b w:val="0"/>
                      <w:color w:val="000000"/>
                    </w:rPr>
                  </w:pPr>
                </w:p>
              </w:tc>
              <w:tc>
                <w:tcPr>
                  <w:tcW w:w="603" w:type="pct"/>
                  <w:vMerge w:val="continue"/>
                  <w:tcBorders>
                    <w:tl2br w:val="nil"/>
                    <w:tr2bl w:val="nil"/>
                  </w:tcBorders>
                  <w:shd w:val="clear" w:color="auto" w:fill="auto"/>
                  <w:vAlign w:val="center"/>
                </w:tcPr>
                <w:p w14:paraId="6461F255">
                  <w:pPr>
                    <w:pStyle w:val="38"/>
                    <w:bidi w:val="0"/>
                    <w:rPr>
                      <w:rFonts w:hint="default"/>
                      <w:b w:val="0"/>
                      <w:color w:val="000000"/>
                    </w:rPr>
                  </w:pPr>
                </w:p>
              </w:tc>
              <w:tc>
                <w:tcPr>
                  <w:tcW w:w="541" w:type="pct"/>
                  <w:tcBorders>
                    <w:tl2br w:val="nil"/>
                    <w:tr2bl w:val="nil"/>
                  </w:tcBorders>
                  <w:shd w:val="clear" w:color="auto" w:fill="auto"/>
                  <w:vAlign w:val="center"/>
                </w:tcPr>
                <w:p w14:paraId="1BE75068">
                  <w:pPr>
                    <w:pStyle w:val="38"/>
                    <w:bidi w:val="0"/>
                    <w:rPr>
                      <w:rFonts w:hint="default"/>
                      <w:b w:val="0"/>
                      <w:color w:val="000000"/>
                    </w:rPr>
                  </w:pPr>
                  <w:r>
                    <w:rPr>
                      <w:rFonts w:hint="default"/>
                      <w:b w:val="0"/>
                      <w:color w:val="000000"/>
                    </w:rPr>
                    <w:t>1</w:t>
                  </w:r>
                </w:p>
              </w:tc>
              <w:tc>
                <w:tcPr>
                  <w:tcW w:w="541" w:type="pct"/>
                  <w:tcBorders>
                    <w:tl2br w:val="nil"/>
                    <w:tr2bl w:val="nil"/>
                  </w:tcBorders>
                  <w:shd w:val="clear" w:color="auto" w:fill="auto"/>
                  <w:vAlign w:val="center"/>
                </w:tcPr>
                <w:p w14:paraId="353787AE">
                  <w:pPr>
                    <w:pStyle w:val="38"/>
                    <w:bidi w:val="0"/>
                    <w:rPr>
                      <w:rFonts w:hint="default"/>
                      <w:b w:val="0"/>
                      <w:color w:val="000000"/>
                    </w:rPr>
                  </w:pPr>
                  <w:r>
                    <w:rPr>
                      <w:rFonts w:hint="default"/>
                      <w:b w:val="0"/>
                      <w:color w:val="000000"/>
                    </w:rPr>
                    <w:t>2</w:t>
                  </w:r>
                </w:p>
              </w:tc>
              <w:tc>
                <w:tcPr>
                  <w:tcW w:w="541" w:type="pct"/>
                  <w:tcBorders>
                    <w:tl2br w:val="nil"/>
                    <w:tr2bl w:val="nil"/>
                  </w:tcBorders>
                  <w:shd w:val="clear" w:color="auto" w:fill="auto"/>
                  <w:vAlign w:val="center"/>
                </w:tcPr>
                <w:p w14:paraId="54FA4B16">
                  <w:pPr>
                    <w:pStyle w:val="38"/>
                    <w:bidi w:val="0"/>
                    <w:rPr>
                      <w:rFonts w:hint="default"/>
                      <w:b w:val="0"/>
                      <w:color w:val="000000"/>
                    </w:rPr>
                  </w:pPr>
                  <w:r>
                    <w:rPr>
                      <w:rFonts w:hint="default"/>
                      <w:b w:val="0"/>
                      <w:color w:val="000000"/>
                    </w:rPr>
                    <w:t>3</w:t>
                  </w:r>
                </w:p>
              </w:tc>
              <w:tc>
                <w:tcPr>
                  <w:tcW w:w="544" w:type="pct"/>
                  <w:tcBorders>
                    <w:tl2br w:val="nil"/>
                    <w:tr2bl w:val="nil"/>
                  </w:tcBorders>
                  <w:shd w:val="clear" w:color="auto" w:fill="auto"/>
                  <w:vAlign w:val="center"/>
                </w:tcPr>
                <w:p w14:paraId="316CD68C">
                  <w:pPr>
                    <w:pStyle w:val="38"/>
                    <w:bidi w:val="0"/>
                    <w:rPr>
                      <w:rFonts w:hint="default"/>
                      <w:b w:val="0"/>
                      <w:color w:val="000000"/>
                    </w:rPr>
                  </w:pPr>
                  <w:r>
                    <w:rPr>
                      <w:rFonts w:hint="default"/>
                      <w:b w:val="0"/>
                      <w:color w:val="000000"/>
                    </w:rPr>
                    <w:t>4</w:t>
                  </w:r>
                </w:p>
              </w:tc>
              <w:tc>
                <w:tcPr>
                  <w:tcW w:w="636" w:type="pct"/>
                  <w:vMerge w:val="continue"/>
                  <w:tcBorders>
                    <w:right w:val="nil"/>
                    <w:tl2br w:val="nil"/>
                    <w:tr2bl w:val="nil"/>
                  </w:tcBorders>
                  <w:shd w:val="clear" w:color="auto" w:fill="auto"/>
                  <w:vAlign w:val="center"/>
                </w:tcPr>
                <w:p w14:paraId="0681AA81">
                  <w:pPr>
                    <w:pStyle w:val="38"/>
                    <w:bidi w:val="0"/>
                    <w:rPr>
                      <w:rFonts w:hint="default"/>
                      <w:b w:val="0"/>
                      <w:color w:val="000000"/>
                    </w:rPr>
                  </w:pPr>
                </w:p>
              </w:tc>
            </w:tr>
            <w:tr w14:paraId="55DD53DD">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559" w:hRule="atLeast"/>
                <w:jc w:val="center"/>
              </w:trPr>
              <w:tc>
                <w:tcPr>
                  <w:tcW w:w="456" w:type="pct"/>
                  <w:vMerge w:val="restart"/>
                  <w:tcBorders>
                    <w:left w:val="nil"/>
                    <w:tl2br w:val="nil"/>
                    <w:tr2bl w:val="nil"/>
                  </w:tcBorders>
                  <w:shd w:val="clear" w:color="auto" w:fill="auto"/>
                  <w:vAlign w:val="center"/>
                </w:tcPr>
                <w:p w14:paraId="277EC581">
                  <w:pPr>
                    <w:pStyle w:val="38"/>
                    <w:bidi w:val="0"/>
                    <w:rPr>
                      <w:rFonts w:hint="default"/>
                      <w:b w:val="0"/>
                      <w:color w:val="000000"/>
                    </w:rPr>
                  </w:pPr>
                  <w:r>
                    <w:rPr>
                      <w:rFonts w:hint="default"/>
                      <w:b w:val="0"/>
                      <w:color w:val="000000"/>
                    </w:rPr>
                    <w:t>2023年10月21日</w:t>
                  </w:r>
                </w:p>
              </w:tc>
              <w:tc>
                <w:tcPr>
                  <w:tcW w:w="573" w:type="pct"/>
                  <w:vMerge w:val="restart"/>
                  <w:tcBorders>
                    <w:tl2br w:val="nil"/>
                    <w:tr2bl w:val="nil"/>
                  </w:tcBorders>
                  <w:shd w:val="clear" w:color="auto" w:fill="auto"/>
                  <w:vAlign w:val="center"/>
                </w:tcPr>
                <w:p w14:paraId="1172D57F">
                  <w:pPr>
                    <w:pStyle w:val="38"/>
                    <w:bidi w:val="0"/>
                    <w:rPr>
                      <w:rFonts w:hint="default"/>
                      <w:b w:val="0"/>
                      <w:color w:val="000000"/>
                    </w:rPr>
                  </w:pPr>
                  <w:r>
                    <w:rPr>
                      <w:rFonts w:hint="default"/>
                      <w:b w:val="0"/>
                      <w:color w:val="000000"/>
                    </w:rPr>
                    <w:t>Q5厂区</w:t>
                  </w:r>
                </w:p>
              </w:tc>
              <w:tc>
                <w:tcPr>
                  <w:tcW w:w="563" w:type="pct"/>
                  <w:vMerge w:val="restart"/>
                  <w:tcBorders>
                    <w:tl2br w:val="nil"/>
                    <w:tr2bl w:val="nil"/>
                  </w:tcBorders>
                  <w:shd w:val="clear" w:color="auto" w:fill="auto"/>
                  <w:vAlign w:val="center"/>
                </w:tcPr>
                <w:p w14:paraId="3C6CB718">
                  <w:pPr>
                    <w:pStyle w:val="38"/>
                    <w:bidi w:val="0"/>
                    <w:rPr>
                      <w:rFonts w:hint="default"/>
                      <w:b w:val="0"/>
                      <w:color w:val="000000"/>
                    </w:rPr>
                  </w:pPr>
                  <w:r>
                    <w:rPr>
                      <w:rFonts w:hint="default"/>
                      <w:b w:val="0"/>
                      <w:color w:val="000000"/>
                    </w:rPr>
                    <w:t>非甲烷总烃</w:t>
                  </w:r>
                </w:p>
              </w:tc>
              <w:tc>
                <w:tcPr>
                  <w:tcW w:w="603" w:type="pct"/>
                  <w:tcBorders>
                    <w:tl2br w:val="nil"/>
                    <w:tr2bl w:val="nil"/>
                  </w:tcBorders>
                  <w:shd w:val="clear" w:color="auto" w:fill="auto"/>
                  <w:vAlign w:val="center"/>
                </w:tcPr>
                <w:p w14:paraId="3EACA58E">
                  <w:pPr>
                    <w:pStyle w:val="38"/>
                    <w:bidi w:val="0"/>
                    <w:rPr>
                      <w:rFonts w:hint="default"/>
                      <w:b w:val="0"/>
                      <w:color w:val="000000"/>
                    </w:rPr>
                  </w:pPr>
                  <w:r>
                    <w:rPr>
                      <w:rFonts w:hint="default"/>
                      <w:b w:val="0"/>
                      <w:color w:val="000000"/>
                    </w:rPr>
                    <w:t>第一次</w:t>
                  </w:r>
                </w:p>
              </w:tc>
              <w:tc>
                <w:tcPr>
                  <w:tcW w:w="541" w:type="pct"/>
                  <w:tcBorders>
                    <w:tl2br w:val="nil"/>
                    <w:tr2bl w:val="nil"/>
                  </w:tcBorders>
                  <w:shd w:val="clear" w:color="auto" w:fill="auto"/>
                  <w:vAlign w:val="center"/>
                </w:tcPr>
                <w:p w14:paraId="61E8A570">
                  <w:pPr>
                    <w:pStyle w:val="38"/>
                    <w:bidi w:val="0"/>
                    <w:rPr>
                      <w:rFonts w:hint="default"/>
                      <w:b w:val="0"/>
                      <w:color w:val="000000"/>
                    </w:rPr>
                  </w:pPr>
                  <w:r>
                    <w:rPr>
                      <w:rFonts w:hint="default"/>
                      <w:b w:val="0"/>
                      <w:color w:val="000000"/>
                    </w:rPr>
                    <w:t>3.86</w:t>
                  </w:r>
                </w:p>
              </w:tc>
              <w:tc>
                <w:tcPr>
                  <w:tcW w:w="541" w:type="pct"/>
                  <w:tcBorders>
                    <w:tl2br w:val="nil"/>
                    <w:tr2bl w:val="nil"/>
                  </w:tcBorders>
                  <w:shd w:val="clear" w:color="auto" w:fill="auto"/>
                  <w:vAlign w:val="center"/>
                </w:tcPr>
                <w:p w14:paraId="25C4564D">
                  <w:pPr>
                    <w:pStyle w:val="38"/>
                    <w:bidi w:val="0"/>
                    <w:rPr>
                      <w:rFonts w:hint="default"/>
                      <w:b w:val="0"/>
                      <w:color w:val="000000"/>
                    </w:rPr>
                  </w:pPr>
                  <w:r>
                    <w:rPr>
                      <w:rFonts w:hint="default"/>
                      <w:b w:val="0"/>
                      <w:color w:val="000000"/>
                    </w:rPr>
                    <w:t>3.73</w:t>
                  </w:r>
                </w:p>
              </w:tc>
              <w:tc>
                <w:tcPr>
                  <w:tcW w:w="541" w:type="pct"/>
                  <w:tcBorders>
                    <w:tl2br w:val="nil"/>
                    <w:tr2bl w:val="nil"/>
                  </w:tcBorders>
                  <w:shd w:val="clear" w:color="auto" w:fill="auto"/>
                  <w:vAlign w:val="center"/>
                </w:tcPr>
                <w:p w14:paraId="325678DF">
                  <w:pPr>
                    <w:pStyle w:val="38"/>
                    <w:bidi w:val="0"/>
                    <w:rPr>
                      <w:rFonts w:hint="default"/>
                      <w:b w:val="0"/>
                      <w:color w:val="000000"/>
                    </w:rPr>
                  </w:pPr>
                  <w:r>
                    <w:rPr>
                      <w:rFonts w:hint="default"/>
                      <w:b w:val="0"/>
                      <w:color w:val="000000"/>
                    </w:rPr>
                    <w:t>3.66</w:t>
                  </w:r>
                </w:p>
              </w:tc>
              <w:tc>
                <w:tcPr>
                  <w:tcW w:w="544" w:type="pct"/>
                  <w:tcBorders>
                    <w:tl2br w:val="nil"/>
                    <w:tr2bl w:val="nil"/>
                  </w:tcBorders>
                  <w:shd w:val="clear" w:color="auto" w:fill="auto"/>
                  <w:vAlign w:val="center"/>
                </w:tcPr>
                <w:p w14:paraId="61CE61BE">
                  <w:pPr>
                    <w:pStyle w:val="38"/>
                    <w:bidi w:val="0"/>
                    <w:rPr>
                      <w:rFonts w:hint="default"/>
                      <w:b w:val="0"/>
                      <w:color w:val="000000"/>
                    </w:rPr>
                  </w:pPr>
                  <w:r>
                    <w:rPr>
                      <w:rFonts w:hint="default"/>
                      <w:b w:val="0"/>
                      <w:color w:val="000000"/>
                    </w:rPr>
                    <w:t>3.72</w:t>
                  </w:r>
                </w:p>
              </w:tc>
              <w:tc>
                <w:tcPr>
                  <w:tcW w:w="636" w:type="pct"/>
                  <w:tcBorders>
                    <w:right w:val="nil"/>
                    <w:tl2br w:val="nil"/>
                    <w:tr2bl w:val="nil"/>
                  </w:tcBorders>
                  <w:shd w:val="clear" w:color="auto" w:fill="auto"/>
                  <w:vAlign w:val="center"/>
                </w:tcPr>
                <w:p w14:paraId="70DFEE0D">
                  <w:pPr>
                    <w:pStyle w:val="38"/>
                    <w:bidi w:val="0"/>
                    <w:rPr>
                      <w:rFonts w:hint="default"/>
                      <w:b w:val="0"/>
                      <w:color w:val="000000"/>
                    </w:rPr>
                  </w:pPr>
                  <w:r>
                    <w:rPr>
                      <w:rFonts w:hint="default"/>
                      <w:b w:val="0"/>
                      <w:color w:val="000000"/>
                    </w:rPr>
                    <w:t>3.74</w:t>
                  </w:r>
                </w:p>
              </w:tc>
            </w:tr>
            <w:tr w14:paraId="5575C73C">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560" w:hRule="atLeast"/>
                <w:jc w:val="center"/>
              </w:trPr>
              <w:tc>
                <w:tcPr>
                  <w:tcW w:w="456" w:type="pct"/>
                  <w:vMerge w:val="continue"/>
                  <w:tcBorders>
                    <w:left w:val="nil"/>
                    <w:tl2br w:val="nil"/>
                    <w:tr2bl w:val="nil"/>
                  </w:tcBorders>
                  <w:shd w:val="clear" w:color="auto" w:fill="auto"/>
                  <w:vAlign w:val="center"/>
                </w:tcPr>
                <w:p w14:paraId="4A3A97F4">
                  <w:pPr>
                    <w:pStyle w:val="38"/>
                    <w:bidi w:val="0"/>
                    <w:rPr>
                      <w:rFonts w:hint="default"/>
                      <w:b w:val="0"/>
                      <w:color w:val="000000"/>
                    </w:rPr>
                  </w:pPr>
                </w:p>
              </w:tc>
              <w:tc>
                <w:tcPr>
                  <w:tcW w:w="573" w:type="pct"/>
                  <w:vMerge w:val="continue"/>
                  <w:tcBorders>
                    <w:tl2br w:val="nil"/>
                    <w:tr2bl w:val="nil"/>
                  </w:tcBorders>
                  <w:shd w:val="clear" w:color="auto" w:fill="auto"/>
                  <w:vAlign w:val="center"/>
                </w:tcPr>
                <w:p w14:paraId="784F2AA3">
                  <w:pPr>
                    <w:pStyle w:val="38"/>
                    <w:bidi w:val="0"/>
                    <w:rPr>
                      <w:rFonts w:hint="default"/>
                      <w:b w:val="0"/>
                      <w:color w:val="000000"/>
                    </w:rPr>
                  </w:pPr>
                </w:p>
              </w:tc>
              <w:tc>
                <w:tcPr>
                  <w:tcW w:w="563" w:type="pct"/>
                  <w:vMerge w:val="continue"/>
                  <w:tcBorders>
                    <w:tl2br w:val="nil"/>
                    <w:tr2bl w:val="nil"/>
                  </w:tcBorders>
                  <w:shd w:val="clear" w:color="auto" w:fill="auto"/>
                  <w:vAlign w:val="center"/>
                </w:tcPr>
                <w:p w14:paraId="3599CCB7">
                  <w:pPr>
                    <w:pStyle w:val="38"/>
                    <w:bidi w:val="0"/>
                    <w:rPr>
                      <w:rFonts w:hint="default"/>
                      <w:b w:val="0"/>
                      <w:color w:val="000000"/>
                    </w:rPr>
                  </w:pPr>
                </w:p>
              </w:tc>
              <w:tc>
                <w:tcPr>
                  <w:tcW w:w="603" w:type="pct"/>
                  <w:tcBorders>
                    <w:tl2br w:val="nil"/>
                    <w:tr2bl w:val="nil"/>
                  </w:tcBorders>
                  <w:shd w:val="clear" w:color="auto" w:fill="auto"/>
                  <w:vAlign w:val="center"/>
                </w:tcPr>
                <w:p w14:paraId="68011575">
                  <w:pPr>
                    <w:pStyle w:val="38"/>
                    <w:bidi w:val="0"/>
                    <w:rPr>
                      <w:rFonts w:hint="default"/>
                      <w:b w:val="0"/>
                      <w:color w:val="000000"/>
                    </w:rPr>
                  </w:pPr>
                  <w:r>
                    <w:rPr>
                      <w:rFonts w:hint="default"/>
                      <w:b w:val="0"/>
                      <w:color w:val="000000"/>
                    </w:rPr>
                    <w:t>第二次</w:t>
                  </w:r>
                </w:p>
              </w:tc>
              <w:tc>
                <w:tcPr>
                  <w:tcW w:w="541" w:type="pct"/>
                  <w:tcBorders>
                    <w:tl2br w:val="nil"/>
                    <w:tr2bl w:val="nil"/>
                  </w:tcBorders>
                  <w:shd w:val="clear" w:color="auto" w:fill="auto"/>
                  <w:vAlign w:val="center"/>
                </w:tcPr>
                <w:p w14:paraId="568FFAD0">
                  <w:pPr>
                    <w:pStyle w:val="38"/>
                    <w:bidi w:val="0"/>
                    <w:rPr>
                      <w:rFonts w:hint="default"/>
                      <w:b w:val="0"/>
                      <w:color w:val="000000"/>
                    </w:rPr>
                  </w:pPr>
                  <w:r>
                    <w:rPr>
                      <w:rFonts w:hint="default"/>
                      <w:b w:val="0"/>
                      <w:color w:val="000000"/>
                    </w:rPr>
                    <w:t>3.52</w:t>
                  </w:r>
                </w:p>
              </w:tc>
              <w:tc>
                <w:tcPr>
                  <w:tcW w:w="541" w:type="pct"/>
                  <w:tcBorders>
                    <w:tl2br w:val="nil"/>
                    <w:tr2bl w:val="nil"/>
                  </w:tcBorders>
                  <w:shd w:val="clear" w:color="auto" w:fill="auto"/>
                  <w:vAlign w:val="center"/>
                </w:tcPr>
                <w:p w14:paraId="5D75FE3C">
                  <w:pPr>
                    <w:pStyle w:val="38"/>
                    <w:bidi w:val="0"/>
                    <w:rPr>
                      <w:rFonts w:hint="default"/>
                      <w:b w:val="0"/>
                      <w:color w:val="000000"/>
                    </w:rPr>
                  </w:pPr>
                  <w:r>
                    <w:rPr>
                      <w:rFonts w:hint="default"/>
                      <w:b w:val="0"/>
                      <w:color w:val="000000"/>
                    </w:rPr>
                    <w:t>3.70</w:t>
                  </w:r>
                </w:p>
              </w:tc>
              <w:tc>
                <w:tcPr>
                  <w:tcW w:w="541" w:type="pct"/>
                  <w:tcBorders>
                    <w:tl2br w:val="nil"/>
                    <w:tr2bl w:val="nil"/>
                  </w:tcBorders>
                  <w:shd w:val="clear" w:color="auto" w:fill="auto"/>
                  <w:vAlign w:val="center"/>
                </w:tcPr>
                <w:p w14:paraId="7B10FAAD">
                  <w:pPr>
                    <w:pStyle w:val="38"/>
                    <w:bidi w:val="0"/>
                    <w:rPr>
                      <w:rFonts w:hint="default"/>
                      <w:b w:val="0"/>
                      <w:color w:val="000000"/>
                    </w:rPr>
                  </w:pPr>
                  <w:r>
                    <w:rPr>
                      <w:rFonts w:hint="default"/>
                      <w:b w:val="0"/>
                      <w:color w:val="000000"/>
                    </w:rPr>
                    <w:t>3.80</w:t>
                  </w:r>
                </w:p>
              </w:tc>
              <w:tc>
                <w:tcPr>
                  <w:tcW w:w="544" w:type="pct"/>
                  <w:tcBorders>
                    <w:tl2br w:val="nil"/>
                    <w:tr2bl w:val="nil"/>
                  </w:tcBorders>
                  <w:shd w:val="clear" w:color="auto" w:fill="auto"/>
                  <w:vAlign w:val="center"/>
                </w:tcPr>
                <w:p w14:paraId="740DF30D">
                  <w:pPr>
                    <w:pStyle w:val="38"/>
                    <w:bidi w:val="0"/>
                    <w:rPr>
                      <w:rFonts w:hint="default"/>
                      <w:b w:val="0"/>
                      <w:color w:val="000000"/>
                    </w:rPr>
                  </w:pPr>
                  <w:r>
                    <w:rPr>
                      <w:rFonts w:hint="default"/>
                      <w:b w:val="0"/>
                      <w:color w:val="000000"/>
                    </w:rPr>
                    <w:t>3.69</w:t>
                  </w:r>
                </w:p>
              </w:tc>
              <w:tc>
                <w:tcPr>
                  <w:tcW w:w="636" w:type="pct"/>
                  <w:tcBorders>
                    <w:right w:val="nil"/>
                    <w:tl2br w:val="nil"/>
                    <w:tr2bl w:val="nil"/>
                  </w:tcBorders>
                  <w:shd w:val="clear" w:color="auto" w:fill="auto"/>
                  <w:vAlign w:val="center"/>
                </w:tcPr>
                <w:p w14:paraId="60016451">
                  <w:pPr>
                    <w:pStyle w:val="38"/>
                    <w:bidi w:val="0"/>
                    <w:rPr>
                      <w:rFonts w:hint="default"/>
                      <w:b w:val="0"/>
                      <w:color w:val="000000"/>
                    </w:rPr>
                  </w:pPr>
                  <w:r>
                    <w:rPr>
                      <w:rFonts w:hint="default"/>
                      <w:b w:val="0"/>
                      <w:color w:val="000000"/>
                    </w:rPr>
                    <w:t>3.68</w:t>
                  </w:r>
                </w:p>
              </w:tc>
            </w:tr>
            <w:tr w14:paraId="3939309E">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559" w:hRule="atLeast"/>
                <w:jc w:val="center"/>
              </w:trPr>
              <w:tc>
                <w:tcPr>
                  <w:tcW w:w="456" w:type="pct"/>
                  <w:vMerge w:val="continue"/>
                  <w:tcBorders>
                    <w:left w:val="nil"/>
                    <w:tl2br w:val="nil"/>
                    <w:tr2bl w:val="nil"/>
                  </w:tcBorders>
                  <w:shd w:val="clear" w:color="auto" w:fill="auto"/>
                  <w:vAlign w:val="center"/>
                </w:tcPr>
                <w:p w14:paraId="47D17BD7">
                  <w:pPr>
                    <w:pStyle w:val="38"/>
                    <w:bidi w:val="0"/>
                    <w:rPr>
                      <w:rFonts w:hint="default"/>
                      <w:b w:val="0"/>
                      <w:color w:val="000000"/>
                    </w:rPr>
                  </w:pPr>
                </w:p>
              </w:tc>
              <w:tc>
                <w:tcPr>
                  <w:tcW w:w="573" w:type="pct"/>
                  <w:vMerge w:val="continue"/>
                  <w:tcBorders>
                    <w:tl2br w:val="nil"/>
                    <w:tr2bl w:val="nil"/>
                  </w:tcBorders>
                  <w:shd w:val="clear" w:color="auto" w:fill="auto"/>
                  <w:vAlign w:val="center"/>
                </w:tcPr>
                <w:p w14:paraId="719D77D4">
                  <w:pPr>
                    <w:pStyle w:val="38"/>
                    <w:bidi w:val="0"/>
                    <w:rPr>
                      <w:rFonts w:hint="default"/>
                      <w:b w:val="0"/>
                      <w:color w:val="000000"/>
                    </w:rPr>
                  </w:pPr>
                </w:p>
              </w:tc>
              <w:tc>
                <w:tcPr>
                  <w:tcW w:w="563" w:type="pct"/>
                  <w:vMerge w:val="continue"/>
                  <w:tcBorders>
                    <w:tl2br w:val="nil"/>
                    <w:tr2bl w:val="nil"/>
                  </w:tcBorders>
                  <w:shd w:val="clear" w:color="auto" w:fill="auto"/>
                  <w:vAlign w:val="center"/>
                </w:tcPr>
                <w:p w14:paraId="736DB5F0">
                  <w:pPr>
                    <w:pStyle w:val="38"/>
                    <w:bidi w:val="0"/>
                    <w:rPr>
                      <w:rFonts w:hint="default"/>
                      <w:b w:val="0"/>
                      <w:color w:val="000000"/>
                    </w:rPr>
                  </w:pPr>
                </w:p>
              </w:tc>
              <w:tc>
                <w:tcPr>
                  <w:tcW w:w="603" w:type="pct"/>
                  <w:tcBorders>
                    <w:tl2br w:val="nil"/>
                    <w:tr2bl w:val="nil"/>
                  </w:tcBorders>
                  <w:shd w:val="clear" w:color="auto" w:fill="auto"/>
                  <w:vAlign w:val="center"/>
                </w:tcPr>
                <w:p w14:paraId="3D7B3661">
                  <w:pPr>
                    <w:pStyle w:val="38"/>
                    <w:bidi w:val="0"/>
                    <w:rPr>
                      <w:rFonts w:hint="default"/>
                      <w:b w:val="0"/>
                      <w:color w:val="000000"/>
                    </w:rPr>
                  </w:pPr>
                  <w:r>
                    <w:rPr>
                      <w:rFonts w:hint="default"/>
                      <w:b w:val="0"/>
                      <w:color w:val="000000"/>
                    </w:rPr>
                    <w:t>第三次</w:t>
                  </w:r>
                </w:p>
              </w:tc>
              <w:tc>
                <w:tcPr>
                  <w:tcW w:w="541" w:type="pct"/>
                  <w:tcBorders>
                    <w:tl2br w:val="nil"/>
                    <w:tr2bl w:val="nil"/>
                  </w:tcBorders>
                  <w:shd w:val="clear" w:color="auto" w:fill="auto"/>
                  <w:vAlign w:val="center"/>
                </w:tcPr>
                <w:p w14:paraId="44682193">
                  <w:pPr>
                    <w:pStyle w:val="38"/>
                    <w:bidi w:val="0"/>
                    <w:rPr>
                      <w:rFonts w:hint="default"/>
                      <w:b w:val="0"/>
                      <w:color w:val="000000"/>
                    </w:rPr>
                  </w:pPr>
                  <w:r>
                    <w:rPr>
                      <w:rFonts w:hint="default"/>
                      <w:b w:val="0"/>
                      <w:color w:val="000000"/>
                    </w:rPr>
                    <w:t>3.85</w:t>
                  </w:r>
                </w:p>
              </w:tc>
              <w:tc>
                <w:tcPr>
                  <w:tcW w:w="541" w:type="pct"/>
                  <w:tcBorders>
                    <w:tl2br w:val="nil"/>
                    <w:tr2bl w:val="nil"/>
                  </w:tcBorders>
                  <w:shd w:val="clear" w:color="auto" w:fill="auto"/>
                  <w:vAlign w:val="center"/>
                </w:tcPr>
                <w:p w14:paraId="625BE2FE">
                  <w:pPr>
                    <w:pStyle w:val="38"/>
                    <w:bidi w:val="0"/>
                    <w:rPr>
                      <w:rFonts w:hint="default"/>
                      <w:b w:val="0"/>
                      <w:color w:val="000000"/>
                    </w:rPr>
                  </w:pPr>
                  <w:r>
                    <w:rPr>
                      <w:rFonts w:hint="default"/>
                      <w:b w:val="0"/>
                      <w:color w:val="000000"/>
                    </w:rPr>
                    <w:t>3.78</w:t>
                  </w:r>
                </w:p>
              </w:tc>
              <w:tc>
                <w:tcPr>
                  <w:tcW w:w="541" w:type="pct"/>
                  <w:tcBorders>
                    <w:tl2br w:val="nil"/>
                    <w:tr2bl w:val="nil"/>
                  </w:tcBorders>
                  <w:shd w:val="clear" w:color="auto" w:fill="auto"/>
                  <w:vAlign w:val="center"/>
                </w:tcPr>
                <w:p w14:paraId="13C8A1EF">
                  <w:pPr>
                    <w:pStyle w:val="38"/>
                    <w:bidi w:val="0"/>
                    <w:rPr>
                      <w:rFonts w:hint="default"/>
                      <w:b w:val="0"/>
                      <w:color w:val="000000"/>
                    </w:rPr>
                  </w:pPr>
                  <w:r>
                    <w:rPr>
                      <w:rFonts w:hint="default"/>
                      <w:b w:val="0"/>
                      <w:color w:val="000000"/>
                    </w:rPr>
                    <w:t>3.63</w:t>
                  </w:r>
                </w:p>
              </w:tc>
              <w:tc>
                <w:tcPr>
                  <w:tcW w:w="544" w:type="pct"/>
                  <w:tcBorders>
                    <w:tl2br w:val="nil"/>
                    <w:tr2bl w:val="nil"/>
                  </w:tcBorders>
                  <w:shd w:val="clear" w:color="auto" w:fill="auto"/>
                  <w:vAlign w:val="center"/>
                </w:tcPr>
                <w:p w14:paraId="39C176F9">
                  <w:pPr>
                    <w:pStyle w:val="38"/>
                    <w:bidi w:val="0"/>
                    <w:rPr>
                      <w:rFonts w:hint="default"/>
                      <w:b w:val="0"/>
                      <w:color w:val="000000"/>
                    </w:rPr>
                  </w:pPr>
                  <w:r>
                    <w:rPr>
                      <w:rFonts w:hint="default"/>
                      <w:b w:val="0"/>
                      <w:color w:val="000000"/>
                    </w:rPr>
                    <w:t>3.82</w:t>
                  </w:r>
                </w:p>
              </w:tc>
              <w:tc>
                <w:tcPr>
                  <w:tcW w:w="636" w:type="pct"/>
                  <w:tcBorders>
                    <w:right w:val="nil"/>
                    <w:tl2br w:val="nil"/>
                    <w:tr2bl w:val="nil"/>
                  </w:tcBorders>
                  <w:shd w:val="clear" w:color="auto" w:fill="auto"/>
                  <w:vAlign w:val="center"/>
                </w:tcPr>
                <w:p w14:paraId="6B14FCA2">
                  <w:pPr>
                    <w:pStyle w:val="38"/>
                    <w:bidi w:val="0"/>
                    <w:rPr>
                      <w:rFonts w:hint="default"/>
                      <w:b w:val="0"/>
                      <w:color w:val="000000"/>
                    </w:rPr>
                  </w:pPr>
                  <w:r>
                    <w:rPr>
                      <w:rFonts w:hint="default"/>
                      <w:b w:val="0"/>
                      <w:color w:val="000000"/>
                    </w:rPr>
                    <w:t>3.77</w:t>
                  </w:r>
                </w:p>
              </w:tc>
            </w:tr>
            <w:tr w14:paraId="5A5CC202">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560" w:hRule="atLeast"/>
                <w:jc w:val="center"/>
              </w:trPr>
              <w:tc>
                <w:tcPr>
                  <w:tcW w:w="456" w:type="pct"/>
                  <w:vMerge w:val="continue"/>
                  <w:tcBorders>
                    <w:left w:val="nil"/>
                    <w:tl2br w:val="nil"/>
                    <w:tr2bl w:val="nil"/>
                  </w:tcBorders>
                  <w:shd w:val="clear" w:color="auto" w:fill="auto"/>
                  <w:vAlign w:val="center"/>
                </w:tcPr>
                <w:p w14:paraId="2EDDCFA6">
                  <w:pPr>
                    <w:pStyle w:val="38"/>
                    <w:bidi w:val="0"/>
                    <w:rPr>
                      <w:rFonts w:hint="default"/>
                      <w:b w:val="0"/>
                      <w:color w:val="000000"/>
                    </w:rPr>
                  </w:pPr>
                </w:p>
              </w:tc>
              <w:tc>
                <w:tcPr>
                  <w:tcW w:w="573" w:type="pct"/>
                  <w:vMerge w:val="continue"/>
                  <w:tcBorders>
                    <w:tl2br w:val="nil"/>
                    <w:tr2bl w:val="nil"/>
                  </w:tcBorders>
                  <w:shd w:val="clear" w:color="auto" w:fill="auto"/>
                  <w:vAlign w:val="center"/>
                </w:tcPr>
                <w:p w14:paraId="296AFACA">
                  <w:pPr>
                    <w:pStyle w:val="38"/>
                    <w:bidi w:val="0"/>
                    <w:rPr>
                      <w:rFonts w:hint="default"/>
                      <w:b w:val="0"/>
                      <w:color w:val="000000"/>
                    </w:rPr>
                  </w:pPr>
                </w:p>
              </w:tc>
              <w:tc>
                <w:tcPr>
                  <w:tcW w:w="563" w:type="pct"/>
                  <w:vMerge w:val="continue"/>
                  <w:tcBorders>
                    <w:tl2br w:val="nil"/>
                    <w:tr2bl w:val="nil"/>
                  </w:tcBorders>
                  <w:shd w:val="clear" w:color="auto" w:fill="auto"/>
                  <w:vAlign w:val="center"/>
                </w:tcPr>
                <w:p w14:paraId="2D72FF1B">
                  <w:pPr>
                    <w:pStyle w:val="38"/>
                    <w:bidi w:val="0"/>
                    <w:rPr>
                      <w:rFonts w:hint="default"/>
                      <w:b w:val="0"/>
                      <w:color w:val="000000"/>
                    </w:rPr>
                  </w:pPr>
                </w:p>
              </w:tc>
              <w:tc>
                <w:tcPr>
                  <w:tcW w:w="603" w:type="pct"/>
                  <w:tcBorders>
                    <w:tl2br w:val="nil"/>
                    <w:tr2bl w:val="nil"/>
                  </w:tcBorders>
                  <w:shd w:val="clear" w:color="auto" w:fill="auto"/>
                  <w:vAlign w:val="center"/>
                </w:tcPr>
                <w:p w14:paraId="6696CA5C">
                  <w:pPr>
                    <w:pStyle w:val="38"/>
                    <w:bidi w:val="0"/>
                    <w:rPr>
                      <w:rFonts w:hint="default"/>
                      <w:b w:val="0"/>
                      <w:color w:val="000000"/>
                    </w:rPr>
                  </w:pPr>
                  <w:r>
                    <w:rPr>
                      <w:rFonts w:hint="default"/>
                      <w:b w:val="0"/>
                      <w:color w:val="000000"/>
                    </w:rPr>
                    <w:t>最大值</w:t>
                  </w:r>
                </w:p>
              </w:tc>
              <w:tc>
                <w:tcPr>
                  <w:tcW w:w="2167" w:type="pct"/>
                  <w:gridSpan w:val="4"/>
                  <w:tcBorders>
                    <w:tl2br w:val="nil"/>
                    <w:tr2bl w:val="nil"/>
                  </w:tcBorders>
                  <w:shd w:val="clear" w:color="auto" w:fill="auto"/>
                  <w:vAlign w:val="center"/>
                </w:tcPr>
                <w:p w14:paraId="63BB2D41">
                  <w:pPr>
                    <w:pStyle w:val="38"/>
                    <w:bidi w:val="0"/>
                    <w:rPr>
                      <w:rFonts w:hint="default"/>
                      <w:b w:val="0"/>
                      <w:color w:val="000000"/>
                    </w:rPr>
                  </w:pPr>
                  <w:r>
                    <w:rPr>
                      <w:rFonts w:hint="default"/>
                      <w:b w:val="0"/>
                      <w:color w:val="000000"/>
                    </w:rPr>
                    <w:t>3.86</w:t>
                  </w:r>
                </w:p>
              </w:tc>
              <w:tc>
                <w:tcPr>
                  <w:tcW w:w="636" w:type="pct"/>
                  <w:tcBorders>
                    <w:right w:val="nil"/>
                    <w:tl2br w:val="nil"/>
                    <w:tr2bl w:val="nil"/>
                  </w:tcBorders>
                  <w:shd w:val="clear" w:color="auto" w:fill="auto"/>
                  <w:vAlign w:val="center"/>
                </w:tcPr>
                <w:p w14:paraId="0DF76270">
                  <w:pPr>
                    <w:pStyle w:val="38"/>
                    <w:bidi w:val="0"/>
                    <w:rPr>
                      <w:rFonts w:hint="default"/>
                      <w:b w:val="0"/>
                      <w:color w:val="000000"/>
                    </w:rPr>
                  </w:pPr>
                  <w:r>
                    <w:rPr>
                      <w:rFonts w:hint="default"/>
                      <w:b w:val="0"/>
                      <w:color w:val="000000"/>
                    </w:rPr>
                    <w:t>3.77</w:t>
                  </w:r>
                </w:p>
              </w:tc>
            </w:tr>
            <w:tr w14:paraId="0D9299ED">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560" w:hRule="atLeast"/>
                <w:jc w:val="center"/>
              </w:trPr>
              <w:tc>
                <w:tcPr>
                  <w:tcW w:w="456" w:type="pct"/>
                  <w:vMerge w:val="continue"/>
                  <w:tcBorders>
                    <w:left w:val="nil"/>
                    <w:tl2br w:val="nil"/>
                    <w:tr2bl w:val="nil"/>
                  </w:tcBorders>
                  <w:shd w:val="clear" w:color="auto" w:fill="auto"/>
                  <w:vAlign w:val="center"/>
                </w:tcPr>
                <w:p w14:paraId="051D7195">
                  <w:pPr>
                    <w:pStyle w:val="38"/>
                    <w:bidi w:val="0"/>
                    <w:rPr>
                      <w:rFonts w:hint="default"/>
                      <w:b w:val="0"/>
                      <w:color w:val="000000"/>
                    </w:rPr>
                  </w:pPr>
                </w:p>
              </w:tc>
              <w:tc>
                <w:tcPr>
                  <w:tcW w:w="573" w:type="pct"/>
                  <w:vMerge w:val="restart"/>
                  <w:tcBorders>
                    <w:tl2br w:val="nil"/>
                    <w:tr2bl w:val="nil"/>
                  </w:tcBorders>
                  <w:shd w:val="clear" w:color="auto" w:fill="auto"/>
                  <w:vAlign w:val="center"/>
                </w:tcPr>
                <w:p w14:paraId="7E4C36DE">
                  <w:pPr>
                    <w:pStyle w:val="38"/>
                    <w:bidi w:val="0"/>
                    <w:rPr>
                      <w:rFonts w:hint="default"/>
                      <w:b w:val="0"/>
                      <w:color w:val="000000"/>
                    </w:rPr>
                  </w:pPr>
                  <w:r>
                    <w:rPr>
                      <w:rFonts w:hint="default"/>
                      <w:b w:val="0"/>
                      <w:color w:val="000000"/>
                    </w:rPr>
                    <w:t>Q6厂区</w:t>
                  </w:r>
                </w:p>
              </w:tc>
              <w:tc>
                <w:tcPr>
                  <w:tcW w:w="563" w:type="pct"/>
                  <w:vMerge w:val="restart"/>
                  <w:tcBorders>
                    <w:tl2br w:val="nil"/>
                    <w:tr2bl w:val="nil"/>
                  </w:tcBorders>
                  <w:shd w:val="clear" w:color="auto" w:fill="auto"/>
                  <w:vAlign w:val="center"/>
                </w:tcPr>
                <w:p w14:paraId="7F5E19BC">
                  <w:pPr>
                    <w:pStyle w:val="38"/>
                    <w:bidi w:val="0"/>
                    <w:rPr>
                      <w:rFonts w:hint="default"/>
                      <w:b w:val="0"/>
                      <w:color w:val="000000"/>
                    </w:rPr>
                  </w:pPr>
                  <w:r>
                    <w:rPr>
                      <w:rFonts w:hint="default"/>
                      <w:b w:val="0"/>
                      <w:color w:val="000000"/>
                    </w:rPr>
                    <w:t>非甲烷总烃</w:t>
                  </w:r>
                </w:p>
              </w:tc>
              <w:tc>
                <w:tcPr>
                  <w:tcW w:w="603" w:type="pct"/>
                  <w:tcBorders>
                    <w:tl2br w:val="nil"/>
                    <w:tr2bl w:val="nil"/>
                  </w:tcBorders>
                  <w:shd w:val="clear" w:color="auto" w:fill="auto"/>
                  <w:vAlign w:val="center"/>
                </w:tcPr>
                <w:p w14:paraId="2C30D4BA">
                  <w:pPr>
                    <w:pStyle w:val="38"/>
                    <w:bidi w:val="0"/>
                    <w:rPr>
                      <w:rFonts w:hint="default"/>
                      <w:b w:val="0"/>
                      <w:color w:val="000000"/>
                    </w:rPr>
                  </w:pPr>
                  <w:r>
                    <w:rPr>
                      <w:rFonts w:hint="default"/>
                      <w:b w:val="0"/>
                      <w:color w:val="000000"/>
                    </w:rPr>
                    <w:t>第一次</w:t>
                  </w:r>
                </w:p>
              </w:tc>
              <w:tc>
                <w:tcPr>
                  <w:tcW w:w="541" w:type="pct"/>
                  <w:tcBorders>
                    <w:tl2br w:val="nil"/>
                    <w:tr2bl w:val="nil"/>
                  </w:tcBorders>
                  <w:shd w:val="clear" w:color="auto" w:fill="auto"/>
                  <w:vAlign w:val="center"/>
                </w:tcPr>
                <w:p w14:paraId="59CD5EA0">
                  <w:pPr>
                    <w:pStyle w:val="38"/>
                    <w:bidi w:val="0"/>
                    <w:rPr>
                      <w:rFonts w:hint="default"/>
                      <w:b w:val="0"/>
                      <w:color w:val="000000"/>
                    </w:rPr>
                  </w:pPr>
                  <w:r>
                    <w:rPr>
                      <w:rFonts w:hint="default"/>
                      <w:b w:val="0"/>
                      <w:color w:val="000000"/>
                    </w:rPr>
                    <w:t>3.16</w:t>
                  </w:r>
                </w:p>
              </w:tc>
              <w:tc>
                <w:tcPr>
                  <w:tcW w:w="541" w:type="pct"/>
                  <w:tcBorders>
                    <w:tl2br w:val="nil"/>
                    <w:tr2bl w:val="nil"/>
                  </w:tcBorders>
                  <w:shd w:val="clear" w:color="auto" w:fill="auto"/>
                  <w:vAlign w:val="center"/>
                </w:tcPr>
                <w:p w14:paraId="6D0EF35D">
                  <w:pPr>
                    <w:pStyle w:val="38"/>
                    <w:bidi w:val="0"/>
                    <w:rPr>
                      <w:rFonts w:hint="default"/>
                      <w:b w:val="0"/>
                      <w:color w:val="000000"/>
                    </w:rPr>
                  </w:pPr>
                  <w:r>
                    <w:rPr>
                      <w:rFonts w:hint="default"/>
                      <w:b w:val="0"/>
                      <w:color w:val="000000"/>
                    </w:rPr>
                    <w:t>2.86</w:t>
                  </w:r>
                </w:p>
              </w:tc>
              <w:tc>
                <w:tcPr>
                  <w:tcW w:w="541" w:type="pct"/>
                  <w:tcBorders>
                    <w:tl2br w:val="nil"/>
                    <w:tr2bl w:val="nil"/>
                  </w:tcBorders>
                  <w:shd w:val="clear" w:color="auto" w:fill="auto"/>
                  <w:vAlign w:val="center"/>
                </w:tcPr>
                <w:p w14:paraId="546F5B26">
                  <w:pPr>
                    <w:pStyle w:val="38"/>
                    <w:bidi w:val="0"/>
                    <w:rPr>
                      <w:rFonts w:hint="default"/>
                      <w:b w:val="0"/>
                      <w:color w:val="000000"/>
                    </w:rPr>
                  </w:pPr>
                  <w:r>
                    <w:rPr>
                      <w:rFonts w:hint="default"/>
                      <w:b w:val="0"/>
                      <w:color w:val="000000"/>
                    </w:rPr>
                    <w:t>3.39</w:t>
                  </w:r>
                </w:p>
              </w:tc>
              <w:tc>
                <w:tcPr>
                  <w:tcW w:w="544" w:type="pct"/>
                  <w:tcBorders>
                    <w:tl2br w:val="nil"/>
                    <w:tr2bl w:val="nil"/>
                  </w:tcBorders>
                  <w:shd w:val="clear" w:color="auto" w:fill="auto"/>
                  <w:vAlign w:val="center"/>
                </w:tcPr>
                <w:p w14:paraId="4213B0C0">
                  <w:pPr>
                    <w:pStyle w:val="38"/>
                    <w:bidi w:val="0"/>
                    <w:rPr>
                      <w:rFonts w:hint="default"/>
                      <w:b w:val="0"/>
                      <w:color w:val="000000"/>
                    </w:rPr>
                  </w:pPr>
                  <w:r>
                    <w:rPr>
                      <w:rFonts w:hint="default"/>
                      <w:b w:val="0"/>
                      <w:color w:val="000000"/>
                    </w:rPr>
                    <w:t>3.46</w:t>
                  </w:r>
                </w:p>
              </w:tc>
              <w:tc>
                <w:tcPr>
                  <w:tcW w:w="636" w:type="pct"/>
                  <w:tcBorders>
                    <w:right w:val="nil"/>
                    <w:tl2br w:val="nil"/>
                    <w:tr2bl w:val="nil"/>
                  </w:tcBorders>
                  <w:shd w:val="clear" w:color="auto" w:fill="auto"/>
                  <w:vAlign w:val="center"/>
                </w:tcPr>
                <w:p w14:paraId="542010C4">
                  <w:pPr>
                    <w:pStyle w:val="38"/>
                    <w:bidi w:val="0"/>
                    <w:rPr>
                      <w:rFonts w:hint="default"/>
                      <w:b w:val="0"/>
                      <w:color w:val="000000"/>
                    </w:rPr>
                  </w:pPr>
                  <w:r>
                    <w:rPr>
                      <w:rFonts w:hint="default"/>
                      <w:b w:val="0"/>
                      <w:color w:val="000000"/>
                    </w:rPr>
                    <w:t>3.22</w:t>
                  </w:r>
                </w:p>
              </w:tc>
            </w:tr>
            <w:tr w14:paraId="16640EB2">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560" w:hRule="atLeast"/>
                <w:jc w:val="center"/>
              </w:trPr>
              <w:tc>
                <w:tcPr>
                  <w:tcW w:w="456" w:type="pct"/>
                  <w:vMerge w:val="continue"/>
                  <w:tcBorders>
                    <w:left w:val="nil"/>
                    <w:tl2br w:val="nil"/>
                    <w:tr2bl w:val="nil"/>
                  </w:tcBorders>
                  <w:shd w:val="clear" w:color="auto" w:fill="auto"/>
                  <w:vAlign w:val="center"/>
                </w:tcPr>
                <w:p w14:paraId="52698604">
                  <w:pPr>
                    <w:pStyle w:val="38"/>
                    <w:bidi w:val="0"/>
                    <w:rPr>
                      <w:rFonts w:hint="default"/>
                      <w:b w:val="0"/>
                      <w:color w:val="000000"/>
                    </w:rPr>
                  </w:pPr>
                </w:p>
              </w:tc>
              <w:tc>
                <w:tcPr>
                  <w:tcW w:w="573" w:type="pct"/>
                  <w:vMerge w:val="continue"/>
                  <w:tcBorders>
                    <w:tl2br w:val="nil"/>
                    <w:tr2bl w:val="nil"/>
                  </w:tcBorders>
                  <w:shd w:val="clear" w:color="auto" w:fill="auto"/>
                  <w:vAlign w:val="center"/>
                </w:tcPr>
                <w:p w14:paraId="5743EBEF">
                  <w:pPr>
                    <w:pStyle w:val="38"/>
                    <w:bidi w:val="0"/>
                    <w:rPr>
                      <w:rFonts w:hint="default"/>
                      <w:b w:val="0"/>
                      <w:color w:val="000000"/>
                    </w:rPr>
                  </w:pPr>
                </w:p>
              </w:tc>
              <w:tc>
                <w:tcPr>
                  <w:tcW w:w="563" w:type="pct"/>
                  <w:vMerge w:val="continue"/>
                  <w:tcBorders>
                    <w:tl2br w:val="nil"/>
                    <w:tr2bl w:val="nil"/>
                  </w:tcBorders>
                  <w:shd w:val="clear" w:color="auto" w:fill="auto"/>
                  <w:vAlign w:val="center"/>
                </w:tcPr>
                <w:p w14:paraId="6EA8E459">
                  <w:pPr>
                    <w:pStyle w:val="38"/>
                    <w:bidi w:val="0"/>
                    <w:rPr>
                      <w:rFonts w:hint="default"/>
                      <w:b w:val="0"/>
                      <w:color w:val="000000"/>
                    </w:rPr>
                  </w:pPr>
                </w:p>
              </w:tc>
              <w:tc>
                <w:tcPr>
                  <w:tcW w:w="603" w:type="pct"/>
                  <w:tcBorders>
                    <w:tl2br w:val="nil"/>
                    <w:tr2bl w:val="nil"/>
                  </w:tcBorders>
                  <w:shd w:val="clear" w:color="auto" w:fill="auto"/>
                  <w:vAlign w:val="center"/>
                </w:tcPr>
                <w:p w14:paraId="7DFC501E">
                  <w:pPr>
                    <w:pStyle w:val="38"/>
                    <w:bidi w:val="0"/>
                    <w:rPr>
                      <w:rFonts w:hint="default"/>
                      <w:b w:val="0"/>
                      <w:color w:val="000000"/>
                    </w:rPr>
                  </w:pPr>
                  <w:r>
                    <w:rPr>
                      <w:rFonts w:hint="default"/>
                      <w:b w:val="0"/>
                      <w:color w:val="000000"/>
                    </w:rPr>
                    <w:t>第二次</w:t>
                  </w:r>
                </w:p>
              </w:tc>
              <w:tc>
                <w:tcPr>
                  <w:tcW w:w="541" w:type="pct"/>
                  <w:tcBorders>
                    <w:tl2br w:val="nil"/>
                    <w:tr2bl w:val="nil"/>
                  </w:tcBorders>
                  <w:shd w:val="clear" w:color="auto" w:fill="auto"/>
                  <w:vAlign w:val="center"/>
                </w:tcPr>
                <w:p w14:paraId="38996874">
                  <w:pPr>
                    <w:pStyle w:val="38"/>
                    <w:bidi w:val="0"/>
                    <w:rPr>
                      <w:rFonts w:hint="default"/>
                      <w:b w:val="0"/>
                      <w:color w:val="000000"/>
                    </w:rPr>
                  </w:pPr>
                  <w:r>
                    <w:rPr>
                      <w:rFonts w:hint="default"/>
                      <w:b w:val="0"/>
                      <w:color w:val="000000"/>
                    </w:rPr>
                    <w:t>3.31</w:t>
                  </w:r>
                </w:p>
              </w:tc>
              <w:tc>
                <w:tcPr>
                  <w:tcW w:w="541" w:type="pct"/>
                  <w:tcBorders>
                    <w:tl2br w:val="nil"/>
                    <w:tr2bl w:val="nil"/>
                  </w:tcBorders>
                  <w:shd w:val="clear" w:color="auto" w:fill="auto"/>
                  <w:vAlign w:val="center"/>
                </w:tcPr>
                <w:p w14:paraId="07EDAA5F">
                  <w:pPr>
                    <w:pStyle w:val="38"/>
                    <w:bidi w:val="0"/>
                    <w:rPr>
                      <w:rFonts w:hint="default"/>
                      <w:b w:val="0"/>
                      <w:color w:val="000000"/>
                    </w:rPr>
                  </w:pPr>
                  <w:r>
                    <w:rPr>
                      <w:rFonts w:hint="default"/>
                      <w:b w:val="0"/>
                      <w:color w:val="000000"/>
                    </w:rPr>
                    <w:t>3.40</w:t>
                  </w:r>
                </w:p>
              </w:tc>
              <w:tc>
                <w:tcPr>
                  <w:tcW w:w="541" w:type="pct"/>
                  <w:tcBorders>
                    <w:tl2br w:val="nil"/>
                    <w:tr2bl w:val="nil"/>
                  </w:tcBorders>
                  <w:shd w:val="clear" w:color="auto" w:fill="auto"/>
                  <w:vAlign w:val="center"/>
                </w:tcPr>
                <w:p w14:paraId="5F88B035">
                  <w:pPr>
                    <w:pStyle w:val="38"/>
                    <w:bidi w:val="0"/>
                    <w:rPr>
                      <w:rFonts w:hint="default"/>
                      <w:b w:val="0"/>
                      <w:color w:val="000000"/>
                    </w:rPr>
                  </w:pPr>
                  <w:r>
                    <w:rPr>
                      <w:rFonts w:hint="default"/>
                      <w:b w:val="0"/>
                      <w:color w:val="000000"/>
                    </w:rPr>
                    <w:t>2.92</w:t>
                  </w:r>
                </w:p>
              </w:tc>
              <w:tc>
                <w:tcPr>
                  <w:tcW w:w="544" w:type="pct"/>
                  <w:tcBorders>
                    <w:tl2br w:val="nil"/>
                    <w:tr2bl w:val="nil"/>
                  </w:tcBorders>
                  <w:shd w:val="clear" w:color="auto" w:fill="auto"/>
                  <w:vAlign w:val="center"/>
                </w:tcPr>
                <w:p w14:paraId="48825C11">
                  <w:pPr>
                    <w:pStyle w:val="38"/>
                    <w:bidi w:val="0"/>
                    <w:rPr>
                      <w:rFonts w:hint="default"/>
                      <w:b w:val="0"/>
                      <w:color w:val="000000"/>
                    </w:rPr>
                  </w:pPr>
                  <w:r>
                    <w:rPr>
                      <w:rFonts w:hint="default"/>
                      <w:b w:val="0"/>
                      <w:color w:val="000000"/>
                    </w:rPr>
                    <w:t>3.53</w:t>
                  </w:r>
                </w:p>
              </w:tc>
              <w:tc>
                <w:tcPr>
                  <w:tcW w:w="636" w:type="pct"/>
                  <w:tcBorders>
                    <w:right w:val="nil"/>
                    <w:tl2br w:val="nil"/>
                    <w:tr2bl w:val="nil"/>
                  </w:tcBorders>
                  <w:shd w:val="clear" w:color="auto" w:fill="auto"/>
                  <w:vAlign w:val="center"/>
                </w:tcPr>
                <w:p w14:paraId="6D05F34C">
                  <w:pPr>
                    <w:pStyle w:val="38"/>
                    <w:bidi w:val="0"/>
                    <w:rPr>
                      <w:rFonts w:hint="default"/>
                      <w:b w:val="0"/>
                      <w:color w:val="000000"/>
                    </w:rPr>
                  </w:pPr>
                  <w:r>
                    <w:rPr>
                      <w:rFonts w:hint="default"/>
                      <w:b w:val="0"/>
                      <w:color w:val="000000"/>
                    </w:rPr>
                    <w:t>3.29</w:t>
                  </w:r>
                </w:p>
              </w:tc>
            </w:tr>
            <w:tr w14:paraId="41146BA6">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560" w:hRule="atLeast"/>
                <w:jc w:val="center"/>
              </w:trPr>
              <w:tc>
                <w:tcPr>
                  <w:tcW w:w="456" w:type="pct"/>
                  <w:vMerge w:val="continue"/>
                  <w:tcBorders>
                    <w:left w:val="nil"/>
                    <w:tl2br w:val="nil"/>
                    <w:tr2bl w:val="nil"/>
                  </w:tcBorders>
                  <w:shd w:val="clear" w:color="auto" w:fill="auto"/>
                  <w:vAlign w:val="center"/>
                </w:tcPr>
                <w:p w14:paraId="32A71EF9">
                  <w:pPr>
                    <w:pStyle w:val="38"/>
                    <w:bidi w:val="0"/>
                    <w:rPr>
                      <w:rFonts w:hint="default"/>
                      <w:b w:val="0"/>
                      <w:color w:val="000000"/>
                    </w:rPr>
                  </w:pPr>
                </w:p>
              </w:tc>
              <w:tc>
                <w:tcPr>
                  <w:tcW w:w="573" w:type="pct"/>
                  <w:vMerge w:val="continue"/>
                  <w:tcBorders>
                    <w:tl2br w:val="nil"/>
                    <w:tr2bl w:val="nil"/>
                  </w:tcBorders>
                  <w:shd w:val="clear" w:color="auto" w:fill="auto"/>
                  <w:vAlign w:val="center"/>
                </w:tcPr>
                <w:p w14:paraId="5E19F9AD">
                  <w:pPr>
                    <w:pStyle w:val="38"/>
                    <w:bidi w:val="0"/>
                    <w:rPr>
                      <w:rFonts w:hint="default"/>
                      <w:b w:val="0"/>
                      <w:color w:val="000000"/>
                    </w:rPr>
                  </w:pPr>
                </w:p>
              </w:tc>
              <w:tc>
                <w:tcPr>
                  <w:tcW w:w="563" w:type="pct"/>
                  <w:vMerge w:val="continue"/>
                  <w:tcBorders>
                    <w:tl2br w:val="nil"/>
                    <w:tr2bl w:val="nil"/>
                  </w:tcBorders>
                  <w:shd w:val="clear" w:color="auto" w:fill="auto"/>
                  <w:vAlign w:val="center"/>
                </w:tcPr>
                <w:p w14:paraId="2F794E4B">
                  <w:pPr>
                    <w:pStyle w:val="38"/>
                    <w:bidi w:val="0"/>
                    <w:rPr>
                      <w:rFonts w:hint="default"/>
                      <w:b w:val="0"/>
                      <w:color w:val="000000"/>
                    </w:rPr>
                  </w:pPr>
                </w:p>
              </w:tc>
              <w:tc>
                <w:tcPr>
                  <w:tcW w:w="603" w:type="pct"/>
                  <w:tcBorders>
                    <w:tl2br w:val="nil"/>
                    <w:tr2bl w:val="nil"/>
                  </w:tcBorders>
                  <w:shd w:val="clear" w:color="auto" w:fill="auto"/>
                  <w:vAlign w:val="center"/>
                </w:tcPr>
                <w:p w14:paraId="796A9ADA">
                  <w:pPr>
                    <w:pStyle w:val="38"/>
                    <w:bidi w:val="0"/>
                    <w:rPr>
                      <w:rFonts w:hint="default"/>
                      <w:b w:val="0"/>
                      <w:color w:val="000000"/>
                    </w:rPr>
                  </w:pPr>
                  <w:r>
                    <w:rPr>
                      <w:rFonts w:hint="default"/>
                      <w:b w:val="0"/>
                      <w:color w:val="000000"/>
                    </w:rPr>
                    <w:t>第三次</w:t>
                  </w:r>
                </w:p>
              </w:tc>
              <w:tc>
                <w:tcPr>
                  <w:tcW w:w="541" w:type="pct"/>
                  <w:tcBorders>
                    <w:tl2br w:val="nil"/>
                    <w:tr2bl w:val="nil"/>
                  </w:tcBorders>
                  <w:shd w:val="clear" w:color="auto" w:fill="auto"/>
                  <w:vAlign w:val="center"/>
                </w:tcPr>
                <w:p w14:paraId="2212D014">
                  <w:pPr>
                    <w:pStyle w:val="38"/>
                    <w:bidi w:val="0"/>
                    <w:rPr>
                      <w:rFonts w:hint="default"/>
                      <w:b w:val="0"/>
                      <w:color w:val="000000"/>
                    </w:rPr>
                  </w:pPr>
                  <w:r>
                    <w:rPr>
                      <w:rFonts w:hint="default"/>
                      <w:b w:val="0"/>
                      <w:color w:val="000000"/>
                    </w:rPr>
                    <w:t>2.89</w:t>
                  </w:r>
                </w:p>
              </w:tc>
              <w:tc>
                <w:tcPr>
                  <w:tcW w:w="541" w:type="pct"/>
                  <w:tcBorders>
                    <w:tl2br w:val="nil"/>
                    <w:tr2bl w:val="nil"/>
                  </w:tcBorders>
                  <w:shd w:val="clear" w:color="auto" w:fill="auto"/>
                  <w:vAlign w:val="center"/>
                </w:tcPr>
                <w:p w14:paraId="490BADAA">
                  <w:pPr>
                    <w:pStyle w:val="38"/>
                    <w:bidi w:val="0"/>
                    <w:rPr>
                      <w:rFonts w:hint="default"/>
                      <w:b w:val="0"/>
                      <w:color w:val="000000"/>
                    </w:rPr>
                  </w:pPr>
                  <w:r>
                    <w:rPr>
                      <w:rFonts w:hint="default"/>
                      <w:b w:val="0"/>
                      <w:color w:val="000000"/>
                    </w:rPr>
                    <w:t>2.69</w:t>
                  </w:r>
                </w:p>
              </w:tc>
              <w:tc>
                <w:tcPr>
                  <w:tcW w:w="541" w:type="pct"/>
                  <w:tcBorders>
                    <w:tl2br w:val="nil"/>
                    <w:tr2bl w:val="nil"/>
                  </w:tcBorders>
                  <w:shd w:val="clear" w:color="auto" w:fill="auto"/>
                  <w:vAlign w:val="center"/>
                </w:tcPr>
                <w:p w14:paraId="41E426DC">
                  <w:pPr>
                    <w:pStyle w:val="38"/>
                    <w:bidi w:val="0"/>
                    <w:rPr>
                      <w:rFonts w:hint="default"/>
                      <w:b w:val="0"/>
                      <w:color w:val="000000"/>
                    </w:rPr>
                  </w:pPr>
                  <w:r>
                    <w:rPr>
                      <w:rFonts w:hint="default"/>
                      <w:b w:val="0"/>
                      <w:color w:val="000000"/>
                    </w:rPr>
                    <w:t>2.56</w:t>
                  </w:r>
                </w:p>
              </w:tc>
              <w:tc>
                <w:tcPr>
                  <w:tcW w:w="544" w:type="pct"/>
                  <w:tcBorders>
                    <w:tl2br w:val="nil"/>
                    <w:tr2bl w:val="nil"/>
                  </w:tcBorders>
                  <w:shd w:val="clear" w:color="auto" w:fill="auto"/>
                  <w:vAlign w:val="center"/>
                </w:tcPr>
                <w:p w14:paraId="3F7D772F">
                  <w:pPr>
                    <w:pStyle w:val="38"/>
                    <w:bidi w:val="0"/>
                    <w:rPr>
                      <w:rFonts w:hint="default"/>
                      <w:b w:val="0"/>
                      <w:color w:val="000000"/>
                    </w:rPr>
                  </w:pPr>
                  <w:r>
                    <w:rPr>
                      <w:rFonts w:hint="default"/>
                      <w:b w:val="0"/>
                      <w:color w:val="000000"/>
                    </w:rPr>
                    <w:t>2.86</w:t>
                  </w:r>
                </w:p>
              </w:tc>
              <w:tc>
                <w:tcPr>
                  <w:tcW w:w="636" w:type="pct"/>
                  <w:tcBorders>
                    <w:right w:val="nil"/>
                    <w:tl2br w:val="nil"/>
                    <w:tr2bl w:val="nil"/>
                  </w:tcBorders>
                  <w:shd w:val="clear" w:color="auto" w:fill="auto"/>
                  <w:vAlign w:val="center"/>
                </w:tcPr>
                <w:p w14:paraId="7FF3002D">
                  <w:pPr>
                    <w:pStyle w:val="38"/>
                    <w:bidi w:val="0"/>
                    <w:rPr>
                      <w:rFonts w:hint="default"/>
                      <w:b w:val="0"/>
                      <w:color w:val="000000"/>
                    </w:rPr>
                  </w:pPr>
                  <w:r>
                    <w:rPr>
                      <w:rFonts w:hint="default"/>
                      <w:b w:val="0"/>
                      <w:color w:val="000000"/>
                    </w:rPr>
                    <w:t>2.75</w:t>
                  </w:r>
                </w:p>
              </w:tc>
            </w:tr>
            <w:tr w14:paraId="32794C41">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560" w:hRule="atLeast"/>
                <w:jc w:val="center"/>
              </w:trPr>
              <w:tc>
                <w:tcPr>
                  <w:tcW w:w="456" w:type="pct"/>
                  <w:vMerge w:val="continue"/>
                  <w:tcBorders>
                    <w:left w:val="nil"/>
                    <w:tl2br w:val="nil"/>
                    <w:tr2bl w:val="nil"/>
                  </w:tcBorders>
                  <w:shd w:val="clear" w:color="auto" w:fill="auto"/>
                  <w:vAlign w:val="center"/>
                </w:tcPr>
                <w:p w14:paraId="2D63A901">
                  <w:pPr>
                    <w:pStyle w:val="38"/>
                    <w:bidi w:val="0"/>
                    <w:rPr>
                      <w:rFonts w:hint="default"/>
                      <w:b w:val="0"/>
                      <w:color w:val="000000"/>
                    </w:rPr>
                  </w:pPr>
                </w:p>
              </w:tc>
              <w:tc>
                <w:tcPr>
                  <w:tcW w:w="573" w:type="pct"/>
                  <w:vMerge w:val="continue"/>
                  <w:tcBorders>
                    <w:tl2br w:val="nil"/>
                    <w:tr2bl w:val="nil"/>
                  </w:tcBorders>
                  <w:shd w:val="clear" w:color="auto" w:fill="auto"/>
                  <w:vAlign w:val="center"/>
                </w:tcPr>
                <w:p w14:paraId="189D0B67">
                  <w:pPr>
                    <w:pStyle w:val="38"/>
                    <w:bidi w:val="0"/>
                    <w:rPr>
                      <w:rFonts w:hint="default"/>
                      <w:b w:val="0"/>
                      <w:color w:val="000000"/>
                    </w:rPr>
                  </w:pPr>
                </w:p>
              </w:tc>
              <w:tc>
                <w:tcPr>
                  <w:tcW w:w="563" w:type="pct"/>
                  <w:vMerge w:val="continue"/>
                  <w:tcBorders>
                    <w:tl2br w:val="nil"/>
                    <w:tr2bl w:val="nil"/>
                  </w:tcBorders>
                  <w:shd w:val="clear" w:color="auto" w:fill="auto"/>
                  <w:vAlign w:val="center"/>
                </w:tcPr>
                <w:p w14:paraId="63FBEBE4">
                  <w:pPr>
                    <w:pStyle w:val="38"/>
                    <w:bidi w:val="0"/>
                    <w:rPr>
                      <w:rFonts w:hint="default"/>
                      <w:b w:val="0"/>
                      <w:color w:val="000000"/>
                    </w:rPr>
                  </w:pPr>
                </w:p>
              </w:tc>
              <w:tc>
                <w:tcPr>
                  <w:tcW w:w="603" w:type="pct"/>
                  <w:tcBorders>
                    <w:tl2br w:val="nil"/>
                    <w:tr2bl w:val="nil"/>
                  </w:tcBorders>
                  <w:shd w:val="clear" w:color="auto" w:fill="auto"/>
                  <w:vAlign w:val="center"/>
                </w:tcPr>
                <w:p w14:paraId="130FCB4D">
                  <w:pPr>
                    <w:pStyle w:val="38"/>
                    <w:bidi w:val="0"/>
                    <w:rPr>
                      <w:rFonts w:hint="default"/>
                      <w:b w:val="0"/>
                      <w:color w:val="000000"/>
                    </w:rPr>
                  </w:pPr>
                  <w:r>
                    <w:rPr>
                      <w:rFonts w:hint="default"/>
                      <w:b w:val="0"/>
                      <w:color w:val="000000"/>
                    </w:rPr>
                    <w:t>最大值</w:t>
                  </w:r>
                </w:p>
              </w:tc>
              <w:tc>
                <w:tcPr>
                  <w:tcW w:w="2167" w:type="pct"/>
                  <w:gridSpan w:val="4"/>
                  <w:tcBorders>
                    <w:tl2br w:val="nil"/>
                    <w:tr2bl w:val="nil"/>
                  </w:tcBorders>
                  <w:shd w:val="clear" w:color="auto" w:fill="auto"/>
                  <w:vAlign w:val="center"/>
                </w:tcPr>
                <w:p w14:paraId="303F6F3B">
                  <w:pPr>
                    <w:pStyle w:val="38"/>
                    <w:bidi w:val="0"/>
                    <w:rPr>
                      <w:rFonts w:hint="default"/>
                      <w:b w:val="0"/>
                      <w:color w:val="000000"/>
                    </w:rPr>
                  </w:pPr>
                  <w:r>
                    <w:rPr>
                      <w:rFonts w:hint="default"/>
                      <w:b w:val="0"/>
                      <w:color w:val="000000"/>
                    </w:rPr>
                    <w:t>3.53</w:t>
                  </w:r>
                </w:p>
              </w:tc>
              <w:tc>
                <w:tcPr>
                  <w:tcW w:w="636" w:type="pct"/>
                  <w:tcBorders>
                    <w:right w:val="nil"/>
                    <w:tl2br w:val="nil"/>
                    <w:tr2bl w:val="nil"/>
                  </w:tcBorders>
                  <w:shd w:val="clear" w:color="auto" w:fill="auto"/>
                  <w:vAlign w:val="center"/>
                </w:tcPr>
                <w:p w14:paraId="1AA9C059">
                  <w:pPr>
                    <w:pStyle w:val="38"/>
                    <w:bidi w:val="0"/>
                    <w:rPr>
                      <w:rFonts w:hint="default"/>
                      <w:b w:val="0"/>
                      <w:color w:val="000000"/>
                    </w:rPr>
                  </w:pPr>
                  <w:r>
                    <w:rPr>
                      <w:rFonts w:hint="default"/>
                      <w:b w:val="0"/>
                      <w:color w:val="000000"/>
                    </w:rPr>
                    <w:t>3.29</w:t>
                  </w:r>
                </w:p>
              </w:tc>
            </w:tr>
            <w:tr w14:paraId="28B3063C">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560" w:hRule="atLeast"/>
                <w:jc w:val="center"/>
              </w:trPr>
              <w:tc>
                <w:tcPr>
                  <w:tcW w:w="456" w:type="pct"/>
                  <w:vMerge w:val="continue"/>
                  <w:tcBorders>
                    <w:left w:val="nil"/>
                    <w:tl2br w:val="nil"/>
                    <w:tr2bl w:val="nil"/>
                  </w:tcBorders>
                  <w:shd w:val="clear" w:color="auto" w:fill="auto"/>
                  <w:vAlign w:val="center"/>
                </w:tcPr>
                <w:p w14:paraId="680FFFA5">
                  <w:pPr>
                    <w:pStyle w:val="38"/>
                    <w:bidi w:val="0"/>
                    <w:rPr>
                      <w:rFonts w:hint="default"/>
                      <w:b w:val="0"/>
                      <w:color w:val="000000"/>
                    </w:rPr>
                  </w:pPr>
                </w:p>
              </w:tc>
              <w:tc>
                <w:tcPr>
                  <w:tcW w:w="573" w:type="pct"/>
                  <w:vMerge w:val="restart"/>
                  <w:tcBorders>
                    <w:tl2br w:val="nil"/>
                    <w:tr2bl w:val="nil"/>
                  </w:tcBorders>
                  <w:shd w:val="clear" w:color="auto" w:fill="auto"/>
                  <w:vAlign w:val="center"/>
                </w:tcPr>
                <w:p w14:paraId="2E8F9939">
                  <w:pPr>
                    <w:pStyle w:val="38"/>
                    <w:bidi w:val="0"/>
                    <w:rPr>
                      <w:rFonts w:hint="default"/>
                      <w:b w:val="0"/>
                      <w:color w:val="000000"/>
                    </w:rPr>
                  </w:pPr>
                  <w:r>
                    <w:rPr>
                      <w:rFonts w:hint="default"/>
                      <w:b w:val="0"/>
                      <w:color w:val="000000"/>
                    </w:rPr>
                    <w:t>Q7厂区</w:t>
                  </w:r>
                </w:p>
              </w:tc>
              <w:tc>
                <w:tcPr>
                  <w:tcW w:w="563" w:type="pct"/>
                  <w:vMerge w:val="restart"/>
                  <w:tcBorders>
                    <w:tl2br w:val="nil"/>
                    <w:tr2bl w:val="nil"/>
                  </w:tcBorders>
                  <w:shd w:val="clear" w:color="auto" w:fill="auto"/>
                  <w:vAlign w:val="center"/>
                </w:tcPr>
                <w:p w14:paraId="54DFFBFA">
                  <w:pPr>
                    <w:pStyle w:val="38"/>
                    <w:bidi w:val="0"/>
                    <w:rPr>
                      <w:rFonts w:hint="default"/>
                      <w:b w:val="0"/>
                      <w:color w:val="000000"/>
                    </w:rPr>
                  </w:pPr>
                  <w:r>
                    <w:rPr>
                      <w:rFonts w:hint="default"/>
                      <w:b w:val="0"/>
                      <w:color w:val="000000"/>
                    </w:rPr>
                    <w:t>非甲烷总烃</w:t>
                  </w:r>
                </w:p>
              </w:tc>
              <w:tc>
                <w:tcPr>
                  <w:tcW w:w="603" w:type="pct"/>
                  <w:tcBorders>
                    <w:tl2br w:val="nil"/>
                    <w:tr2bl w:val="nil"/>
                  </w:tcBorders>
                  <w:shd w:val="clear" w:color="auto" w:fill="auto"/>
                  <w:vAlign w:val="center"/>
                </w:tcPr>
                <w:p w14:paraId="4DE2A02A">
                  <w:pPr>
                    <w:pStyle w:val="38"/>
                    <w:bidi w:val="0"/>
                    <w:rPr>
                      <w:rFonts w:hint="default"/>
                      <w:b w:val="0"/>
                      <w:color w:val="000000"/>
                    </w:rPr>
                  </w:pPr>
                  <w:r>
                    <w:rPr>
                      <w:rFonts w:hint="default"/>
                      <w:b w:val="0"/>
                      <w:color w:val="000000"/>
                    </w:rPr>
                    <w:t>第一次</w:t>
                  </w:r>
                </w:p>
              </w:tc>
              <w:tc>
                <w:tcPr>
                  <w:tcW w:w="541" w:type="pct"/>
                  <w:tcBorders>
                    <w:tl2br w:val="nil"/>
                    <w:tr2bl w:val="nil"/>
                  </w:tcBorders>
                  <w:shd w:val="clear" w:color="auto" w:fill="auto"/>
                  <w:vAlign w:val="center"/>
                </w:tcPr>
                <w:p w14:paraId="5F03D66E">
                  <w:pPr>
                    <w:pStyle w:val="38"/>
                    <w:bidi w:val="0"/>
                    <w:rPr>
                      <w:rFonts w:hint="default"/>
                      <w:b w:val="0"/>
                      <w:color w:val="000000"/>
                    </w:rPr>
                  </w:pPr>
                  <w:r>
                    <w:rPr>
                      <w:rFonts w:hint="default"/>
                      <w:b w:val="0"/>
                      <w:color w:val="000000"/>
                    </w:rPr>
                    <w:t>3.02</w:t>
                  </w:r>
                </w:p>
              </w:tc>
              <w:tc>
                <w:tcPr>
                  <w:tcW w:w="541" w:type="pct"/>
                  <w:tcBorders>
                    <w:tl2br w:val="nil"/>
                    <w:tr2bl w:val="nil"/>
                  </w:tcBorders>
                  <w:shd w:val="clear" w:color="auto" w:fill="auto"/>
                  <w:vAlign w:val="center"/>
                </w:tcPr>
                <w:p w14:paraId="188797DC">
                  <w:pPr>
                    <w:pStyle w:val="38"/>
                    <w:bidi w:val="0"/>
                    <w:rPr>
                      <w:rFonts w:hint="default"/>
                      <w:b w:val="0"/>
                      <w:color w:val="000000"/>
                    </w:rPr>
                  </w:pPr>
                  <w:r>
                    <w:rPr>
                      <w:rFonts w:hint="default"/>
                      <w:b w:val="0"/>
                      <w:color w:val="000000"/>
                    </w:rPr>
                    <w:t>3.22</w:t>
                  </w:r>
                </w:p>
              </w:tc>
              <w:tc>
                <w:tcPr>
                  <w:tcW w:w="541" w:type="pct"/>
                  <w:tcBorders>
                    <w:tl2br w:val="nil"/>
                    <w:tr2bl w:val="nil"/>
                  </w:tcBorders>
                  <w:shd w:val="clear" w:color="auto" w:fill="auto"/>
                  <w:vAlign w:val="center"/>
                </w:tcPr>
                <w:p w14:paraId="692AF84F">
                  <w:pPr>
                    <w:pStyle w:val="38"/>
                    <w:bidi w:val="0"/>
                    <w:rPr>
                      <w:rFonts w:hint="default"/>
                      <w:b w:val="0"/>
                      <w:color w:val="000000"/>
                    </w:rPr>
                  </w:pPr>
                  <w:r>
                    <w:rPr>
                      <w:rFonts w:hint="default"/>
                      <w:b w:val="0"/>
                      <w:color w:val="000000"/>
                    </w:rPr>
                    <w:t>2.88</w:t>
                  </w:r>
                </w:p>
              </w:tc>
              <w:tc>
                <w:tcPr>
                  <w:tcW w:w="544" w:type="pct"/>
                  <w:tcBorders>
                    <w:tl2br w:val="nil"/>
                    <w:tr2bl w:val="nil"/>
                  </w:tcBorders>
                  <w:shd w:val="clear" w:color="auto" w:fill="auto"/>
                  <w:vAlign w:val="center"/>
                </w:tcPr>
                <w:p w14:paraId="1D848BEC">
                  <w:pPr>
                    <w:pStyle w:val="38"/>
                    <w:bidi w:val="0"/>
                    <w:rPr>
                      <w:rFonts w:hint="default"/>
                      <w:b w:val="0"/>
                      <w:color w:val="000000"/>
                    </w:rPr>
                  </w:pPr>
                  <w:r>
                    <w:rPr>
                      <w:rFonts w:hint="default"/>
                      <w:b w:val="0"/>
                      <w:color w:val="000000"/>
                    </w:rPr>
                    <w:t>3.01</w:t>
                  </w:r>
                </w:p>
              </w:tc>
              <w:tc>
                <w:tcPr>
                  <w:tcW w:w="636" w:type="pct"/>
                  <w:tcBorders>
                    <w:right w:val="nil"/>
                    <w:tl2br w:val="nil"/>
                    <w:tr2bl w:val="nil"/>
                  </w:tcBorders>
                  <w:shd w:val="clear" w:color="auto" w:fill="auto"/>
                  <w:vAlign w:val="center"/>
                </w:tcPr>
                <w:p w14:paraId="0CA1C946">
                  <w:pPr>
                    <w:pStyle w:val="38"/>
                    <w:bidi w:val="0"/>
                    <w:rPr>
                      <w:rFonts w:hint="default"/>
                      <w:b w:val="0"/>
                      <w:color w:val="000000"/>
                    </w:rPr>
                  </w:pPr>
                  <w:r>
                    <w:rPr>
                      <w:rFonts w:hint="default"/>
                      <w:b w:val="0"/>
                      <w:color w:val="000000"/>
                    </w:rPr>
                    <w:t>3.03</w:t>
                  </w:r>
                </w:p>
              </w:tc>
            </w:tr>
            <w:tr w14:paraId="3FC56683">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PrEx>
              <w:trPr>
                <w:trHeight w:val="560" w:hRule="atLeast"/>
                <w:jc w:val="center"/>
              </w:trPr>
              <w:tc>
                <w:tcPr>
                  <w:tcW w:w="456" w:type="pct"/>
                  <w:vMerge w:val="continue"/>
                  <w:tcBorders>
                    <w:left w:val="nil"/>
                    <w:tl2br w:val="nil"/>
                    <w:tr2bl w:val="nil"/>
                  </w:tcBorders>
                  <w:shd w:val="clear" w:color="auto" w:fill="auto"/>
                  <w:vAlign w:val="center"/>
                </w:tcPr>
                <w:p w14:paraId="62C446CA">
                  <w:pPr>
                    <w:pStyle w:val="38"/>
                    <w:bidi w:val="0"/>
                    <w:rPr>
                      <w:rFonts w:hint="default"/>
                      <w:b w:val="0"/>
                      <w:color w:val="000000"/>
                    </w:rPr>
                  </w:pPr>
                </w:p>
              </w:tc>
              <w:tc>
                <w:tcPr>
                  <w:tcW w:w="573" w:type="pct"/>
                  <w:vMerge w:val="continue"/>
                  <w:tcBorders>
                    <w:tl2br w:val="nil"/>
                    <w:tr2bl w:val="nil"/>
                  </w:tcBorders>
                  <w:shd w:val="clear" w:color="auto" w:fill="auto"/>
                  <w:vAlign w:val="center"/>
                </w:tcPr>
                <w:p w14:paraId="7A8A8116">
                  <w:pPr>
                    <w:pStyle w:val="38"/>
                    <w:bidi w:val="0"/>
                    <w:rPr>
                      <w:rFonts w:hint="default"/>
                      <w:b w:val="0"/>
                      <w:color w:val="000000"/>
                    </w:rPr>
                  </w:pPr>
                </w:p>
              </w:tc>
              <w:tc>
                <w:tcPr>
                  <w:tcW w:w="563" w:type="pct"/>
                  <w:vMerge w:val="continue"/>
                  <w:tcBorders>
                    <w:tl2br w:val="nil"/>
                    <w:tr2bl w:val="nil"/>
                  </w:tcBorders>
                  <w:shd w:val="clear" w:color="auto" w:fill="auto"/>
                  <w:vAlign w:val="center"/>
                </w:tcPr>
                <w:p w14:paraId="10E32275">
                  <w:pPr>
                    <w:pStyle w:val="38"/>
                    <w:bidi w:val="0"/>
                    <w:rPr>
                      <w:rFonts w:hint="default"/>
                      <w:b w:val="0"/>
                      <w:color w:val="000000"/>
                    </w:rPr>
                  </w:pPr>
                </w:p>
              </w:tc>
              <w:tc>
                <w:tcPr>
                  <w:tcW w:w="603" w:type="pct"/>
                  <w:tcBorders>
                    <w:tl2br w:val="nil"/>
                    <w:tr2bl w:val="nil"/>
                  </w:tcBorders>
                  <w:shd w:val="clear" w:color="auto" w:fill="auto"/>
                  <w:vAlign w:val="center"/>
                </w:tcPr>
                <w:p w14:paraId="49366275">
                  <w:pPr>
                    <w:pStyle w:val="38"/>
                    <w:bidi w:val="0"/>
                    <w:rPr>
                      <w:rFonts w:hint="default"/>
                      <w:b w:val="0"/>
                      <w:color w:val="000000"/>
                    </w:rPr>
                  </w:pPr>
                  <w:r>
                    <w:rPr>
                      <w:rFonts w:hint="default"/>
                      <w:b w:val="0"/>
                      <w:color w:val="000000"/>
                    </w:rPr>
                    <w:t>第二次</w:t>
                  </w:r>
                </w:p>
              </w:tc>
              <w:tc>
                <w:tcPr>
                  <w:tcW w:w="541" w:type="pct"/>
                  <w:tcBorders>
                    <w:tl2br w:val="nil"/>
                    <w:tr2bl w:val="nil"/>
                  </w:tcBorders>
                  <w:shd w:val="clear" w:color="auto" w:fill="auto"/>
                  <w:vAlign w:val="center"/>
                </w:tcPr>
                <w:p w14:paraId="258BDB48">
                  <w:pPr>
                    <w:pStyle w:val="38"/>
                    <w:bidi w:val="0"/>
                    <w:rPr>
                      <w:rFonts w:hint="default"/>
                      <w:b w:val="0"/>
                      <w:color w:val="000000"/>
                    </w:rPr>
                  </w:pPr>
                  <w:r>
                    <w:rPr>
                      <w:rFonts w:hint="default"/>
                      <w:b w:val="0"/>
                      <w:color w:val="000000"/>
                    </w:rPr>
                    <w:t>3.08</w:t>
                  </w:r>
                </w:p>
              </w:tc>
              <w:tc>
                <w:tcPr>
                  <w:tcW w:w="541" w:type="pct"/>
                  <w:tcBorders>
                    <w:tl2br w:val="nil"/>
                    <w:tr2bl w:val="nil"/>
                  </w:tcBorders>
                  <w:shd w:val="clear" w:color="auto" w:fill="auto"/>
                  <w:vAlign w:val="center"/>
                </w:tcPr>
                <w:p w14:paraId="3E0592D4">
                  <w:pPr>
                    <w:pStyle w:val="38"/>
                    <w:bidi w:val="0"/>
                    <w:rPr>
                      <w:rFonts w:hint="default"/>
                      <w:b w:val="0"/>
                      <w:color w:val="000000"/>
                    </w:rPr>
                  </w:pPr>
                  <w:r>
                    <w:rPr>
                      <w:rFonts w:hint="default"/>
                      <w:b w:val="0"/>
                      <w:color w:val="000000"/>
                    </w:rPr>
                    <w:t>3.19</w:t>
                  </w:r>
                </w:p>
              </w:tc>
              <w:tc>
                <w:tcPr>
                  <w:tcW w:w="541" w:type="pct"/>
                  <w:tcBorders>
                    <w:tl2br w:val="nil"/>
                    <w:tr2bl w:val="nil"/>
                  </w:tcBorders>
                  <w:shd w:val="clear" w:color="auto" w:fill="auto"/>
                  <w:vAlign w:val="center"/>
                </w:tcPr>
                <w:p w14:paraId="05FA652A">
                  <w:pPr>
                    <w:pStyle w:val="38"/>
                    <w:bidi w:val="0"/>
                    <w:rPr>
                      <w:rFonts w:hint="default"/>
                      <w:b w:val="0"/>
                      <w:color w:val="000000"/>
                    </w:rPr>
                  </w:pPr>
                  <w:r>
                    <w:rPr>
                      <w:rFonts w:hint="default"/>
                      <w:b w:val="0"/>
                      <w:color w:val="000000"/>
                    </w:rPr>
                    <w:t>3.09</w:t>
                  </w:r>
                </w:p>
              </w:tc>
              <w:tc>
                <w:tcPr>
                  <w:tcW w:w="544" w:type="pct"/>
                  <w:tcBorders>
                    <w:tl2br w:val="nil"/>
                    <w:tr2bl w:val="nil"/>
                  </w:tcBorders>
                  <w:shd w:val="clear" w:color="auto" w:fill="auto"/>
                  <w:vAlign w:val="center"/>
                </w:tcPr>
                <w:p w14:paraId="3D9B7203">
                  <w:pPr>
                    <w:pStyle w:val="38"/>
                    <w:bidi w:val="0"/>
                    <w:rPr>
                      <w:rFonts w:hint="default"/>
                      <w:b w:val="0"/>
                      <w:color w:val="000000"/>
                    </w:rPr>
                  </w:pPr>
                  <w:r>
                    <w:rPr>
                      <w:rFonts w:hint="default"/>
                      <w:b w:val="0"/>
                      <w:color w:val="000000"/>
                    </w:rPr>
                    <w:t>2.91</w:t>
                  </w:r>
                </w:p>
              </w:tc>
              <w:tc>
                <w:tcPr>
                  <w:tcW w:w="636" w:type="pct"/>
                  <w:tcBorders>
                    <w:right w:val="nil"/>
                    <w:tl2br w:val="nil"/>
                    <w:tr2bl w:val="nil"/>
                  </w:tcBorders>
                  <w:shd w:val="clear" w:color="auto" w:fill="auto"/>
                  <w:vAlign w:val="center"/>
                </w:tcPr>
                <w:p w14:paraId="76E84D9A">
                  <w:pPr>
                    <w:pStyle w:val="38"/>
                    <w:bidi w:val="0"/>
                    <w:rPr>
                      <w:rFonts w:hint="default"/>
                      <w:b w:val="0"/>
                      <w:color w:val="000000"/>
                    </w:rPr>
                  </w:pPr>
                  <w:r>
                    <w:rPr>
                      <w:rFonts w:hint="default"/>
                      <w:b w:val="0"/>
                      <w:color w:val="000000"/>
                    </w:rPr>
                    <w:t>3.07</w:t>
                  </w:r>
                </w:p>
              </w:tc>
            </w:tr>
            <w:tr w14:paraId="32FFE4E6">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560" w:hRule="atLeast"/>
                <w:jc w:val="center"/>
              </w:trPr>
              <w:tc>
                <w:tcPr>
                  <w:tcW w:w="456" w:type="pct"/>
                  <w:vMerge w:val="continue"/>
                  <w:tcBorders>
                    <w:left w:val="nil"/>
                    <w:tl2br w:val="nil"/>
                    <w:tr2bl w:val="nil"/>
                  </w:tcBorders>
                  <w:shd w:val="clear" w:color="auto" w:fill="auto"/>
                  <w:vAlign w:val="center"/>
                </w:tcPr>
                <w:p w14:paraId="660DAD05">
                  <w:pPr>
                    <w:pStyle w:val="38"/>
                    <w:bidi w:val="0"/>
                    <w:rPr>
                      <w:rFonts w:hint="default"/>
                      <w:b w:val="0"/>
                      <w:color w:val="000000"/>
                    </w:rPr>
                  </w:pPr>
                </w:p>
              </w:tc>
              <w:tc>
                <w:tcPr>
                  <w:tcW w:w="573" w:type="pct"/>
                  <w:vMerge w:val="continue"/>
                  <w:tcBorders>
                    <w:tl2br w:val="nil"/>
                    <w:tr2bl w:val="nil"/>
                  </w:tcBorders>
                  <w:shd w:val="clear" w:color="auto" w:fill="auto"/>
                  <w:vAlign w:val="center"/>
                </w:tcPr>
                <w:p w14:paraId="0907763A">
                  <w:pPr>
                    <w:pStyle w:val="38"/>
                    <w:bidi w:val="0"/>
                    <w:rPr>
                      <w:rFonts w:hint="default"/>
                      <w:b w:val="0"/>
                      <w:color w:val="000000"/>
                    </w:rPr>
                  </w:pPr>
                </w:p>
              </w:tc>
              <w:tc>
                <w:tcPr>
                  <w:tcW w:w="563" w:type="pct"/>
                  <w:vMerge w:val="continue"/>
                  <w:tcBorders>
                    <w:tl2br w:val="nil"/>
                    <w:tr2bl w:val="nil"/>
                  </w:tcBorders>
                  <w:shd w:val="clear" w:color="auto" w:fill="auto"/>
                  <w:vAlign w:val="center"/>
                </w:tcPr>
                <w:p w14:paraId="682867FF">
                  <w:pPr>
                    <w:pStyle w:val="38"/>
                    <w:bidi w:val="0"/>
                    <w:rPr>
                      <w:rFonts w:hint="default"/>
                      <w:b w:val="0"/>
                      <w:color w:val="000000"/>
                    </w:rPr>
                  </w:pPr>
                </w:p>
              </w:tc>
              <w:tc>
                <w:tcPr>
                  <w:tcW w:w="603" w:type="pct"/>
                  <w:tcBorders>
                    <w:tl2br w:val="nil"/>
                    <w:tr2bl w:val="nil"/>
                  </w:tcBorders>
                  <w:shd w:val="clear" w:color="auto" w:fill="auto"/>
                  <w:vAlign w:val="center"/>
                </w:tcPr>
                <w:p w14:paraId="29DCF071">
                  <w:pPr>
                    <w:pStyle w:val="38"/>
                    <w:bidi w:val="0"/>
                    <w:rPr>
                      <w:rFonts w:hint="default"/>
                      <w:b w:val="0"/>
                      <w:color w:val="000000"/>
                    </w:rPr>
                  </w:pPr>
                  <w:r>
                    <w:rPr>
                      <w:rFonts w:hint="default"/>
                      <w:b w:val="0"/>
                      <w:color w:val="000000"/>
                    </w:rPr>
                    <w:t>第三次</w:t>
                  </w:r>
                </w:p>
              </w:tc>
              <w:tc>
                <w:tcPr>
                  <w:tcW w:w="541" w:type="pct"/>
                  <w:tcBorders>
                    <w:tl2br w:val="nil"/>
                    <w:tr2bl w:val="nil"/>
                  </w:tcBorders>
                  <w:shd w:val="clear" w:color="auto" w:fill="auto"/>
                  <w:vAlign w:val="center"/>
                </w:tcPr>
                <w:p w14:paraId="11886A60">
                  <w:pPr>
                    <w:pStyle w:val="38"/>
                    <w:bidi w:val="0"/>
                    <w:rPr>
                      <w:rFonts w:hint="default"/>
                      <w:b w:val="0"/>
                      <w:color w:val="000000"/>
                    </w:rPr>
                  </w:pPr>
                  <w:r>
                    <w:rPr>
                      <w:rFonts w:hint="default"/>
                      <w:b w:val="0"/>
                      <w:color w:val="000000"/>
                    </w:rPr>
                    <w:t>3.10</w:t>
                  </w:r>
                </w:p>
              </w:tc>
              <w:tc>
                <w:tcPr>
                  <w:tcW w:w="541" w:type="pct"/>
                  <w:tcBorders>
                    <w:tl2br w:val="nil"/>
                    <w:tr2bl w:val="nil"/>
                  </w:tcBorders>
                  <w:shd w:val="clear" w:color="auto" w:fill="auto"/>
                  <w:vAlign w:val="center"/>
                </w:tcPr>
                <w:p w14:paraId="17775897">
                  <w:pPr>
                    <w:pStyle w:val="38"/>
                    <w:bidi w:val="0"/>
                    <w:rPr>
                      <w:rFonts w:hint="default"/>
                      <w:b w:val="0"/>
                      <w:color w:val="000000"/>
                    </w:rPr>
                  </w:pPr>
                  <w:r>
                    <w:rPr>
                      <w:rFonts w:hint="default"/>
                      <w:b w:val="0"/>
                      <w:color w:val="000000"/>
                    </w:rPr>
                    <w:t>3.13</w:t>
                  </w:r>
                </w:p>
              </w:tc>
              <w:tc>
                <w:tcPr>
                  <w:tcW w:w="541" w:type="pct"/>
                  <w:tcBorders>
                    <w:tl2br w:val="nil"/>
                    <w:tr2bl w:val="nil"/>
                  </w:tcBorders>
                  <w:shd w:val="clear" w:color="auto" w:fill="auto"/>
                  <w:vAlign w:val="center"/>
                </w:tcPr>
                <w:p w14:paraId="4AB30247">
                  <w:pPr>
                    <w:pStyle w:val="38"/>
                    <w:bidi w:val="0"/>
                    <w:rPr>
                      <w:rFonts w:hint="default"/>
                      <w:b w:val="0"/>
                      <w:color w:val="000000"/>
                    </w:rPr>
                  </w:pPr>
                  <w:r>
                    <w:rPr>
                      <w:rFonts w:hint="default"/>
                      <w:b w:val="0"/>
                      <w:color w:val="000000"/>
                    </w:rPr>
                    <w:t>2.53</w:t>
                  </w:r>
                </w:p>
              </w:tc>
              <w:tc>
                <w:tcPr>
                  <w:tcW w:w="544" w:type="pct"/>
                  <w:tcBorders>
                    <w:tl2br w:val="nil"/>
                    <w:tr2bl w:val="nil"/>
                  </w:tcBorders>
                  <w:shd w:val="clear" w:color="auto" w:fill="auto"/>
                  <w:vAlign w:val="center"/>
                </w:tcPr>
                <w:p w14:paraId="53B3D472">
                  <w:pPr>
                    <w:pStyle w:val="38"/>
                    <w:bidi w:val="0"/>
                    <w:rPr>
                      <w:rFonts w:hint="default"/>
                      <w:b w:val="0"/>
                      <w:color w:val="000000"/>
                    </w:rPr>
                  </w:pPr>
                  <w:r>
                    <w:rPr>
                      <w:rFonts w:hint="default"/>
                      <w:b w:val="0"/>
                      <w:color w:val="000000"/>
                    </w:rPr>
                    <w:t>2.70</w:t>
                  </w:r>
                </w:p>
              </w:tc>
              <w:tc>
                <w:tcPr>
                  <w:tcW w:w="636" w:type="pct"/>
                  <w:tcBorders>
                    <w:right w:val="nil"/>
                    <w:tl2br w:val="nil"/>
                    <w:tr2bl w:val="nil"/>
                  </w:tcBorders>
                  <w:shd w:val="clear" w:color="auto" w:fill="auto"/>
                  <w:vAlign w:val="center"/>
                </w:tcPr>
                <w:p w14:paraId="2525A384">
                  <w:pPr>
                    <w:pStyle w:val="38"/>
                    <w:bidi w:val="0"/>
                    <w:rPr>
                      <w:rFonts w:hint="default"/>
                      <w:b w:val="0"/>
                      <w:color w:val="000000"/>
                    </w:rPr>
                  </w:pPr>
                  <w:r>
                    <w:rPr>
                      <w:rFonts w:hint="default"/>
                      <w:b w:val="0"/>
                      <w:color w:val="000000"/>
                    </w:rPr>
                    <w:t>2.86</w:t>
                  </w:r>
                </w:p>
              </w:tc>
            </w:tr>
            <w:tr w14:paraId="12322DB5">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560" w:hRule="atLeast"/>
                <w:jc w:val="center"/>
              </w:trPr>
              <w:tc>
                <w:tcPr>
                  <w:tcW w:w="456" w:type="pct"/>
                  <w:vMerge w:val="continue"/>
                  <w:tcBorders>
                    <w:left w:val="nil"/>
                    <w:tl2br w:val="nil"/>
                    <w:tr2bl w:val="nil"/>
                  </w:tcBorders>
                  <w:shd w:val="clear" w:color="auto" w:fill="auto"/>
                  <w:vAlign w:val="center"/>
                </w:tcPr>
                <w:p w14:paraId="47DB46BC">
                  <w:pPr>
                    <w:pStyle w:val="38"/>
                    <w:bidi w:val="0"/>
                    <w:rPr>
                      <w:rFonts w:hint="default"/>
                      <w:b w:val="0"/>
                      <w:color w:val="000000"/>
                    </w:rPr>
                  </w:pPr>
                </w:p>
              </w:tc>
              <w:tc>
                <w:tcPr>
                  <w:tcW w:w="573" w:type="pct"/>
                  <w:vMerge w:val="continue"/>
                  <w:tcBorders>
                    <w:tl2br w:val="nil"/>
                    <w:tr2bl w:val="nil"/>
                  </w:tcBorders>
                  <w:shd w:val="clear" w:color="auto" w:fill="auto"/>
                  <w:vAlign w:val="center"/>
                </w:tcPr>
                <w:p w14:paraId="5FA8589A">
                  <w:pPr>
                    <w:pStyle w:val="38"/>
                    <w:bidi w:val="0"/>
                    <w:rPr>
                      <w:rFonts w:hint="default"/>
                      <w:b w:val="0"/>
                      <w:color w:val="000000"/>
                    </w:rPr>
                  </w:pPr>
                </w:p>
              </w:tc>
              <w:tc>
                <w:tcPr>
                  <w:tcW w:w="563" w:type="pct"/>
                  <w:vMerge w:val="continue"/>
                  <w:tcBorders>
                    <w:tl2br w:val="nil"/>
                    <w:tr2bl w:val="nil"/>
                  </w:tcBorders>
                  <w:shd w:val="clear" w:color="auto" w:fill="auto"/>
                  <w:vAlign w:val="center"/>
                </w:tcPr>
                <w:p w14:paraId="39CABD3D">
                  <w:pPr>
                    <w:pStyle w:val="38"/>
                    <w:bidi w:val="0"/>
                    <w:rPr>
                      <w:rFonts w:hint="default"/>
                      <w:b w:val="0"/>
                      <w:color w:val="000000"/>
                    </w:rPr>
                  </w:pPr>
                </w:p>
              </w:tc>
              <w:tc>
                <w:tcPr>
                  <w:tcW w:w="603" w:type="pct"/>
                  <w:tcBorders>
                    <w:tl2br w:val="nil"/>
                    <w:tr2bl w:val="nil"/>
                  </w:tcBorders>
                  <w:shd w:val="clear" w:color="auto" w:fill="auto"/>
                  <w:vAlign w:val="center"/>
                </w:tcPr>
                <w:p w14:paraId="6B292127">
                  <w:pPr>
                    <w:pStyle w:val="38"/>
                    <w:bidi w:val="0"/>
                    <w:rPr>
                      <w:rFonts w:hint="default"/>
                      <w:b w:val="0"/>
                      <w:color w:val="000000"/>
                    </w:rPr>
                  </w:pPr>
                  <w:r>
                    <w:rPr>
                      <w:rFonts w:hint="default"/>
                      <w:b w:val="0"/>
                      <w:color w:val="000000"/>
                    </w:rPr>
                    <w:t>最大值</w:t>
                  </w:r>
                </w:p>
              </w:tc>
              <w:tc>
                <w:tcPr>
                  <w:tcW w:w="2167" w:type="pct"/>
                  <w:gridSpan w:val="4"/>
                  <w:tcBorders>
                    <w:tl2br w:val="nil"/>
                    <w:tr2bl w:val="nil"/>
                  </w:tcBorders>
                  <w:shd w:val="clear" w:color="auto" w:fill="auto"/>
                  <w:vAlign w:val="center"/>
                </w:tcPr>
                <w:p w14:paraId="38027B14">
                  <w:pPr>
                    <w:pStyle w:val="38"/>
                    <w:bidi w:val="0"/>
                    <w:rPr>
                      <w:rFonts w:hint="default"/>
                      <w:b w:val="0"/>
                      <w:color w:val="000000"/>
                    </w:rPr>
                  </w:pPr>
                  <w:r>
                    <w:rPr>
                      <w:rFonts w:hint="default"/>
                      <w:b w:val="0"/>
                      <w:color w:val="000000"/>
                    </w:rPr>
                    <w:t>3.22</w:t>
                  </w:r>
                </w:p>
              </w:tc>
              <w:tc>
                <w:tcPr>
                  <w:tcW w:w="636" w:type="pct"/>
                  <w:tcBorders>
                    <w:right w:val="nil"/>
                    <w:tl2br w:val="nil"/>
                    <w:tr2bl w:val="nil"/>
                  </w:tcBorders>
                  <w:shd w:val="clear" w:color="auto" w:fill="auto"/>
                  <w:vAlign w:val="center"/>
                </w:tcPr>
                <w:p w14:paraId="0CAC4178">
                  <w:pPr>
                    <w:pStyle w:val="38"/>
                    <w:bidi w:val="0"/>
                    <w:rPr>
                      <w:rFonts w:hint="default"/>
                      <w:b w:val="0"/>
                      <w:color w:val="000000"/>
                    </w:rPr>
                  </w:pPr>
                  <w:r>
                    <w:rPr>
                      <w:rFonts w:hint="default"/>
                      <w:b w:val="0"/>
                      <w:color w:val="000000"/>
                    </w:rPr>
                    <w:t>3.07</w:t>
                  </w:r>
                </w:p>
              </w:tc>
            </w:tr>
            <w:tr w14:paraId="2F260D2B">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560" w:hRule="atLeast"/>
                <w:jc w:val="center"/>
              </w:trPr>
              <w:tc>
                <w:tcPr>
                  <w:tcW w:w="456" w:type="pct"/>
                  <w:vMerge w:val="restart"/>
                  <w:tcBorders>
                    <w:left w:val="nil"/>
                    <w:tl2br w:val="nil"/>
                    <w:tr2bl w:val="nil"/>
                  </w:tcBorders>
                  <w:shd w:val="clear" w:color="auto" w:fill="auto"/>
                  <w:vAlign w:val="center"/>
                </w:tcPr>
                <w:p w14:paraId="6E8F0A0B">
                  <w:pPr>
                    <w:pStyle w:val="38"/>
                    <w:bidi w:val="0"/>
                    <w:rPr>
                      <w:rFonts w:hint="default"/>
                      <w:b w:val="0"/>
                      <w:color w:val="000000"/>
                    </w:rPr>
                  </w:pPr>
                  <w:r>
                    <w:rPr>
                      <w:rFonts w:hint="default"/>
                      <w:b w:val="0"/>
                      <w:color w:val="000000"/>
                    </w:rPr>
                    <w:t>2023年10月22日</w:t>
                  </w:r>
                </w:p>
              </w:tc>
              <w:tc>
                <w:tcPr>
                  <w:tcW w:w="573" w:type="pct"/>
                  <w:vMerge w:val="restart"/>
                  <w:tcBorders>
                    <w:tl2br w:val="nil"/>
                    <w:tr2bl w:val="nil"/>
                  </w:tcBorders>
                  <w:shd w:val="clear" w:color="auto" w:fill="auto"/>
                  <w:vAlign w:val="center"/>
                </w:tcPr>
                <w:p w14:paraId="4E0295FB">
                  <w:pPr>
                    <w:pStyle w:val="38"/>
                    <w:bidi w:val="0"/>
                    <w:rPr>
                      <w:rFonts w:hint="default"/>
                      <w:b w:val="0"/>
                      <w:color w:val="000000"/>
                    </w:rPr>
                  </w:pPr>
                  <w:r>
                    <w:rPr>
                      <w:rFonts w:hint="default"/>
                      <w:b w:val="0"/>
                      <w:color w:val="000000"/>
                    </w:rPr>
                    <w:t>Q5厂区</w:t>
                  </w:r>
                </w:p>
              </w:tc>
              <w:tc>
                <w:tcPr>
                  <w:tcW w:w="563" w:type="pct"/>
                  <w:vMerge w:val="restart"/>
                  <w:tcBorders>
                    <w:tl2br w:val="nil"/>
                    <w:tr2bl w:val="nil"/>
                  </w:tcBorders>
                  <w:shd w:val="clear" w:color="auto" w:fill="auto"/>
                  <w:vAlign w:val="center"/>
                </w:tcPr>
                <w:p w14:paraId="01D1014B">
                  <w:pPr>
                    <w:pStyle w:val="38"/>
                    <w:bidi w:val="0"/>
                    <w:rPr>
                      <w:rFonts w:hint="default"/>
                      <w:b w:val="0"/>
                      <w:color w:val="000000"/>
                    </w:rPr>
                  </w:pPr>
                  <w:r>
                    <w:rPr>
                      <w:rFonts w:hint="default"/>
                      <w:b w:val="0"/>
                      <w:color w:val="000000"/>
                    </w:rPr>
                    <w:t>非甲烷总烃</w:t>
                  </w:r>
                </w:p>
              </w:tc>
              <w:tc>
                <w:tcPr>
                  <w:tcW w:w="603" w:type="pct"/>
                  <w:tcBorders>
                    <w:tl2br w:val="nil"/>
                    <w:tr2bl w:val="nil"/>
                  </w:tcBorders>
                  <w:shd w:val="clear" w:color="auto" w:fill="auto"/>
                  <w:vAlign w:val="center"/>
                </w:tcPr>
                <w:p w14:paraId="6354A5B0">
                  <w:pPr>
                    <w:pStyle w:val="38"/>
                    <w:bidi w:val="0"/>
                    <w:rPr>
                      <w:rFonts w:hint="default"/>
                      <w:b w:val="0"/>
                      <w:color w:val="000000"/>
                    </w:rPr>
                  </w:pPr>
                  <w:r>
                    <w:rPr>
                      <w:rFonts w:hint="default"/>
                      <w:b w:val="0"/>
                      <w:color w:val="000000"/>
                    </w:rPr>
                    <w:t>第一次</w:t>
                  </w:r>
                </w:p>
              </w:tc>
              <w:tc>
                <w:tcPr>
                  <w:tcW w:w="541" w:type="pct"/>
                  <w:tcBorders>
                    <w:tl2br w:val="nil"/>
                    <w:tr2bl w:val="nil"/>
                  </w:tcBorders>
                  <w:shd w:val="clear" w:color="auto" w:fill="auto"/>
                  <w:vAlign w:val="center"/>
                </w:tcPr>
                <w:p w14:paraId="60000464">
                  <w:pPr>
                    <w:pStyle w:val="38"/>
                    <w:bidi w:val="0"/>
                    <w:rPr>
                      <w:rFonts w:hint="default"/>
                      <w:b w:val="0"/>
                      <w:color w:val="000000"/>
                    </w:rPr>
                  </w:pPr>
                  <w:r>
                    <w:rPr>
                      <w:rFonts w:hint="default"/>
                      <w:b w:val="0"/>
                      <w:color w:val="000000"/>
                    </w:rPr>
                    <w:t>3.80</w:t>
                  </w:r>
                </w:p>
              </w:tc>
              <w:tc>
                <w:tcPr>
                  <w:tcW w:w="541" w:type="pct"/>
                  <w:tcBorders>
                    <w:tl2br w:val="nil"/>
                    <w:tr2bl w:val="nil"/>
                  </w:tcBorders>
                  <w:shd w:val="clear" w:color="auto" w:fill="auto"/>
                  <w:vAlign w:val="center"/>
                </w:tcPr>
                <w:p w14:paraId="5B14BC7B">
                  <w:pPr>
                    <w:pStyle w:val="38"/>
                    <w:bidi w:val="0"/>
                    <w:rPr>
                      <w:rFonts w:hint="default"/>
                      <w:b w:val="0"/>
                      <w:color w:val="000000"/>
                    </w:rPr>
                  </w:pPr>
                  <w:r>
                    <w:rPr>
                      <w:rFonts w:hint="default"/>
                      <w:b w:val="0"/>
                      <w:color w:val="000000"/>
                    </w:rPr>
                    <w:t>3.72</w:t>
                  </w:r>
                </w:p>
              </w:tc>
              <w:tc>
                <w:tcPr>
                  <w:tcW w:w="541" w:type="pct"/>
                  <w:tcBorders>
                    <w:tl2br w:val="nil"/>
                    <w:tr2bl w:val="nil"/>
                  </w:tcBorders>
                  <w:shd w:val="clear" w:color="auto" w:fill="auto"/>
                  <w:vAlign w:val="center"/>
                </w:tcPr>
                <w:p w14:paraId="33E131F5">
                  <w:pPr>
                    <w:pStyle w:val="38"/>
                    <w:bidi w:val="0"/>
                    <w:rPr>
                      <w:rFonts w:hint="default"/>
                      <w:b w:val="0"/>
                      <w:color w:val="000000"/>
                    </w:rPr>
                  </w:pPr>
                  <w:r>
                    <w:rPr>
                      <w:rFonts w:hint="default"/>
                      <w:b w:val="0"/>
                      <w:color w:val="000000"/>
                    </w:rPr>
                    <w:t>3.58</w:t>
                  </w:r>
                </w:p>
              </w:tc>
              <w:tc>
                <w:tcPr>
                  <w:tcW w:w="544" w:type="pct"/>
                  <w:tcBorders>
                    <w:tl2br w:val="nil"/>
                    <w:tr2bl w:val="nil"/>
                  </w:tcBorders>
                  <w:shd w:val="clear" w:color="auto" w:fill="auto"/>
                  <w:vAlign w:val="center"/>
                </w:tcPr>
                <w:p w14:paraId="7B3DD80F">
                  <w:pPr>
                    <w:pStyle w:val="38"/>
                    <w:bidi w:val="0"/>
                    <w:rPr>
                      <w:rFonts w:hint="default"/>
                      <w:b w:val="0"/>
                      <w:color w:val="000000"/>
                    </w:rPr>
                  </w:pPr>
                  <w:r>
                    <w:rPr>
                      <w:rFonts w:hint="default"/>
                      <w:b w:val="0"/>
                      <w:color w:val="000000"/>
                    </w:rPr>
                    <w:t>3.52</w:t>
                  </w:r>
                </w:p>
              </w:tc>
              <w:tc>
                <w:tcPr>
                  <w:tcW w:w="636" w:type="pct"/>
                  <w:tcBorders>
                    <w:right w:val="nil"/>
                    <w:tl2br w:val="nil"/>
                    <w:tr2bl w:val="nil"/>
                  </w:tcBorders>
                  <w:shd w:val="clear" w:color="auto" w:fill="auto"/>
                  <w:vAlign w:val="center"/>
                </w:tcPr>
                <w:p w14:paraId="4075E61F">
                  <w:pPr>
                    <w:pStyle w:val="38"/>
                    <w:bidi w:val="0"/>
                    <w:rPr>
                      <w:rFonts w:hint="default"/>
                      <w:b w:val="0"/>
                      <w:color w:val="000000"/>
                    </w:rPr>
                  </w:pPr>
                  <w:r>
                    <w:rPr>
                      <w:rFonts w:hint="default"/>
                      <w:b w:val="0"/>
                      <w:color w:val="000000"/>
                    </w:rPr>
                    <w:t>3.66</w:t>
                  </w:r>
                </w:p>
              </w:tc>
            </w:tr>
            <w:tr w14:paraId="06453AF2">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560" w:hRule="atLeast"/>
                <w:jc w:val="center"/>
              </w:trPr>
              <w:tc>
                <w:tcPr>
                  <w:tcW w:w="456" w:type="pct"/>
                  <w:vMerge w:val="continue"/>
                  <w:tcBorders>
                    <w:left w:val="nil"/>
                    <w:tl2br w:val="nil"/>
                    <w:tr2bl w:val="nil"/>
                  </w:tcBorders>
                  <w:shd w:val="clear" w:color="auto" w:fill="auto"/>
                  <w:vAlign w:val="center"/>
                </w:tcPr>
                <w:p w14:paraId="686F55E5">
                  <w:pPr>
                    <w:pStyle w:val="38"/>
                    <w:bidi w:val="0"/>
                    <w:rPr>
                      <w:rFonts w:hint="default"/>
                      <w:b w:val="0"/>
                      <w:color w:val="000000"/>
                    </w:rPr>
                  </w:pPr>
                </w:p>
              </w:tc>
              <w:tc>
                <w:tcPr>
                  <w:tcW w:w="573" w:type="pct"/>
                  <w:vMerge w:val="continue"/>
                  <w:tcBorders>
                    <w:tl2br w:val="nil"/>
                    <w:tr2bl w:val="nil"/>
                  </w:tcBorders>
                  <w:shd w:val="clear" w:color="auto" w:fill="auto"/>
                  <w:vAlign w:val="center"/>
                </w:tcPr>
                <w:p w14:paraId="60F23378">
                  <w:pPr>
                    <w:pStyle w:val="38"/>
                    <w:bidi w:val="0"/>
                    <w:rPr>
                      <w:rFonts w:hint="default"/>
                      <w:b w:val="0"/>
                      <w:color w:val="000000"/>
                    </w:rPr>
                  </w:pPr>
                </w:p>
              </w:tc>
              <w:tc>
                <w:tcPr>
                  <w:tcW w:w="563" w:type="pct"/>
                  <w:vMerge w:val="continue"/>
                  <w:tcBorders>
                    <w:tl2br w:val="nil"/>
                    <w:tr2bl w:val="nil"/>
                  </w:tcBorders>
                  <w:shd w:val="clear" w:color="auto" w:fill="auto"/>
                  <w:vAlign w:val="center"/>
                </w:tcPr>
                <w:p w14:paraId="2672631D">
                  <w:pPr>
                    <w:pStyle w:val="38"/>
                    <w:bidi w:val="0"/>
                    <w:rPr>
                      <w:rFonts w:hint="default"/>
                      <w:b w:val="0"/>
                      <w:color w:val="000000"/>
                    </w:rPr>
                  </w:pPr>
                </w:p>
              </w:tc>
              <w:tc>
                <w:tcPr>
                  <w:tcW w:w="603" w:type="pct"/>
                  <w:tcBorders>
                    <w:tl2br w:val="nil"/>
                    <w:tr2bl w:val="nil"/>
                  </w:tcBorders>
                  <w:shd w:val="clear" w:color="auto" w:fill="auto"/>
                  <w:vAlign w:val="center"/>
                </w:tcPr>
                <w:p w14:paraId="5B42A31B">
                  <w:pPr>
                    <w:pStyle w:val="38"/>
                    <w:bidi w:val="0"/>
                    <w:rPr>
                      <w:rFonts w:hint="default"/>
                      <w:b w:val="0"/>
                      <w:color w:val="000000"/>
                    </w:rPr>
                  </w:pPr>
                  <w:r>
                    <w:rPr>
                      <w:rFonts w:hint="default"/>
                      <w:b w:val="0"/>
                      <w:color w:val="000000"/>
                    </w:rPr>
                    <w:t>第二次</w:t>
                  </w:r>
                </w:p>
              </w:tc>
              <w:tc>
                <w:tcPr>
                  <w:tcW w:w="541" w:type="pct"/>
                  <w:tcBorders>
                    <w:tl2br w:val="nil"/>
                    <w:tr2bl w:val="nil"/>
                  </w:tcBorders>
                  <w:shd w:val="clear" w:color="auto" w:fill="auto"/>
                  <w:vAlign w:val="center"/>
                </w:tcPr>
                <w:p w14:paraId="2874AD3B">
                  <w:pPr>
                    <w:pStyle w:val="38"/>
                    <w:bidi w:val="0"/>
                    <w:rPr>
                      <w:rFonts w:hint="default"/>
                      <w:b w:val="0"/>
                      <w:color w:val="000000"/>
                    </w:rPr>
                  </w:pPr>
                  <w:r>
                    <w:rPr>
                      <w:rFonts w:hint="default"/>
                      <w:b w:val="0"/>
                      <w:color w:val="000000"/>
                    </w:rPr>
                    <w:t>3.44</w:t>
                  </w:r>
                </w:p>
              </w:tc>
              <w:tc>
                <w:tcPr>
                  <w:tcW w:w="541" w:type="pct"/>
                  <w:tcBorders>
                    <w:tl2br w:val="nil"/>
                    <w:tr2bl w:val="nil"/>
                  </w:tcBorders>
                  <w:shd w:val="clear" w:color="auto" w:fill="auto"/>
                  <w:vAlign w:val="center"/>
                </w:tcPr>
                <w:p w14:paraId="5996B84F">
                  <w:pPr>
                    <w:pStyle w:val="38"/>
                    <w:bidi w:val="0"/>
                    <w:rPr>
                      <w:rFonts w:hint="default"/>
                      <w:b w:val="0"/>
                      <w:color w:val="000000"/>
                    </w:rPr>
                  </w:pPr>
                  <w:r>
                    <w:rPr>
                      <w:rFonts w:hint="default"/>
                      <w:b w:val="0"/>
                      <w:color w:val="000000"/>
                    </w:rPr>
                    <w:t>3.66</w:t>
                  </w:r>
                </w:p>
              </w:tc>
              <w:tc>
                <w:tcPr>
                  <w:tcW w:w="541" w:type="pct"/>
                  <w:tcBorders>
                    <w:tl2br w:val="nil"/>
                    <w:tr2bl w:val="nil"/>
                  </w:tcBorders>
                  <w:shd w:val="clear" w:color="auto" w:fill="auto"/>
                  <w:vAlign w:val="center"/>
                </w:tcPr>
                <w:p w14:paraId="2B525C92">
                  <w:pPr>
                    <w:pStyle w:val="38"/>
                    <w:bidi w:val="0"/>
                    <w:rPr>
                      <w:rFonts w:hint="default"/>
                      <w:b w:val="0"/>
                      <w:color w:val="000000"/>
                    </w:rPr>
                  </w:pPr>
                  <w:r>
                    <w:rPr>
                      <w:rFonts w:hint="default"/>
                      <w:b w:val="0"/>
                      <w:color w:val="000000"/>
                    </w:rPr>
                    <w:t>3.13</w:t>
                  </w:r>
                </w:p>
              </w:tc>
              <w:tc>
                <w:tcPr>
                  <w:tcW w:w="544" w:type="pct"/>
                  <w:tcBorders>
                    <w:tl2br w:val="nil"/>
                    <w:tr2bl w:val="nil"/>
                  </w:tcBorders>
                  <w:shd w:val="clear" w:color="auto" w:fill="auto"/>
                  <w:vAlign w:val="center"/>
                </w:tcPr>
                <w:p w14:paraId="011B1D56">
                  <w:pPr>
                    <w:pStyle w:val="38"/>
                    <w:bidi w:val="0"/>
                    <w:rPr>
                      <w:rFonts w:hint="default"/>
                      <w:b w:val="0"/>
                      <w:color w:val="000000"/>
                    </w:rPr>
                  </w:pPr>
                  <w:r>
                    <w:rPr>
                      <w:rFonts w:hint="default"/>
                      <w:b w:val="0"/>
                      <w:color w:val="000000"/>
                    </w:rPr>
                    <w:t>3.28</w:t>
                  </w:r>
                </w:p>
              </w:tc>
              <w:tc>
                <w:tcPr>
                  <w:tcW w:w="636" w:type="pct"/>
                  <w:tcBorders>
                    <w:right w:val="nil"/>
                    <w:tl2br w:val="nil"/>
                    <w:tr2bl w:val="nil"/>
                  </w:tcBorders>
                  <w:shd w:val="clear" w:color="auto" w:fill="auto"/>
                  <w:vAlign w:val="center"/>
                </w:tcPr>
                <w:p w14:paraId="74129049">
                  <w:pPr>
                    <w:pStyle w:val="38"/>
                    <w:bidi w:val="0"/>
                    <w:rPr>
                      <w:rFonts w:hint="default"/>
                      <w:b w:val="0"/>
                      <w:color w:val="000000"/>
                    </w:rPr>
                  </w:pPr>
                  <w:r>
                    <w:rPr>
                      <w:rFonts w:hint="default"/>
                      <w:b w:val="0"/>
                      <w:color w:val="000000"/>
                    </w:rPr>
                    <w:t>3.38</w:t>
                  </w:r>
                </w:p>
              </w:tc>
            </w:tr>
            <w:tr w14:paraId="3FFAFBEA">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560" w:hRule="atLeast"/>
                <w:jc w:val="center"/>
              </w:trPr>
              <w:tc>
                <w:tcPr>
                  <w:tcW w:w="456" w:type="pct"/>
                  <w:vMerge w:val="continue"/>
                  <w:tcBorders>
                    <w:left w:val="nil"/>
                    <w:tl2br w:val="nil"/>
                    <w:tr2bl w:val="nil"/>
                  </w:tcBorders>
                  <w:shd w:val="clear" w:color="auto" w:fill="auto"/>
                  <w:vAlign w:val="center"/>
                </w:tcPr>
                <w:p w14:paraId="66B352EE">
                  <w:pPr>
                    <w:pStyle w:val="38"/>
                    <w:bidi w:val="0"/>
                    <w:rPr>
                      <w:rFonts w:hint="default"/>
                      <w:b w:val="0"/>
                      <w:color w:val="000000"/>
                    </w:rPr>
                  </w:pPr>
                </w:p>
              </w:tc>
              <w:tc>
                <w:tcPr>
                  <w:tcW w:w="573" w:type="pct"/>
                  <w:vMerge w:val="continue"/>
                  <w:tcBorders>
                    <w:tl2br w:val="nil"/>
                    <w:tr2bl w:val="nil"/>
                  </w:tcBorders>
                  <w:shd w:val="clear" w:color="auto" w:fill="auto"/>
                  <w:vAlign w:val="center"/>
                </w:tcPr>
                <w:p w14:paraId="6F8C2770">
                  <w:pPr>
                    <w:pStyle w:val="38"/>
                    <w:bidi w:val="0"/>
                    <w:rPr>
                      <w:rFonts w:hint="default"/>
                      <w:b w:val="0"/>
                      <w:color w:val="000000"/>
                    </w:rPr>
                  </w:pPr>
                </w:p>
              </w:tc>
              <w:tc>
                <w:tcPr>
                  <w:tcW w:w="563" w:type="pct"/>
                  <w:vMerge w:val="continue"/>
                  <w:tcBorders>
                    <w:tl2br w:val="nil"/>
                    <w:tr2bl w:val="nil"/>
                  </w:tcBorders>
                  <w:shd w:val="clear" w:color="auto" w:fill="auto"/>
                  <w:vAlign w:val="center"/>
                </w:tcPr>
                <w:p w14:paraId="000F5482">
                  <w:pPr>
                    <w:pStyle w:val="38"/>
                    <w:bidi w:val="0"/>
                    <w:rPr>
                      <w:rFonts w:hint="default"/>
                      <w:b w:val="0"/>
                      <w:color w:val="000000"/>
                    </w:rPr>
                  </w:pPr>
                </w:p>
              </w:tc>
              <w:tc>
                <w:tcPr>
                  <w:tcW w:w="603" w:type="pct"/>
                  <w:tcBorders>
                    <w:tl2br w:val="nil"/>
                    <w:tr2bl w:val="nil"/>
                  </w:tcBorders>
                  <w:shd w:val="clear" w:color="auto" w:fill="auto"/>
                  <w:vAlign w:val="center"/>
                </w:tcPr>
                <w:p w14:paraId="586D71A0">
                  <w:pPr>
                    <w:pStyle w:val="38"/>
                    <w:bidi w:val="0"/>
                    <w:rPr>
                      <w:rFonts w:hint="default"/>
                      <w:b w:val="0"/>
                      <w:color w:val="000000"/>
                    </w:rPr>
                  </w:pPr>
                  <w:r>
                    <w:rPr>
                      <w:rFonts w:hint="default"/>
                      <w:b w:val="0"/>
                      <w:color w:val="000000"/>
                    </w:rPr>
                    <w:t>第三次</w:t>
                  </w:r>
                </w:p>
              </w:tc>
              <w:tc>
                <w:tcPr>
                  <w:tcW w:w="541" w:type="pct"/>
                  <w:tcBorders>
                    <w:tl2br w:val="nil"/>
                    <w:tr2bl w:val="nil"/>
                  </w:tcBorders>
                  <w:shd w:val="clear" w:color="auto" w:fill="auto"/>
                  <w:vAlign w:val="center"/>
                </w:tcPr>
                <w:p w14:paraId="64FA0D2D">
                  <w:pPr>
                    <w:pStyle w:val="38"/>
                    <w:bidi w:val="0"/>
                    <w:rPr>
                      <w:rFonts w:hint="default"/>
                      <w:b w:val="0"/>
                      <w:color w:val="000000"/>
                    </w:rPr>
                  </w:pPr>
                  <w:r>
                    <w:rPr>
                      <w:rFonts w:hint="default"/>
                      <w:b w:val="0"/>
                      <w:color w:val="000000"/>
                    </w:rPr>
                    <w:t>3.19</w:t>
                  </w:r>
                </w:p>
              </w:tc>
              <w:tc>
                <w:tcPr>
                  <w:tcW w:w="541" w:type="pct"/>
                  <w:tcBorders>
                    <w:tl2br w:val="nil"/>
                    <w:tr2bl w:val="nil"/>
                  </w:tcBorders>
                  <w:shd w:val="clear" w:color="auto" w:fill="auto"/>
                  <w:vAlign w:val="center"/>
                </w:tcPr>
                <w:p w14:paraId="475D5607">
                  <w:pPr>
                    <w:pStyle w:val="38"/>
                    <w:bidi w:val="0"/>
                    <w:rPr>
                      <w:rFonts w:hint="default"/>
                      <w:b w:val="0"/>
                      <w:color w:val="000000"/>
                    </w:rPr>
                  </w:pPr>
                  <w:r>
                    <w:rPr>
                      <w:rFonts w:hint="default"/>
                      <w:b w:val="0"/>
                      <w:color w:val="000000"/>
                    </w:rPr>
                    <w:t>3.74</w:t>
                  </w:r>
                </w:p>
              </w:tc>
              <w:tc>
                <w:tcPr>
                  <w:tcW w:w="541" w:type="pct"/>
                  <w:tcBorders>
                    <w:tl2br w:val="nil"/>
                    <w:tr2bl w:val="nil"/>
                  </w:tcBorders>
                  <w:shd w:val="clear" w:color="auto" w:fill="auto"/>
                  <w:vAlign w:val="center"/>
                </w:tcPr>
                <w:p w14:paraId="7AACE940">
                  <w:pPr>
                    <w:pStyle w:val="38"/>
                    <w:bidi w:val="0"/>
                    <w:rPr>
                      <w:rFonts w:hint="default"/>
                      <w:b w:val="0"/>
                      <w:color w:val="000000"/>
                    </w:rPr>
                  </w:pPr>
                  <w:r>
                    <w:rPr>
                      <w:rFonts w:hint="default"/>
                      <w:b w:val="0"/>
                      <w:color w:val="000000"/>
                    </w:rPr>
                    <w:t>3.67</w:t>
                  </w:r>
                </w:p>
              </w:tc>
              <w:tc>
                <w:tcPr>
                  <w:tcW w:w="544" w:type="pct"/>
                  <w:tcBorders>
                    <w:tl2br w:val="nil"/>
                    <w:tr2bl w:val="nil"/>
                  </w:tcBorders>
                  <w:shd w:val="clear" w:color="auto" w:fill="auto"/>
                  <w:vAlign w:val="center"/>
                </w:tcPr>
                <w:p w14:paraId="35E473FB">
                  <w:pPr>
                    <w:pStyle w:val="38"/>
                    <w:bidi w:val="0"/>
                    <w:rPr>
                      <w:rFonts w:hint="default"/>
                      <w:b w:val="0"/>
                      <w:color w:val="000000"/>
                    </w:rPr>
                  </w:pPr>
                  <w:r>
                    <w:rPr>
                      <w:rFonts w:hint="default"/>
                      <w:b w:val="0"/>
                      <w:color w:val="000000"/>
                    </w:rPr>
                    <w:t>3.26</w:t>
                  </w:r>
                </w:p>
              </w:tc>
              <w:tc>
                <w:tcPr>
                  <w:tcW w:w="636" w:type="pct"/>
                  <w:tcBorders>
                    <w:right w:val="nil"/>
                    <w:tl2br w:val="nil"/>
                    <w:tr2bl w:val="nil"/>
                  </w:tcBorders>
                  <w:shd w:val="clear" w:color="auto" w:fill="auto"/>
                  <w:vAlign w:val="center"/>
                </w:tcPr>
                <w:p w14:paraId="340CFC5E">
                  <w:pPr>
                    <w:pStyle w:val="38"/>
                    <w:bidi w:val="0"/>
                    <w:rPr>
                      <w:rFonts w:hint="default"/>
                      <w:b w:val="0"/>
                      <w:color w:val="000000"/>
                    </w:rPr>
                  </w:pPr>
                  <w:r>
                    <w:rPr>
                      <w:rFonts w:hint="default"/>
                      <w:b w:val="0"/>
                      <w:color w:val="000000"/>
                    </w:rPr>
                    <w:t>3.46</w:t>
                  </w:r>
                </w:p>
              </w:tc>
            </w:tr>
            <w:tr w14:paraId="203F1764">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560" w:hRule="atLeast"/>
                <w:jc w:val="center"/>
              </w:trPr>
              <w:tc>
                <w:tcPr>
                  <w:tcW w:w="456" w:type="pct"/>
                  <w:vMerge w:val="continue"/>
                  <w:tcBorders>
                    <w:left w:val="nil"/>
                    <w:tl2br w:val="nil"/>
                    <w:tr2bl w:val="nil"/>
                  </w:tcBorders>
                  <w:shd w:val="clear" w:color="auto" w:fill="auto"/>
                  <w:vAlign w:val="center"/>
                </w:tcPr>
                <w:p w14:paraId="38FD06D9">
                  <w:pPr>
                    <w:pStyle w:val="38"/>
                    <w:bidi w:val="0"/>
                    <w:rPr>
                      <w:rFonts w:hint="default"/>
                      <w:b w:val="0"/>
                      <w:color w:val="000000"/>
                    </w:rPr>
                  </w:pPr>
                </w:p>
              </w:tc>
              <w:tc>
                <w:tcPr>
                  <w:tcW w:w="573" w:type="pct"/>
                  <w:vMerge w:val="continue"/>
                  <w:tcBorders>
                    <w:tl2br w:val="nil"/>
                    <w:tr2bl w:val="nil"/>
                  </w:tcBorders>
                  <w:shd w:val="clear" w:color="auto" w:fill="auto"/>
                  <w:vAlign w:val="center"/>
                </w:tcPr>
                <w:p w14:paraId="7D782B27">
                  <w:pPr>
                    <w:pStyle w:val="38"/>
                    <w:bidi w:val="0"/>
                    <w:rPr>
                      <w:rFonts w:hint="default"/>
                      <w:b w:val="0"/>
                      <w:color w:val="000000"/>
                    </w:rPr>
                  </w:pPr>
                </w:p>
              </w:tc>
              <w:tc>
                <w:tcPr>
                  <w:tcW w:w="563" w:type="pct"/>
                  <w:vMerge w:val="continue"/>
                  <w:tcBorders>
                    <w:tl2br w:val="nil"/>
                    <w:tr2bl w:val="nil"/>
                  </w:tcBorders>
                  <w:shd w:val="clear" w:color="auto" w:fill="auto"/>
                  <w:vAlign w:val="center"/>
                </w:tcPr>
                <w:p w14:paraId="4302F4A7">
                  <w:pPr>
                    <w:pStyle w:val="38"/>
                    <w:bidi w:val="0"/>
                    <w:rPr>
                      <w:rFonts w:hint="default"/>
                      <w:b w:val="0"/>
                      <w:color w:val="000000"/>
                    </w:rPr>
                  </w:pPr>
                </w:p>
              </w:tc>
              <w:tc>
                <w:tcPr>
                  <w:tcW w:w="603" w:type="pct"/>
                  <w:tcBorders>
                    <w:tl2br w:val="nil"/>
                    <w:tr2bl w:val="nil"/>
                  </w:tcBorders>
                  <w:shd w:val="clear" w:color="auto" w:fill="auto"/>
                  <w:vAlign w:val="center"/>
                </w:tcPr>
                <w:p w14:paraId="22E3C4DE">
                  <w:pPr>
                    <w:pStyle w:val="38"/>
                    <w:bidi w:val="0"/>
                    <w:rPr>
                      <w:rFonts w:hint="default"/>
                      <w:b w:val="0"/>
                      <w:color w:val="000000"/>
                    </w:rPr>
                  </w:pPr>
                  <w:r>
                    <w:rPr>
                      <w:rFonts w:hint="default"/>
                      <w:b w:val="0"/>
                      <w:color w:val="000000"/>
                    </w:rPr>
                    <w:t>最大值</w:t>
                  </w:r>
                </w:p>
              </w:tc>
              <w:tc>
                <w:tcPr>
                  <w:tcW w:w="2167" w:type="pct"/>
                  <w:gridSpan w:val="4"/>
                  <w:tcBorders>
                    <w:tl2br w:val="nil"/>
                    <w:tr2bl w:val="nil"/>
                  </w:tcBorders>
                  <w:shd w:val="clear" w:color="auto" w:fill="auto"/>
                  <w:vAlign w:val="center"/>
                </w:tcPr>
                <w:p w14:paraId="75AE8C17">
                  <w:pPr>
                    <w:pStyle w:val="38"/>
                    <w:bidi w:val="0"/>
                    <w:rPr>
                      <w:rFonts w:hint="default"/>
                      <w:b w:val="0"/>
                      <w:color w:val="000000"/>
                    </w:rPr>
                  </w:pPr>
                  <w:r>
                    <w:rPr>
                      <w:rFonts w:hint="default"/>
                      <w:b w:val="0"/>
                      <w:color w:val="000000"/>
                    </w:rPr>
                    <w:t>3.80</w:t>
                  </w:r>
                </w:p>
              </w:tc>
              <w:tc>
                <w:tcPr>
                  <w:tcW w:w="636" w:type="pct"/>
                  <w:tcBorders>
                    <w:right w:val="nil"/>
                    <w:tl2br w:val="nil"/>
                    <w:tr2bl w:val="nil"/>
                  </w:tcBorders>
                  <w:shd w:val="clear" w:color="auto" w:fill="auto"/>
                  <w:vAlign w:val="center"/>
                </w:tcPr>
                <w:p w14:paraId="205FC6B0">
                  <w:pPr>
                    <w:pStyle w:val="38"/>
                    <w:bidi w:val="0"/>
                    <w:rPr>
                      <w:rFonts w:hint="default"/>
                      <w:b w:val="0"/>
                      <w:color w:val="000000"/>
                    </w:rPr>
                  </w:pPr>
                  <w:r>
                    <w:rPr>
                      <w:rFonts w:hint="default"/>
                      <w:b w:val="0"/>
                      <w:color w:val="000000"/>
                    </w:rPr>
                    <w:t>3.66</w:t>
                  </w:r>
                </w:p>
              </w:tc>
            </w:tr>
            <w:tr w14:paraId="757C3BDF">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560" w:hRule="atLeast"/>
                <w:jc w:val="center"/>
              </w:trPr>
              <w:tc>
                <w:tcPr>
                  <w:tcW w:w="456" w:type="pct"/>
                  <w:vMerge w:val="continue"/>
                  <w:tcBorders>
                    <w:left w:val="nil"/>
                    <w:tl2br w:val="nil"/>
                    <w:tr2bl w:val="nil"/>
                  </w:tcBorders>
                  <w:shd w:val="clear" w:color="auto" w:fill="auto"/>
                  <w:vAlign w:val="center"/>
                </w:tcPr>
                <w:p w14:paraId="72ECD8E6">
                  <w:pPr>
                    <w:pStyle w:val="38"/>
                    <w:bidi w:val="0"/>
                    <w:rPr>
                      <w:rFonts w:hint="default"/>
                      <w:b w:val="0"/>
                      <w:color w:val="000000"/>
                    </w:rPr>
                  </w:pPr>
                </w:p>
              </w:tc>
              <w:tc>
                <w:tcPr>
                  <w:tcW w:w="573" w:type="pct"/>
                  <w:vMerge w:val="restart"/>
                  <w:tcBorders>
                    <w:tl2br w:val="nil"/>
                    <w:tr2bl w:val="nil"/>
                  </w:tcBorders>
                  <w:shd w:val="clear" w:color="auto" w:fill="auto"/>
                  <w:vAlign w:val="center"/>
                </w:tcPr>
                <w:p w14:paraId="6FE48582">
                  <w:pPr>
                    <w:pStyle w:val="38"/>
                    <w:bidi w:val="0"/>
                    <w:rPr>
                      <w:rFonts w:hint="default"/>
                      <w:b w:val="0"/>
                      <w:color w:val="000000"/>
                    </w:rPr>
                  </w:pPr>
                  <w:r>
                    <w:rPr>
                      <w:rFonts w:hint="default"/>
                      <w:b w:val="0"/>
                      <w:color w:val="000000"/>
                    </w:rPr>
                    <w:t>Q6厂区</w:t>
                  </w:r>
                </w:p>
              </w:tc>
              <w:tc>
                <w:tcPr>
                  <w:tcW w:w="563" w:type="pct"/>
                  <w:vMerge w:val="restart"/>
                  <w:tcBorders>
                    <w:tl2br w:val="nil"/>
                    <w:tr2bl w:val="nil"/>
                  </w:tcBorders>
                  <w:shd w:val="clear" w:color="auto" w:fill="auto"/>
                  <w:vAlign w:val="center"/>
                </w:tcPr>
                <w:p w14:paraId="4A0E148B">
                  <w:pPr>
                    <w:pStyle w:val="38"/>
                    <w:bidi w:val="0"/>
                    <w:rPr>
                      <w:rFonts w:hint="default"/>
                      <w:b w:val="0"/>
                      <w:color w:val="000000"/>
                    </w:rPr>
                  </w:pPr>
                  <w:r>
                    <w:rPr>
                      <w:rFonts w:hint="default"/>
                      <w:b w:val="0"/>
                      <w:color w:val="000000"/>
                    </w:rPr>
                    <w:t>非甲烷总烃</w:t>
                  </w:r>
                </w:p>
              </w:tc>
              <w:tc>
                <w:tcPr>
                  <w:tcW w:w="603" w:type="pct"/>
                  <w:tcBorders>
                    <w:tl2br w:val="nil"/>
                    <w:tr2bl w:val="nil"/>
                  </w:tcBorders>
                  <w:shd w:val="clear" w:color="auto" w:fill="auto"/>
                  <w:vAlign w:val="center"/>
                </w:tcPr>
                <w:p w14:paraId="40110565">
                  <w:pPr>
                    <w:pStyle w:val="38"/>
                    <w:bidi w:val="0"/>
                    <w:rPr>
                      <w:rFonts w:hint="default"/>
                      <w:b w:val="0"/>
                      <w:color w:val="000000"/>
                    </w:rPr>
                  </w:pPr>
                  <w:r>
                    <w:rPr>
                      <w:rFonts w:hint="default"/>
                      <w:b w:val="0"/>
                      <w:color w:val="000000"/>
                    </w:rPr>
                    <w:t>第一次</w:t>
                  </w:r>
                </w:p>
              </w:tc>
              <w:tc>
                <w:tcPr>
                  <w:tcW w:w="541" w:type="pct"/>
                  <w:tcBorders>
                    <w:tl2br w:val="nil"/>
                    <w:tr2bl w:val="nil"/>
                  </w:tcBorders>
                  <w:shd w:val="clear" w:color="auto" w:fill="auto"/>
                  <w:vAlign w:val="center"/>
                </w:tcPr>
                <w:p w14:paraId="5F9372EE">
                  <w:pPr>
                    <w:pStyle w:val="38"/>
                    <w:bidi w:val="0"/>
                    <w:rPr>
                      <w:rFonts w:hint="default"/>
                      <w:b w:val="0"/>
                      <w:color w:val="000000"/>
                    </w:rPr>
                  </w:pPr>
                  <w:r>
                    <w:rPr>
                      <w:rFonts w:hint="default"/>
                      <w:b w:val="0"/>
                      <w:color w:val="000000"/>
                    </w:rPr>
                    <w:t>2.92</w:t>
                  </w:r>
                </w:p>
              </w:tc>
              <w:tc>
                <w:tcPr>
                  <w:tcW w:w="541" w:type="pct"/>
                  <w:tcBorders>
                    <w:tl2br w:val="nil"/>
                    <w:tr2bl w:val="nil"/>
                  </w:tcBorders>
                  <w:shd w:val="clear" w:color="auto" w:fill="auto"/>
                  <w:vAlign w:val="center"/>
                </w:tcPr>
                <w:p w14:paraId="1885BC63">
                  <w:pPr>
                    <w:pStyle w:val="38"/>
                    <w:bidi w:val="0"/>
                    <w:rPr>
                      <w:rFonts w:hint="default"/>
                      <w:b w:val="0"/>
                      <w:color w:val="000000"/>
                    </w:rPr>
                  </w:pPr>
                  <w:r>
                    <w:rPr>
                      <w:rFonts w:hint="default"/>
                      <w:b w:val="0"/>
                      <w:color w:val="000000"/>
                    </w:rPr>
                    <w:t>2.85</w:t>
                  </w:r>
                </w:p>
              </w:tc>
              <w:tc>
                <w:tcPr>
                  <w:tcW w:w="541" w:type="pct"/>
                  <w:tcBorders>
                    <w:tl2br w:val="nil"/>
                    <w:tr2bl w:val="nil"/>
                  </w:tcBorders>
                  <w:shd w:val="clear" w:color="auto" w:fill="auto"/>
                  <w:vAlign w:val="center"/>
                </w:tcPr>
                <w:p w14:paraId="0D64B0DB">
                  <w:pPr>
                    <w:pStyle w:val="38"/>
                    <w:bidi w:val="0"/>
                    <w:rPr>
                      <w:rFonts w:hint="default"/>
                      <w:b w:val="0"/>
                      <w:color w:val="000000"/>
                    </w:rPr>
                  </w:pPr>
                  <w:r>
                    <w:rPr>
                      <w:rFonts w:hint="default"/>
                      <w:b w:val="0"/>
                      <w:color w:val="000000"/>
                    </w:rPr>
                    <w:t>2.80</w:t>
                  </w:r>
                </w:p>
              </w:tc>
              <w:tc>
                <w:tcPr>
                  <w:tcW w:w="544" w:type="pct"/>
                  <w:tcBorders>
                    <w:tl2br w:val="nil"/>
                    <w:tr2bl w:val="nil"/>
                  </w:tcBorders>
                  <w:shd w:val="clear" w:color="auto" w:fill="auto"/>
                  <w:vAlign w:val="center"/>
                </w:tcPr>
                <w:p w14:paraId="25167F5D">
                  <w:pPr>
                    <w:pStyle w:val="38"/>
                    <w:bidi w:val="0"/>
                    <w:rPr>
                      <w:rFonts w:hint="default"/>
                      <w:b w:val="0"/>
                      <w:color w:val="000000"/>
                    </w:rPr>
                  </w:pPr>
                  <w:r>
                    <w:rPr>
                      <w:rFonts w:hint="default"/>
                      <w:b w:val="0"/>
                      <w:color w:val="000000"/>
                    </w:rPr>
                    <w:t>2.76</w:t>
                  </w:r>
                </w:p>
              </w:tc>
              <w:tc>
                <w:tcPr>
                  <w:tcW w:w="636" w:type="pct"/>
                  <w:tcBorders>
                    <w:right w:val="nil"/>
                    <w:tl2br w:val="nil"/>
                    <w:tr2bl w:val="nil"/>
                  </w:tcBorders>
                  <w:shd w:val="clear" w:color="auto" w:fill="auto"/>
                  <w:vAlign w:val="center"/>
                </w:tcPr>
                <w:p w14:paraId="41A4C7E6">
                  <w:pPr>
                    <w:pStyle w:val="38"/>
                    <w:bidi w:val="0"/>
                    <w:rPr>
                      <w:rFonts w:hint="default"/>
                      <w:b w:val="0"/>
                      <w:color w:val="000000"/>
                    </w:rPr>
                  </w:pPr>
                  <w:r>
                    <w:rPr>
                      <w:rFonts w:hint="default"/>
                      <w:b w:val="0"/>
                      <w:color w:val="000000"/>
                    </w:rPr>
                    <w:t>2.83</w:t>
                  </w:r>
                </w:p>
              </w:tc>
            </w:tr>
            <w:tr w14:paraId="0A55EADA">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560" w:hRule="atLeast"/>
                <w:jc w:val="center"/>
              </w:trPr>
              <w:tc>
                <w:tcPr>
                  <w:tcW w:w="456" w:type="pct"/>
                  <w:vMerge w:val="continue"/>
                  <w:tcBorders>
                    <w:left w:val="nil"/>
                    <w:tl2br w:val="nil"/>
                    <w:tr2bl w:val="nil"/>
                  </w:tcBorders>
                  <w:shd w:val="clear" w:color="auto" w:fill="auto"/>
                  <w:vAlign w:val="center"/>
                </w:tcPr>
                <w:p w14:paraId="5B34DEC1">
                  <w:pPr>
                    <w:pStyle w:val="38"/>
                    <w:bidi w:val="0"/>
                    <w:rPr>
                      <w:rFonts w:hint="default"/>
                      <w:b w:val="0"/>
                      <w:color w:val="000000"/>
                    </w:rPr>
                  </w:pPr>
                </w:p>
              </w:tc>
              <w:tc>
                <w:tcPr>
                  <w:tcW w:w="573" w:type="pct"/>
                  <w:vMerge w:val="continue"/>
                  <w:tcBorders>
                    <w:tl2br w:val="nil"/>
                    <w:tr2bl w:val="nil"/>
                  </w:tcBorders>
                  <w:shd w:val="clear" w:color="auto" w:fill="auto"/>
                  <w:vAlign w:val="center"/>
                </w:tcPr>
                <w:p w14:paraId="21F078F8">
                  <w:pPr>
                    <w:pStyle w:val="38"/>
                    <w:bidi w:val="0"/>
                    <w:rPr>
                      <w:rFonts w:hint="default"/>
                      <w:b w:val="0"/>
                      <w:color w:val="000000"/>
                    </w:rPr>
                  </w:pPr>
                </w:p>
              </w:tc>
              <w:tc>
                <w:tcPr>
                  <w:tcW w:w="563" w:type="pct"/>
                  <w:vMerge w:val="continue"/>
                  <w:tcBorders>
                    <w:tl2br w:val="nil"/>
                    <w:tr2bl w:val="nil"/>
                  </w:tcBorders>
                  <w:shd w:val="clear" w:color="auto" w:fill="auto"/>
                  <w:vAlign w:val="center"/>
                </w:tcPr>
                <w:p w14:paraId="5CFCA3F7">
                  <w:pPr>
                    <w:pStyle w:val="38"/>
                    <w:bidi w:val="0"/>
                    <w:rPr>
                      <w:rFonts w:hint="default"/>
                      <w:b w:val="0"/>
                      <w:color w:val="000000"/>
                    </w:rPr>
                  </w:pPr>
                </w:p>
              </w:tc>
              <w:tc>
                <w:tcPr>
                  <w:tcW w:w="603" w:type="pct"/>
                  <w:tcBorders>
                    <w:tl2br w:val="nil"/>
                    <w:tr2bl w:val="nil"/>
                  </w:tcBorders>
                  <w:shd w:val="clear" w:color="auto" w:fill="auto"/>
                  <w:vAlign w:val="center"/>
                </w:tcPr>
                <w:p w14:paraId="129D0B07">
                  <w:pPr>
                    <w:pStyle w:val="38"/>
                    <w:bidi w:val="0"/>
                    <w:rPr>
                      <w:rFonts w:hint="default"/>
                      <w:b w:val="0"/>
                      <w:color w:val="000000"/>
                    </w:rPr>
                  </w:pPr>
                  <w:r>
                    <w:rPr>
                      <w:rFonts w:hint="default"/>
                      <w:b w:val="0"/>
                      <w:color w:val="000000"/>
                    </w:rPr>
                    <w:t>第二次</w:t>
                  </w:r>
                </w:p>
              </w:tc>
              <w:tc>
                <w:tcPr>
                  <w:tcW w:w="541" w:type="pct"/>
                  <w:tcBorders>
                    <w:tl2br w:val="nil"/>
                    <w:tr2bl w:val="nil"/>
                  </w:tcBorders>
                  <w:shd w:val="clear" w:color="auto" w:fill="auto"/>
                  <w:vAlign w:val="center"/>
                </w:tcPr>
                <w:p w14:paraId="20C4BAAF">
                  <w:pPr>
                    <w:pStyle w:val="38"/>
                    <w:bidi w:val="0"/>
                    <w:rPr>
                      <w:rFonts w:hint="default"/>
                      <w:b w:val="0"/>
                      <w:color w:val="000000"/>
                    </w:rPr>
                  </w:pPr>
                  <w:r>
                    <w:rPr>
                      <w:rFonts w:hint="default"/>
                      <w:b w:val="0"/>
                      <w:color w:val="000000"/>
                    </w:rPr>
                    <w:t>2.71</w:t>
                  </w:r>
                </w:p>
              </w:tc>
              <w:tc>
                <w:tcPr>
                  <w:tcW w:w="541" w:type="pct"/>
                  <w:tcBorders>
                    <w:tl2br w:val="nil"/>
                    <w:tr2bl w:val="nil"/>
                  </w:tcBorders>
                  <w:shd w:val="clear" w:color="auto" w:fill="auto"/>
                  <w:vAlign w:val="center"/>
                </w:tcPr>
                <w:p w14:paraId="1BA732BA">
                  <w:pPr>
                    <w:pStyle w:val="38"/>
                    <w:bidi w:val="0"/>
                    <w:rPr>
                      <w:rFonts w:hint="default"/>
                      <w:b w:val="0"/>
                      <w:color w:val="000000"/>
                    </w:rPr>
                  </w:pPr>
                  <w:r>
                    <w:rPr>
                      <w:rFonts w:hint="default"/>
                      <w:b w:val="0"/>
                      <w:color w:val="000000"/>
                    </w:rPr>
                    <w:t>2.79</w:t>
                  </w:r>
                </w:p>
              </w:tc>
              <w:tc>
                <w:tcPr>
                  <w:tcW w:w="541" w:type="pct"/>
                  <w:tcBorders>
                    <w:tl2br w:val="nil"/>
                    <w:tr2bl w:val="nil"/>
                  </w:tcBorders>
                  <w:shd w:val="clear" w:color="auto" w:fill="auto"/>
                  <w:vAlign w:val="center"/>
                </w:tcPr>
                <w:p w14:paraId="797831E9">
                  <w:pPr>
                    <w:pStyle w:val="38"/>
                    <w:bidi w:val="0"/>
                    <w:rPr>
                      <w:rFonts w:hint="default"/>
                      <w:b w:val="0"/>
                      <w:color w:val="000000"/>
                    </w:rPr>
                  </w:pPr>
                  <w:r>
                    <w:rPr>
                      <w:rFonts w:hint="default"/>
                      <w:b w:val="0"/>
                      <w:color w:val="000000"/>
                    </w:rPr>
                    <w:t>3.04</w:t>
                  </w:r>
                </w:p>
              </w:tc>
              <w:tc>
                <w:tcPr>
                  <w:tcW w:w="544" w:type="pct"/>
                  <w:tcBorders>
                    <w:tl2br w:val="nil"/>
                    <w:tr2bl w:val="nil"/>
                  </w:tcBorders>
                  <w:shd w:val="clear" w:color="auto" w:fill="auto"/>
                  <w:vAlign w:val="center"/>
                </w:tcPr>
                <w:p w14:paraId="28FB19BC">
                  <w:pPr>
                    <w:pStyle w:val="38"/>
                    <w:bidi w:val="0"/>
                    <w:rPr>
                      <w:rFonts w:hint="default"/>
                      <w:b w:val="0"/>
                      <w:color w:val="000000"/>
                    </w:rPr>
                  </w:pPr>
                  <w:r>
                    <w:rPr>
                      <w:rFonts w:hint="default"/>
                      <w:b w:val="0"/>
                      <w:color w:val="000000"/>
                    </w:rPr>
                    <w:t>3.14</w:t>
                  </w:r>
                </w:p>
              </w:tc>
              <w:tc>
                <w:tcPr>
                  <w:tcW w:w="636" w:type="pct"/>
                  <w:tcBorders>
                    <w:right w:val="nil"/>
                    <w:tl2br w:val="nil"/>
                    <w:tr2bl w:val="nil"/>
                  </w:tcBorders>
                  <w:shd w:val="clear" w:color="auto" w:fill="auto"/>
                  <w:vAlign w:val="center"/>
                </w:tcPr>
                <w:p w14:paraId="5B9E3E3E">
                  <w:pPr>
                    <w:pStyle w:val="38"/>
                    <w:bidi w:val="0"/>
                    <w:rPr>
                      <w:rFonts w:hint="default"/>
                      <w:b w:val="0"/>
                      <w:color w:val="000000"/>
                    </w:rPr>
                  </w:pPr>
                  <w:r>
                    <w:rPr>
                      <w:rFonts w:hint="default"/>
                      <w:b w:val="0"/>
                      <w:color w:val="000000"/>
                    </w:rPr>
                    <w:t>2.92</w:t>
                  </w:r>
                </w:p>
              </w:tc>
            </w:tr>
            <w:tr w14:paraId="72B50A5B">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PrEx>
              <w:trPr>
                <w:trHeight w:val="560" w:hRule="atLeast"/>
                <w:jc w:val="center"/>
              </w:trPr>
              <w:tc>
                <w:tcPr>
                  <w:tcW w:w="456" w:type="pct"/>
                  <w:vMerge w:val="continue"/>
                  <w:tcBorders>
                    <w:left w:val="nil"/>
                    <w:tl2br w:val="nil"/>
                    <w:tr2bl w:val="nil"/>
                  </w:tcBorders>
                  <w:shd w:val="clear" w:color="auto" w:fill="auto"/>
                  <w:vAlign w:val="center"/>
                </w:tcPr>
                <w:p w14:paraId="225B14D2">
                  <w:pPr>
                    <w:pStyle w:val="38"/>
                    <w:bidi w:val="0"/>
                    <w:rPr>
                      <w:rFonts w:hint="default"/>
                      <w:b w:val="0"/>
                      <w:color w:val="000000"/>
                    </w:rPr>
                  </w:pPr>
                </w:p>
              </w:tc>
              <w:tc>
                <w:tcPr>
                  <w:tcW w:w="573" w:type="pct"/>
                  <w:vMerge w:val="continue"/>
                  <w:tcBorders>
                    <w:tl2br w:val="nil"/>
                    <w:tr2bl w:val="nil"/>
                  </w:tcBorders>
                  <w:shd w:val="clear" w:color="auto" w:fill="auto"/>
                  <w:vAlign w:val="center"/>
                </w:tcPr>
                <w:p w14:paraId="408DA125">
                  <w:pPr>
                    <w:pStyle w:val="38"/>
                    <w:bidi w:val="0"/>
                    <w:rPr>
                      <w:rFonts w:hint="default"/>
                      <w:b w:val="0"/>
                      <w:color w:val="000000"/>
                    </w:rPr>
                  </w:pPr>
                </w:p>
              </w:tc>
              <w:tc>
                <w:tcPr>
                  <w:tcW w:w="563" w:type="pct"/>
                  <w:vMerge w:val="continue"/>
                  <w:tcBorders>
                    <w:tl2br w:val="nil"/>
                    <w:tr2bl w:val="nil"/>
                  </w:tcBorders>
                  <w:shd w:val="clear" w:color="auto" w:fill="auto"/>
                  <w:vAlign w:val="center"/>
                </w:tcPr>
                <w:p w14:paraId="336B2429">
                  <w:pPr>
                    <w:pStyle w:val="38"/>
                    <w:bidi w:val="0"/>
                    <w:rPr>
                      <w:rFonts w:hint="default"/>
                      <w:b w:val="0"/>
                      <w:color w:val="000000"/>
                    </w:rPr>
                  </w:pPr>
                </w:p>
              </w:tc>
              <w:tc>
                <w:tcPr>
                  <w:tcW w:w="603" w:type="pct"/>
                  <w:tcBorders>
                    <w:tl2br w:val="nil"/>
                    <w:tr2bl w:val="nil"/>
                  </w:tcBorders>
                  <w:shd w:val="clear" w:color="auto" w:fill="auto"/>
                  <w:vAlign w:val="center"/>
                </w:tcPr>
                <w:p w14:paraId="34070178">
                  <w:pPr>
                    <w:pStyle w:val="38"/>
                    <w:bidi w:val="0"/>
                    <w:rPr>
                      <w:rFonts w:hint="default"/>
                      <w:b w:val="0"/>
                      <w:color w:val="000000"/>
                    </w:rPr>
                  </w:pPr>
                  <w:r>
                    <w:rPr>
                      <w:rFonts w:hint="default"/>
                      <w:b w:val="0"/>
                      <w:color w:val="000000"/>
                    </w:rPr>
                    <w:t>第三次</w:t>
                  </w:r>
                </w:p>
              </w:tc>
              <w:tc>
                <w:tcPr>
                  <w:tcW w:w="541" w:type="pct"/>
                  <w:tcBorders>
                    <w:tl2br w:val="nil"/>
                    <w:tr2bl w:val="nil"/>
                  </w:tcBorders>
                  <w:shd w:val="clear" w:color="auto" w:fill="auto"/>
                  <w:vAlign w:val="center"/>
                </w:tcPr>
                <w:p w14:paraId="23EC4343">
                  <w:pPr>
                    <w:pStyle w:val="38"/>
                    <w:bidi w:val="0"/>
                    <w:rPr>
                      <w:rFonts w:hint="default"/>
                      <w:b w:val="0"/>
                      <w:color w:val="000000"/>
                    </w:rPr>
                  </w:pPr>
                  <w:r>
                    <w:rPr>
                      <w:rFonts w:hint="default"/>
                      <w:b w:val="0"/>
                      <w:color w:val="000000"/>
                    </w:rPr>
                    <w:t>2.96</w:t>
                  </w:r>
                </w:p>
              </w:tc>
              <w:tc>
                <w:tcPr>
                  <w:tcW w:w="541" w:type="pct"/>
                  <w:tcBorders>
                    <w:tl2br w:val="nil"/>
                    <w:tr2bl w:val="nil"/>
                  </w:tcBorders>
                  <w:shd w:val="clear" w:color="auto" w:fill="auto"/>
                  <w:vAlign w:val="center"/>
                </w:tcPr>
                <w:p w14:paraId="7148CD43">
                  <w:pPr>
                    <w:pStyle w:val="38"/>
                    <w:bidi w:val="0"/>
                    <w:rPr>
                      <w:rFonts w:hint="default"/>
                      <w:b w:val="0"/>
                      <w:color w:val="000000"/>
                    </w:rPr>
                  </w:pPr>
                  <w:r>
                    <w:rPr>
                      <w:rFonts w:hint="default"/>
                      <w:b w:val="0"/>
                      <w:color w:val="000000"/>
                    </w:rPr>
                    <w:t>2.86</w:t>
                  </w:r>
                </w:p>
              </w:tc>
              <w:tc>
                <w:tcPr>
                  <w:tcW w:w="541" w:type="pct"/>
                  <w:tcBorders>
                    <w:tl2br w:val="nil"/>
                    <w:tr2bl w:val="nil"/>
                  </w:tcBorders>
                  <w:shd w:val="clear" w:color="auto" w:fill="auto"/>
                  <w:vAlign w:val="center"/>
                </w:tcPr>
                <w:p w14:paraId="24FD059E">
                  <w:pPr>
                    <w:pStyle w:val="38"/>
                    <w:bidi w:val="0"/>
                    <w:rPr>
                      <w:rFonts w:hint="default"/>
                      <w:b w:val="0"/>
                      <w:color w:val="000000"/>
                    </w:rPr>
                  </w:pPr>
                  <w:r>
                    <w:rPr>
                      <w:rFonts w:hint="default"/>
                      <w:b w:val="0"/>
                      <w:color w:val="000000"/>
                    </w:rPr>
                    <w:t>2.60</w:t>
                  </w:r>
                </w:p>
              </w:tc>
              <w:tc>
                <w:tcPr>
                  <w:tcW w:w="544" w:type="pct"/>
                  <w:tcBorders>
                    <w:tl2br w:val="nil"/>
                    <w:tr2bl w:val="nil"/>
                  </w:tcBorders>
                  <w:shd w:val="clear" w:color="auto" w:fill="auto"/>
                  <w:vAlign w:val="center"/>
                </w:tcPr>
                <w:p w14:paraId="1BB129EC">
                  <w:pPr>
                    <w:pStyle w:val="38"/>
                    <w:bidi w:val="0"/>
                    <w:rPr>
                      <w:rFonts w:hint="default"/>
                      <w:b w:val="0"/>
                      <w:color w:val="000000"/>
                    </w:rPr>
                  </w:pPr>
                  <w:r>
                    <w:rPr>
                      <w:rFonts w:hint="default"/>
                      <w:b w:val="0"/>
                      <w:color w:val="000000"/>
                    </w:rPr>
                    <w:t>2.62</w:t>
                  </w:r>
                </w:p>
              </w:tc>
              <w:tc>
                <w:tcPr>
                  <w:tcW w:w="636" w:type="pct"/>
                  <w:tcBorders>
                    <w:right w:val="nil"/>
                    <w:tl2br w:val="nil"/>
                    <w:tr2bl w:val="nil"/>
                  </w:tcBorders>
                  <w:shd w:val="clear" w:color="auto" w:fill="auto"/>
                  <w:vAlign w:val="center"/>
                </w:tcPr>
                <w:p w14:paraId="1F88652E">
                  <w:pPr>
                    <w:pStyle w:val="38"/>
                    <w:bidi w:val="0"/>
                    <w:rPr>
                      <w:rFonts w:hint="default"/>
                      <w:b w:val="0"/>
                      <w:color w:val="000000"/>
                    </w:rPr>
                  </w:pPr>
                  <w:r>
                    <w:rPr>
                      <w:rFonts w:hint="default"/>
                      <w:b w:val="0"/>
                      <w:color w:val="000000"/>
                    </w:rPr>
                    <w:t>2.76</w:t>
                  </w:r>
                </w:p>
              </w:tc>
            </w:tr>
            <w:tr w14:paraId="054D529D">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PrEx>
              <w:trPr>
                <w:trHeight w:val="581" w:hRule="atLeast"/>
                <w:jc w:val="center"/>
              </w:trPr>
              <w:tc>
                <w:tcPr>
                  <w:tcW w:w="456" w:type="pct"/>
                  <w:vMerge w:val="continue"/>
                  <w:tcBorders>
                    <w:left w:val="nil"/>
                    <w:tl2br w:val="nil"/>
                    <w:tr2bl w:val="nil"/>
                  </w:tcBorders>
                  <w:shd w:val="clear" w:color="auto" w:fill="auto"/>
                  <w:vAlign w:val="center"/>
                </w:tcPr>
                <w:p w14:paraId="4AE3E8A7">
                  <w:pPr>
                    <w:pStyle w:val="38"/>
                    <w:bidi w:val="0"/>
                    <w:rPr>
                      <w:rFonts w:hint="default"/>
                      <w:b w:val="0"/>
                      <w:color w:val="000000"/>
                    </w:rPr>
                  </w:pPr>
                </w:p>
              </w:tc>
              <w:tc>
                <w:tcPr>
                  <w:tcW w:w="573" w:type="pct"/>
                  <w:vMerge w:val="continue"/>
                  <w:tcBorders>
                    <w:tl2br w:val="nil"/>
                    <w:tr2bl w:val="nil"/>
                  </w:tcBorders>
                  <w:shd w:val="clear" w:color="auto" w:fill="auto"/>
                  <w:vAlign w:val="center"/>
                </w:tcPr>
                <w:p w14:paraId="702D80C7">
                  <w:pPr>
                    <w:pStyle w:val="38"/>
                    <w:bidi w:val="0"/>
                    <w:rPr>
                      <w:rFonts w:hint="default"/>
                      <w:b w:val="0"/>
                      <w:color w:val="000000"/>
                    </w:rPr>
                  </w:pPr>
                </w:p>
              </w:tc>
              <w:tc>
                <w:tcPr>
                  <w:tcW w:w="563" w:type="pct"/>
                  <w:vMerge w:val="continue"/>
                  <w:tcBorders>
                    <w:tl2br w:val="nil"/>
                    <w:tr2bl w:val="nil"/>
                  </w:tcBorders>
                  <w:shd w:val="clear" w:color="auto" w:fill="auto"/>
                  <w:vAlign w:val="center"/>
                </w:tcPr>
                <w:p w14:paraId="6E78F2C5">
                  <w:pPr>
                    <w:pStyle w:val="38"/>
                    <w:bidi w:val="0"/>
                    <w:rPr>
                      <w:rFonts w:hint="default"/>
                      <w:b w:val="0"/>
                      <w:color w:val="000000"/>
                    </w:rPr>
                  </w:pPr>
                </w:p>
              </w:tc>
              <w:tc>
                <w:tcPr>
                  <w:tcW w:w="603" w:type="pct"/>
                  <w:tcBorders>
                    <w:tl2br w:val="nil"/>
                    <w:tr2bl w:val="nil"/>
                  </w:tcBorders>
                  <w:shd w:val="clear" w:color="auto" w:fill="auto"/>
                  <w:vAlign w:val="center"/>
                </w:tcPr>
                <w:p w14:paraId="19A8965F">
                  <w:pPr>
                    <w:pStyle w:val="38"/>
                    <w:bidi w:val="0"/>
                    <w:rPr>
                      <w:rFonts w:hint="default"/>
                      <w:b w:val="0"/>
                      <w:color w:val="000000"/>
                    </w:rPr>
                  </w:pPr>
                  <w:r>
                    <w:rPr>
                      <w:rFonts w:hint="default"/>
                      <w:b w:val="0"/>
                      <w:color w:val="000000"/>
                    </w:rPr>
                    <w:t>最大值</w:t>
                  </w:r>
                </w:p>
              </w:tc>
              <w:tc>
                <w:tcPr>
                  <w:tcW w:w="2167" w:type="pct"/>
                  <w:gridSpan w:val="4"/>
                  <w:tcBorders>
                    <w:tl2br w:val="nil"/>
                    <w:tr2bl w:val="nil"/>
                  </w:tcBorders>
                  <w:shd w:val="clear" w:color="auto" w:fill="auto"/>
                  <w:vAlign w:val="center"/>
                </w:tcPr>
                <w:p w14:paraId="3E4CB880">
                  <w:pPr>
                    <w:pStyle w:val="38"/>
                    <w:bidi w:val="0"/>
                    <w:rPr>
                      <w:rFonts w:hint="default"/>
                      <w:b w:val="0"/>
                      <w:color w:val="000000"/>
                    </w:rPr>
                  </w:pPr>
                  <w:r>
                    <w:rPr>
                      <w:rFonts w:hint="default"/>
                      <w:b w:val="0"/>
                      <w:color w:val="000000"/>
                    </w:rPr>
                    <w:t>3.14</w:t>
                  </w:r>
                </w:p>
              </w:tc>
              <w:tc>
                <w:tcPr>
                  <w:tcW w:w="636" w:type="pct"/>
                  <w:tcBorders>
                    <w:right w:val="nil"/>
                    <w:tl2br w:val="nil"/>
                    <w:tr2bl w:val="nil"/>
                  </w:tcBorders>
                  <w:shd w:val="clear" w:color="auto" w:fill="auto"/>
                  <w:vAlign w:val="center"/>
                </w:tcPr>
                <w:p w14:paraId="39689522">
                  <w:pPr>
                    <w:pStyle w:val="38"/>
                    <w:bidi w:val="0"/>
                    <w:rPr>
                      <w:rFonts w:hint="default"/>
                      <w:b w:val="0"/>
                      <w:color w:val="000000"/>
                    </w:rPr>
                  </w:pPr>
                  <w:r>
                    <w:rPr>
                      <w:rFonts w:hint="default"/>
                      <w:b w:val="0"/>
                      <w:color w:val="000000"/>
                    </w:rPr>
                    <w:t>2.92</w:t>
                  </w:r>
                </w:p>
              </w:tc>
            </w:tr>
            <w:tr w14:paraId="37C3BA43">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581" w:hRule="atLeast"/>
                <w:jc w:val="center"/>
              </w:trPr>
              <w:tc>
                <w:tcPr>
                  <w:tcW w:w="456" w:type="pct"/>
                  <w:vMerge w:val="continue"/>
                  <w:tcBorders>
                    <w:left w:val="nil"/>
                    <w:tl2br w:val="nil"/>
                    <w:tr2bl w:val="nil"/>
                  </w:tcBorders>
                  <w:shd w:val="clear" w:color="auto" w:fill="auto"/>
                  <w:vAlign w:val="center"/>
                </w:tcPr>
                <w:p w14:paraId="3E82E6EA">
                  <w:pPr>
                    <w:pStyle w:val="38"/>
                    <w:bidi w:val="0"/>
                    <w:rPr>
                      <w:rFonts w:hint="default"/>
                      <w:b w:val="0"/>
                      <w:color w:val="000000"/>
                    </w:rPr>
                  </w:pPr>
                </w:p>
              </w:tc>
              <w:tc>
                <w:tcPr>
                  <w:tcW w:w="573" w:type="pct"/>
                  <w:vMerge w:val="restart"/>
                  <w:tcBorders>
                    <w:tl2br w:val="nil"/>
                    <w:tr2bl w:val="nil"/>
                  </w:tcBorders>
                  <w:shd w:val="clear" w:color="auto" w:fill="auto"/>
                  <w:vAlign w:val="center"/>
                </w:tcPr>
                <w:p w14:paraId="3D5B7547">
                  <w:pPr>
                    <w:pStyle w:val="38"/>
                    <w:bidi w:val="0"/>
                    <w:rPr>
                      <w:rFonts w:hint="default"/>
                      <w:b w:val="0"/>
                      <w:color w:val="000000"/>
                    </w:rPr>
                  </w:pPr>
                  <w:r>
                    <w:rPr>
                      <w:rFonts w:hint="default"/>
                      <w:b w:val="0"/>
                      <w:color w:val="000000"/>
                    </w:rPr>
                    <w:t>Q7厂区</w:t>
                  </w:r>
                </w:p>
              </w:tc>
              <w:tc>
                <w:tcPr>
                  <w:tcW w:w="563" w:type="pct"/>
                  <w:vMerge w:val="restart"/>
                  <w:tcBorders>
                    <w:tl2br w:val="nil"/>
                    <w:tr2bl w:val="nil"/>
                  </w:tcBorders>
                  <w:shd w:val="clear" w:color="auto" w:fill="auto"/>
                  <w:vAlign w:val="center"/>
                </w:tcPr>
                <w:p w14:paraId="51401B02">
                  <w:pPr>
                    <w:pStyle w:val="38"/>
                    <w:bidi w:val="0"/>
                    <w:rPr>
                      <w:rFonts w:hint="default"/>
                      <w:b w:val="0"/>
                      <w:color w:val="000000"/>
                    </w:rPr>
                  </w:pPr>
                  <w:r>
                    <w:rPr>
                      <w:rFonts w:hint="default"/>
                      <w:b w:val="0"/>
                      <w:color w:val="000000"/>
                    </w:rPr>
                    <w:t>非甲烷总烃</w:t>
                  </w:r>
                </w:p>
              </w:tc>
              <w:tc>
                <w:tcPr>
                  <w:tcW w:w="603" w:type="pct"/>
                  <w:tcBorders>
                    <w:tl2br w:val="nil"/>
                    <w:tr2bl w:val="nil"/>
                  </w:tcBorders>
                  <w:shd w:val="clear" w:color="auto" w:fill="auto"/>
                  <w:vAlign w:val="center"/>
                </w:tcPr>
                <w:p w14:paraId="062367FF">
                  <w:pPr>
                    <w:pStyle w:val="38"/>
                    <w:bidi w:val="0"/>
                    <w:rPr>
                      <w:rFonts w:hint="default"/>
                      <w:b w:val="0"/>
                      <w:color w:val="000000"/>
                    </w:rPr>
                  </w:pPr>
                  <w:r>
                    <w:rPr>
                      <w:rFonts w:hint="default"/>
                      <w:b w:val="0"/>
                      <w:color w:val="000000"/>
                    </w:rPr>
                    <w:t>第一次</w:t>
                  </w:r>
                </w:p>
              </w:tc>
              <w:tc>
                <w:tcPr>
                  <w:tcW w:w="541" w:type="pct"/>
                  <w:tcBorders>
                    <w:tl2br w:val="nil"/>
                    <w:tr2bl w:val="nil"/>
                  </w:tcBorders>
                  <w:shd w:val="clear" w:color="auto" w:fill="auto"/>
                  <w:vAlign w:val="center"/>
                </w:tcPr>
                <w:p w14:paraId="70D9CA21">
                  <w:pPr>
                    <w:pStyle w:val="38"/>
                    <w:bidi w:val="0"/>
                    <w:rPr>
                      <w:rFonts w:hint="default"/>
                      <w:b w:val="0"/>
                      <w:color w:val="000000"/>
                    </w:rPr>
                  </w:pPr>
                  <w:r>
                    <w:rPr>
                      <w:rFonts w:hint="default"/>
                      <w:b w:val="0"/>
                      <w:color w:val="000000"/>
                    </w:rPr>
                    <w:t>2.59</w:t>
                  </w:r>
                </w:p>
              </w:tc>
              <w:tc>
                <w:tcPr>
                  <w:tcW w:w="541" w:type="pct"/>
                  <w:tcBorders>
                    <w:tl2br w:val="nil"/>
                    <w:tr2bl w:val="nil"/>
                  </w:tcBorders>
                  <w:shd w:val="clear" w:color="auto" w:fill="auto"/>
                  <w:vAlign w:val="center"/>
                </w:tcPr>
                <w:p w14:paraId="2FBB4155">
                  <w:pPr>
                    <w:pStyle w:val="38"/>
                    <w:bidi w:val="0"/>
                    <w:rPr>
                      <w:rFonts w:hint="default"/>
                      <w:b w:val="0"/>
                      <w:color w:val="000000"/>
                    </w:rPr>
                  </w:pPr>
                  <w:r>
                    <w:rPr>
                      <w:rFonts w:hint="default"/>
                      <w:b w:val="0"/>
                      <w:color w:val="000000"/>
                    </w:rPr>
                    <w:t>2.68</w:t>
                  </w:r>
                </w:p>
              </w:tc>
              <w:tc>
                <w:tcPr>
                  <w:tcW w:w="541" w:type="pct"/>
                  <w:tcBorders>
                    <w:tl2br w:val="nil"/>
                    <w:tr2bl w:val="nil"/>
                  </w:tcBorders>
                  <w:shd w:val="clear" w:color="auto" w:fill="auto"/>
                  <w:vAlign w:val="center"/>
                </w:tcPr>
                <w:p w14:paraId="4CFE0CE1">
                  <w:pPr>
                    <w:pStyle w:val="38"/>
                    <w:bidi w:val="0"/>
                    <w:rPr>
                      <w:rFonts w:hint="default"/>
                      <w:b w:val="0"/>
                      <w:color w:val="000000"/>
                    </w:rPr>
                  </w:pPr>
                  <w:r>
                    <w:rPr>
                      <w:rFonts w:hint="default"/>
                      <w:b w:val="0"/>
                      <w:color w:val="000000"/>
                    </w:rPr>
                    <w:t>2.78</w:t>
                  </w:r>
                </w:p>
              </w:tc>
              <w:tc>
                <w:tcPr>
                  <w:tcW w:w="544" w:type="pct"/>
                  <w:tcBorders>
                    <w:tl2br w:val="nil"/>
                    <w:tr2bl w:val="nil"/>
                  </w:tcBorders>
                  <w:shd w:val="clear" w:color="auto" w:fill="auto"/>
                  <w:vAlign w:val="center"/>
                </w:tcPr>
                <w:p w14:paraId="38F32016">
                  <w:pPr>
                    <w:pStyle w:val="38"/>
                    <w:bidi w:val="0"/>
                    <w:rPr>
                      <w:rFonts w:hint="default"/>
                      <w:b w:val="0"/>
                      <w:color w:val="000000"/>
                    </w:rPr>
                  </w:pPr>
                  <w:r>
                    <w:rPr>
                      <w:rFonts w:hint="default"/>
                      <w:b w:val="0"/>
                      <w:color w:val="000000"/>
                    </w:rPr>
                    <w:t>2.87</w:t>
                  </w:r>
                </w:p>
              </w:tc>
              <w:tc>
                <w:tcPr>
                  <w:tcW w:w="636" w:type="pct"/>
                  <w:tcBorders>
                    <w:right w:val="nil"/>
                    <w:tl2br w:val="nil"/>
                    <w:tr2bl w:val="nil"/>
                  </w:tcBorders>
                  <w:shd w:val="clear" w:color="auto" w:fill="auto"/>
                  <w:vAlign w:val="center"/>
                </w:tcPr>
                <w:p w14:paraId="15557BD0">
                  <w:pPr>
                    <w:pStyle w:val="38"/>
                    <w:bidi w:val="0"/>
                    <w:rPr>
                      <w:rFonts w:hint="default"/>
                      <w:b w:val="0"/>
                      <w:color w:val="000000"/>
                    </w:rPr>
                  </w:pPr>
                  <w:r>
                    <w:rPr>
                      <w:rFonts w:hint="default"/>
                      <w:b w:val="0"/>
                      <w:color w:val="000000"/>
                    </w:rPr>
                    <w:t>2.73</w:t>
                  </w:r>
                </w:p>
              </w:tc>
            </w:tr>
            <w:tr w14:paraId="77FE4B60">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581" w:hRule="atLeast"/>
                <w:jc w:val="center"/>
              </w:trPr>
              <w:tc>
                <w:tcPr>
                  <w:tcW w:w="456" w:type="pct"/>
                  <w:vMerge w:val="continue"/>
                  <w:tcBorders>
                    <w:left w:val="nil"/>
                    <w:tl2br w:val="nil"/>
                    <w:tr2bl w:val="nil"/>
                  </w:tcBorders>
                  <w:shd w:val="clear" w:color="auto" w:fill="auto"/>
                  <w:vAlign w:val="center"/>
                </w:tcPr>
                <w:p w14:paraId="73FD7CEF">
                  <w:pPr>
                    <w:pStyle w:val="38"/>
                    <w:bidi w:val="0"/>
                    <w:rPr>
                      <w:rFonts w:hint="default"/>
                      <w:b w:val="0"/>
                      <w:color w:val="000000"/>
                    </w:rPr>
                  </w:pPr>
                </w:p>
              </w:tc>
              <w:tc>
                <w:tcPr>
                  <w:tcW w:w="573" w:type="pct"/>
                  <w:vMerge w:val="continue"/>
                  <w:tcBorders>
                    <w:tl2br w:val="nil"/>
                    <w:tr2bl w:val="nil"/>
                  </w:tcBorders>
                  <w:shd w:val="clear" w:color="auto" w:fill="auto"/>
                  <w:vAlign w:val="center"/>
                </w:tcPr>
                <w:p w14:paraId="76B62F04">
                  <w:pPr>
                    <w:pStyle w:val="38"/>
                    <w:bidi w:val="0"/>
                    <w:rPr>
                      <w:rFonts w:hint="default"/>
                      <w:b w:val="0"/>
                      <w:color w:val="000000"/>
                    </w:rPr>
                  </w:pPr>
                </w:p>
              </w:tc>
              <w:tc>
                <w:tcPr>
                  <w:tcW w:w="563" w:type="pct"/>
                  <w:vMerge w:val="continue"/>
                  <w:tcBorders>
                    <w:tl2br w:val="nil"/>
                    <w:tr2bl w:val="nil"/>
                  </w:tcBorders>
                  <w:shd w:val="clear" w:color="auto" w:fill="auto"/>
                  <w:vAlign w:val="center"/>
                </w:tcPr>
                <w:p w14:paraId="5E32C09A">
                  <w:pPr>
                    <w:pStyle w:val="38"/>
                    <w:bidi w:val="0"/>
                    <w:rPr>
                      <w:rFonts w:hint="default"/>
                      <w:b w:val="0"/>
                      <w:color w:val="000000"/>
                    </w:rPr>
                  </w:pPr>
                </w:p>
              </w:tc>
              <w:tc>
                <w:tcPr>
                  <w:tcW w:w="603" w:type="pct"/>
                  <w:tcBorders>
                    <w:tl2br w:val="nil"/>
                    <w:tr2bl w:val="nil"/>
                  </w:tcBorders>
                  <w:shd w:val="clear" w:color="auto" w:fill="auto"/>
                  <w:vAlign w:val="center"/>
                </w:tcPr>
                <w:p w14:paraId="244FFB45">
                  <w:pPr>
                    <w:pStyle w:val="38"/>
                    <w:bidi w:val="0"/>
                    <w:rPr>
                      <w:rFonts w:hint="default"/>
                      <w:b w:val="0"/>
                      <w:color w:val="000000"/>
                    </w:rPr>
                  </w:pPr>
                  <w:r>
                    <w:rPr>
                      <w:rFonts w:hint="default"/>
                      <w:b w:val="0"/>
                      <w:color w:val="000000"/>
                    </w:rPr>
                    <w:t>第二次</w:t>
                  </w:r>
                </w:p>
              </w:tc>
              <w:tc>
                <w:tcPr>
                  <w:tcW w:w="541" w:type="pct"/>
                  <w:tcBorders>
                    <w:tl2br w:val="nil"/>
                    <w:tr2bl w:val="nil"/>
                  </w:tcBorders>
                  <w:shd w:val="clear" w:color="auto" w:fill="auto"/>
                  <w:vAlign w:val="center"/>
                </w:tcPr>
                <w:p w14:paraId="6FC7EBEB">
                  <w:pPr>
                    <w:pStyle w:val="38"/>
                    <w:bidi w:val="0"/>
                    <w:rPr>
                      <w:rFonts w:hint="default"/>
                      <w:b w:val="0"/>
                      <w:color w:val="000000"/>
                    </w:rPr>
                  </w:pPr>
                  <w:r>
                    <w:rPr>
                      <w:rFonts w:hint="default"/>
                      <w:b w:val="0"/>
                      <w:color w:val="000000"/>
                    </w:rPr>
                    <w:t>2.92</w:t>
                  </w:r>
                </w:p>
              </w:tc>
              <w:tc>
                <w:tcPr>
                  <w:tcW w:w="541" w:type="pct"/>
                  <w:tcBorders>
                    <w:tl2br w:val="nil"/>
                    <w:tr2bl w:val="nil"/>
                  </w:tcBorders>
                  <w:shd w:val="clear" w:color="auto" w:fill="auto"/>
                  <w:vAlign w:val="center"/>
                </w:tcPr>
                <w:p w14:paraId="0628CDE0">
                  <w:pPr>
                    <w:pStyle w:val="38"/>
                    <w:bidi w:val="0"/>
                    <w:rPr>
                      <w:rFonts w:hint="default"/>
                      <w:b w:val="0"/>
                      <w:color w:val="000000"/>
                    </w:rPr>
                  </w:pPr>
                  <w:r>
                    <w:rPr>
                      <w:rFonts w:hint="default"/>
                      <w:b w:val="0"/>
                      <w:color w:val="000000"/>
                    </w:rPr>
                    <w:t>2.59</w:t>
                  </w:r>
                </w:p>
              </w:tc>
              <w:tc>
                <w:tcPr>
                  <w:tcW w:w="541" w:type="pct"/>
                  <w:tcBorders>
                    <w:tl2br w:val="nil"/>
                    <w:tr2bl w:val="nil"/>
                  </w:tcBorders>
                  <w:shd w:val="clear" w:color="auto" w:fill="auto"/>
                  <w:vAlign w:val="center"/>
                </w:tcPr>
                <w:p w14:paraId="57D76B83">
                  <w:pPr>
                    <w:pStyle w:val="38"/>
                    <w:bidi w:val="0"/>
                    <w:rPr>
                      <w:rFonts w:hint="default"/>
                      <w:b w:val="0"/>
                      <w:color w:val="000000"/>
                    </w:rPr>
                  </w:pPr>
                  <w:r>
                    <w:rPr>
                      <w:rFonts w:hint="default"/>
                      <w:b w:val="0"/>
                      <w:color w:val="000000"/>
                    </w:rPr>
                    <w:t>2.53</w:t>
                  </w:r>
                </w:p>
              </w:tc>
              <w:tc>
                <w:tcPr>
                  <w:tcW w:w="544" w:type="pct"/>
                  <w:tcBorders>
                    <w:tl2br w:val="nil"/>
                    <w:tr2bl w:val="nil"/>
                  </w:tcBorders>
                  <w:shd w:val="clear" w:color="auto" w:fill="auto"/>
                  <w:vAlign w:val="center"/>
                </w:tcPr>
                <w:p w14:paraId="33D858F8">
                  <w:pPr>
                    <w:pStyle w:val="38"/>
                    <w:bidi w:val="0"/>
                    <w:rPr>
                      <w:rFonts w:hint="default"/>
                      <w:b w:val="0"/>
                      <w:color w:val="000000"/>
                    </w:rPr>
                  </w:pPr>
                  <w:r>
                    <w:rPr>
                      <w:rFonts w:hint="default"/>
                      <w:b w:val="0"/>
                      <w:color w:val="000000"/>
                    </w:rPr>
                    <w:t>2.89</w:t>
                  </w:r>
                </w:p>
              </w:tc>
              <w:tc>
                <w:tcPr>
                  <w:tcW w:w="636" w:type="pct"/>
                  <w:tcBorders>
                    <w:right w:val="nil"/>
                    <w:tl2br w:val="nil"/>
                    <w:tr2bl w:val="nil"/>
                  </w:tcBorders>
                  <w:shd w:val="clear" w:color="auto" w:fill="auto"/>
                  <w:vAlign w:val="center"/>
                </w:tcPr>
                <w:p w14:paraId="2844C2D2">
                  <w:pPr>
                    <w:pStyle w:val="38"/>
                    <w:bidi w:val="0"/>
                    <w:rPr>
                      <w:rFonts w:hint="default"/>
                      <w:b w:val="0"/>
                      <w:color w:val="000000"/>
                    </w:rPr>
                  </w:pPr>
                  <w:r>
                    <w:rPr>
                      <w:rFonts w:hint="default"/>
                      <w:b w:val="0"/>
                      <w:color w:val="000000"/>
                    </w:rPr>
                    <w:t>2.73</w:t>
                  </w:r>
                </w:p>
              </w:tc>
            </w:tr>
            <w:tr w14:paraId="47482A08">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581" w:hRule="atLeast"/>
                <w:jc w:val="center"/>
              </w:trPr>
              <w:tc>
                <w:tcPr>
                  <w:tcW w:w="456" w:type="pct"/>
                  <w:vMerge w:val="continue"/>
                  <w:tcBorders>
                    <w:left w:val="nil"/>
                    <w:tl2br w:val="nil"/>
                    <w:tr2bl w:val="nil"/>
                  </w:tcBorders>
                  <w:shd w:val="clear" w:color="auto" w:fill="auto"/>
                  <w:vAlign w:val="center"/>
                </w:tcPr>
                <w:p w14:paraId="6AF0CC3A">
                  <w:pPr>
                    <w:pStyle w:val="38"/>
                    <w:bidi w:val="0"/>
                    <w:rPr>
                      <w:rFonts w:hint="default"/>
                      <w:b w:val="0"/>
                      <w:color w:val="000000"/>
                    </w:rPr>
                  </w:pPr>
                </w:p>
              </w:tc>
              <w:tc>
                <w:tcPr>
                  <w:tcW w:w="573" w:type="pct"/>
                  <w:vMerge w:val="continue"/>
                  <w:tcBorders>
                    <w:tl2br w:val="nil"/>
                    <w:tr2bl w:val="nil"/>
                  </w:tcBorders>
                  <w:shd w:val="clear" w:color="auto" w:fill="auto"/>
                  <w:vAlign w:val="center"/>
                </w:tcPr>
                <w:p w14:paraId="6D526BF4">
                  <w:pPr>
                    <w:pStyle w:val="38"/>
                    <w:bidi w:val="0"/>
                    <w:rPr>
                      <w:rFonts w:hint="default"/>
                      <w:b w:val="0"/>
                      <w:color w:val="000000"/>
                    </w:rPr>
                  </w:pPr>
                </w:p>
              </w:tc>
              <w:tc>
                <w:tcPr>
                  <w:tcW w:w="563" w:type="pct"/>
                  <w:vMerge w:val="continue"/>
                  <w:tcBorders>
                    <w:tl2br w:val="nil"/>
                    <w:tr2bl w:val="nil"/>
                  </w:tcBorders>
                  <w:shd w:val="clear" w:color="auto" w:fill="auto"/>
                  <w:vAlign w:val="center"/>
                </w:tcPr>
                <w:p w14:paraId="3F441EEF">
                  <w:pPr>
                    <w:pStyle w:val="38"/>
                    <w:bidi w:val="0"/>
                    <w:rPr>
                      <w:rFonts w:hint="default"/>
                      <w:b w:val="0"/>
                      <w:color w:val="000000"/>
                    </w:rPr>
                  </w:pPr>
                </w:p>
              </w:tc>
              <w:tc>
                <w:tcPr>
                  <w:tcW w:w="603" w:type="pct"/>
                  <w:tcBorders>
                    <w:tl2br w:val="nil"/>
                    <w:tr2bl w:val="nil"/>
                  </w:tcBorders>
                  <w:shd w:val="clear" w:color="auto" w:fill="auto"/>
                  <w:vAlign w:val="center"/>
                </w:tcPr>
                <w:p w14:paraId="39E14EA7">
                  <w:pPr>
                    <w:pStyle w:val="38"/>
                    <w:bidi w:val="0"/>
                    <w:rPr>
                      <w:rFonts w:hint="default"/>
                      <w:b w:val="0"/>
                      <w:color w:val="000000"/>
                    </w:rPr>
                  </w:pPr>
                  <w:r>
                    <w:rPr>
                      <w:rFonts w:hint="default"/>
                      <w:b w:val="0"/>
                      <w:color w:val="000000"/>
                    </w:rPr>
                    <w:t>第三次</w:t>
                  </w:r>
                </w:p>
              </w:tc>
              <w:tc>
                <w:tcPr>
                  <w:tcW w:w="541" w:type="pct"/>
                  <w:tcBorders>
                    <w:tl2br w:val="nil"/>
                    <w:tr2bl w:val="nil"/>
                  </w:tcBorders>
                  <w:shd w:val="clear" w:color="auto" w:fill="auto"/>
                  <w:vAlign w:val="center"/>
                </w:tcPr>
                <w:p w14:paraId="219ED72D">
                  <w:pPr>
                    <w:pStyle w:val="38"/>
                    <w:bidi w:val="0"/>
                    <w:rPr>
                      <w:rFonts w:hint="default"/>
                      <w:b w:val="0"/>
                      <w:color w:val="000000"/>
                    </w:rPr>
                  </w:pPr>
                  <w:r>
                    <w:rPr>
                      <w:rFonts w:hint="default"/>
                      <w:b w:val="0"/>
                      <w:color w:val="000000"/>
                    </w:rPr>
                    <w:t>2.45</w:t>
                  </w:r>
                </w:p>
              </w:tc>
              <w:tc>
                <w:tcPr>
                  <w:tcW w:w="541" w:type="pct"/>
                  <w:tcBorders>
                    <w:tl2br w:val="nil"/>
                    <w:tr2bl w:val="nil"/>
                  </w:tcBorders>
                  <w:shd w:val="clear" w:color="auto" w:fill="auto"/>
                  <w:vAlign w:val="center"/>
                </w:tcPr>
                <w:p w14:paraId="02B196E6">
                  <w:pPr>
                    <w:pStyle w:val="38"/>
                    <w:bidi w:val="0"/>
                    <w:rPr>
                      <w:rFonts w:hint="default"/>
                      <w:b w:val="0"/>
                      <w:color w:val="000000"/>
                    </w:rPr>
                  </w:pPr>
                  <w:r>
                    <w:rPr>
                      <w:rFonts w:hint="default"/>
                      <w:b w:val="0"/>
                      <w:color w:val="000000"/>
                    </w:rPr>
                    <w:t>2.53</w:t>
                  </w:r>
                </w:p>
              </w:tc>
              <w:tc>
                <w:tcPr>
                  <w:tcW w:w="541" w:type="pct"/>
                  <w:tcBorders>
                    <w:tl2br w:val="nil"/>
                    <w:tr2bl w:val="nil"/>
                  </w:tcBorders>
                  <w:shd w:val="clear" w:color="auto" w:fill="auto"/>
                  <w:vAlign w:val="center"/>
                </w:tcPr>
                <w:p w14:paraId="75DB9BFC">
                  <w:pPr>
                    <w:pStyle w:val="38"/>
                    <w:bidi w:val="0"/>
                    <w:rPr>
                      <w:rFonts w:hint="default"/>
                      <w:b w:val="0"/>
                      <w:color w:val="000000"/>
                    </w:rPr>
                  </w:pPr>
                  <w:r>
                    <w:rPr>
                      <w:rFonts w:hint="default"/>
                      <w:b w:val="0"/>
                      <w:color w:val="000000"/>
                    </w:rPr>
                    <w:t>2.59</w:t>
                  </w:r>
                </w:p>
              </w:tc>
              <w:tc>
                <w:tcPr>
                  <w:tcW w:w="544" w:type="pct"/>
                  <w:tcBorders>
                    <w:tl2br w:val="nil"/>
                    <w:tr2bl w:val="nil"/>
                  </w:tcBorders>
                  <w:shd w:val="clear" w:color="auto" w:fill="auto"/>
                  <w:vAlign w:val="center"/>
                </w:tcPr>
                <w:p w14:paraId="03FB0180">
                  <w:pPr>
                    <w:pStyle w:val="38"/>
                    <w:bidi w:val="0"/>
                    <w:rPr>
                      <w:rFonts w:hint="default"/>
                      <w:b w:val="0"/>
                      <w:color w:val="000000"/>
                    </w:rPr>
                  </w:pPr>
                  <w:r>
                    <w:rPr>
                      <w:rFonts w:hint="default"/>
                      <w:b w:val="0"/>
                      <w:color w:val="000000"/>
                    </w:rPr>
                    <w:t>2.70</w:t>
                  </w:r>
                </w:p>
              </w:tc>
              <w:tc>
                <w:tcPr>
                  <w:tcW w:w="636" w:type="pct"/>
                  <w:tcBorders>
                    <w:right w:val="nil"/>
                    <w:tl2br w:val="nil"/>
                    <w:tr2bl w:val="nil"/>
                  </w:tcBorders>
                  <w:shd w:val="clear" w:color="auto" w:fill="auto"/>
                  <w:vAlign w:val="center"/>
                </w:tcPr>
                <w:p w14:paraId="1E7578A2">
                  <w:pPr>
                    <w:pStyle w:val="38"/>
                    <w:bidi w:val="0"/>
                    <w:rPr>
                      <w:rFonts w:hint="default"/>
                      <w:b w:val="0"/>
                      <w:color w:val="000000"/>
                    </w:rPr>
                  </w:pPr>
                  <w:r>
                    <w:rPr>
                      <w:rFonts w:hint="default"/>
                      <w:b w:val="0"/>
                      <w:color w:val="000000"/>
                    </w:rPr>
                    <w:t>2.57</w:t>
                  </w:r>
                </w:p>
              </w:tc>
            </w:tr>
            <w:tr w14:paraId="3BFA2E3B">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581" w:hRule="atLeast"/>
                <w:jc w:val="center"/>
              </w:trPr>
              <w:tc>
                <w:tcPr>
                  <w:tcW w:w="456" w:type="pct"/>
                  <w:vMerge w:val="continue"/>
                  <w:tcBorders>
                    <w:left w:val="nil"/>
                    <w:tl2br w:val="nil"/>
                    <w:tr2bl w:val="nil"/>
                  </w:tcBorders>
                  <w:shd w:val="clear" w:color="auto" w:fill="auto"/>
                  <w:vAlign w:val="center"/>
                </w:tcPr>
                <w:p w14:paraId="77DFA2DA">
                  <w:pPr>
                    <w:pStyle w:val="38"/>
                    <w:bidi w:val="0"/>
                    <w:rPr>
                      <w:rFonts w:hint="default"/>
                      <w:b w:val="0"/>
                      <w:color w:val="000000"/>
                    </w:rPr>
                  </w:pPr>
                </w:p>
              </w:tc>
              <w:tc>
                <w:tcPr>
                  <w:tcW w:w="573" w:type="pct"/>
                  <w:vMerge w:val="continue"/>
                  <w:tcBorders>
                    <w:tl2br w:val="nil"/>
                    <w:tr2bl w:val="nil"/>
                  </w:tcBorders>
                  <w:shd w:val="clear" w:color="auto" w:fill="auto"/>
                  <w:vAlign w:val="center"/>
                </w:tcPr>
                <w:p w14:paraId="0EE2F563">
                  <w:pPr>
                    <w:pStyle w:val="38"/>
                    <w:bidi w:val="0"/>
                    <w:rPr>
                      <w:rFonts w:hint="default"/>
                      <w:b w:val="0"/>
                      <w:color w:val="000000"/>
                    </w:rPr>
                  </w:pPr>
                </w:p>
              </w:tc>
              <w:tc>
                <w:tcPr>
                  <w:tcW w:w="563" w:type="pct"/>
                  <w:vMerge w:val="continue"/>
                  <w:tcBorders>
                    <w:tl2br w:val="nil"/>
                    <w:tr2bl w:val="nil"/>
                  </w:tcBorders>
                  <w:shd w:val="clear" w:color="auto" w:fill="auto"/>
                  <w:vAlign w:val="center"/>
                </w:tcPr>
                <w:p w14:paraId="5F5749AF">
                  <w:pPr>
                    <w:pStyle w:val="38"/>
                    <w:bidi w:val="0"/>
                    <w:rPr>
                      <w:rFonts w:hint="default"/>
                      <w:b w:val="0"/>
                      <w:color w:val="000000"/>
                    </w:rPr>
                  </w:pPr>
                </w:p>
              </w:tc>
              <w:tc>
                <w:tcPr>
                  <w:tcW w:w="603" w:type="pct"/>
                  <w:tcBorders>
                    <w:tl2br w:val="nil"/>
                    <w:tr2bl w:val="nil"/>
                  </w:tcBorders>
                  <w:shd w:val="clear" w:color="auto" w:fill="auto"/>
                  <w:vAlign w:val="center"/>
                </w:tcPr>
                <w:p w14:paraId="2D6F15AB">
                  <w:pPr>
                    <w:pStyle w:val="38"/>
                    <w:bidi w:val="0"/>
                    <w:rPr>
                      <w:rFonts w:hint="default"/>
                      <w:b w:val="0"/>
                      <w:color w:val="000000"/>
                    </w:rPr>
                  </w:pPr>
                  <w:r>
                    <w:rPr>
                      <w:rFonts w:hint="default"/>
                      <w:b w:val="0"/>
                      <w:color w:val="000000"/>
                    </w:rPr>
                    <w:t>最大值</w:t>
                  </w:r>
                </w:p>
              </w:tc>
              <w:tc>
                <w:tcPr>
                  <w:tcW w:w="2167" w:type="pct"/>
                  <w:gridSpan w:val="4"/>
                  <w:tcBorders>
                    <w:tl2br w:val="nil"/>
                    <w:tr2bl w:val="nil"/>
                  </w:tcBorders>
                  <w:shd w:val="clear" w:color="auto" w:fill="auto"/>
                  <w:vAlign w:val="center"/>
                </w:tcPr>
                <w:p w14:paraId="3371F2D4">
                  <w:pPr>
                    <w:pStyle w:val="38"/>
                    <w:bidi w:val="0"/>
                    <w:rPr>
                      <w:rFonts w:hint="default"/>
                      <w:b w:val="0"/>
                      <w:color w:val="000000"/>
                    </w:rPr>
                  </w:pPr>
                  <w:r>
                    <w:rPr>
                      <w:rFonts w:hint="default"/>
                      <w:b w:val="0"/>
                      <w:color w:val="000000"/>
                    </w:rPr>
                    <w:t>2.92</w:t>
                  </w:r>
                </w:p>
              </w:tc>
              <w:tc>
                <w:tcPr>
                  <w:tcW w:w="636" w:type="pct"/>
                  <w:tcBorders>
                    <w:right w:val="nil"/>
                    <w:tl2br w:val="nil"/>
                    <w:tr2bl w:val="nil"/>
                  </w:tcBorders>
                  <w:shd w:val="clear" w:color="auto" w:fill="auto"/>
                  <w:vAlign w:val="center"/>
                </w:tcPr>
                <w:p w14:paraId="73343B58">
                  <w:pPr>
                    <w:pStyle w:val="38"/>
                    <w:bidi w:val="0"/>
                    <w:rPr>
                      <w:rFonts w:hint="default"/>
                      <w:b w:val="0"/>
                      <w:color w:val="000000"/>
                    </w:rPr>
                  </w:pPr>
                  <w:r>
                    <w:rPr>
                      <w:rFonts w:hint="default"/>
                      <w:b w:val="0"/>
                      <w:color w:val="000000"/>
                    </w:rPr>
                    <w:t>2.73</w:t>
                  </w:r>
                </w:p>
              </w:tc>
            </w:tr>
            <w:tr w14:paraId="1E59A3B6">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581" w:hRule="atLeast"/>
                <w:jc w:val="center"/>
              </w:trPr>
              <w:tc>
                <w:tcPr>
                  <w:tcW w:w="5000" w:type="pct"/>
                  <w:gridSpan w:val="9"/>
                  <w:tcBorders>
                    <w:left w:val="nil"/>
                    <w:bottom w:val="single" w:color="000000" w:sz="12" w:space="0"/>
                    <w:right w:val="nil"/>
                    <w:tl2br w:val="nil"/>
                    <w:tr2bl w:val="nil"/>
                  </w:tcBorders>
                  <w:shd w:val="clear" w:color="auto" w:fill="auto"/>
                  <w:vAlign w:val="center"/>
                </w:tcPr>
                <w:p w14:paraId="361B2AB2">
                  <w:pPr>
                    <w:pStyle w:val="38"/>
                    <w:bidi w:val="0"/>
                    <w:rPr>
                      <w:rFonts w:hint="default"/>
                      <w:b w:val="0"/>
                      <w:color w:val="000000"/>
                    </w:rPr>
                  </w:pPr>
                  <w:r>
                    <w:rPr>
                      <w:rFonts w:hint="eastAsia"/>
                      <w:b w:val="0"/>
                      <w:color w:val="000000"/>
                      <w:lang w:val="en-US" w:eastAsia="zh-CN"/>
                    </w:rPr>
                    <w:t>注：2023年10月21日监测工况为83.37%，2023年10月22日监测工况为83.12%。</w:t>
                  </w:r>
                </w:p>
              </w:tc>
            </w:tr>
          </w:tbl>
          <w:p w14:paraId="0EF5C307">
            <w:pPr>
              <w:keepNext w:val="0"/>
              <w:keepLines w:val="0"/>
              <w:suppressLineNumbers w:val="0"/>
              <w:bidi w:val="0"/>
              <w:spacing w:before="0" w:beforeAutospacing="0" w:after="0" w:afterAutospacing="0"/>
              <w:ind w:left="0" w:right="0"/>
              <w:rPr>
                <w:rFonts w:hint="eastAsia" w:ascii="Times New Roman" w:hAnsi="Times New Roman" w:eastAsia="宋体" w:cs="Times New Roman"/>
                <w:color w:val="auto"/>
                <w:kern w:val="0"/>
                <w:sz w:val="24"/>
                <w:szCs w:val="24"/>
                <w:lang w:val="en-US" w:eastAsia="zh-CN" w:bidi="ar-SA"/>
              </w:rPr>
            </w:pPr>
            <w:r>
              <w:rPr>
                <w:rFonts w:hint="default"/>
                <w:lang w:val="en-US" w:eastAsia="zh-CN"/>
              </w:rPr>
              <w:t>监测结果可以看出：</w:t>
            </w:r>
            <w:r>
              <w:rPr>
                <w:rFonts w:hint="eastAsia"/>
                <w:lang w:val="en-US" w:eastAsia="zh-CN"/>
              </w:rPr>
              <w:t>排气筒（DA001）排放的非甲烷总烃排放浓度</w:t>
            </w:r>
            <w:r>
              <w:rPr>
                <w:rFonts w:hint="eastAsia" w:ascii="Times New Roman" w:hAnsi="Times New Roman" w:eastAsiaTheme="minorEastAsia"/>
                <w:color w:val="auto"/>
                <w:sz w:val="24"/>
                <w:szCs w:val="24"/>
              </w:rPr>
              <w:t>达到批复所要求的《工业涂装工序挥发性有机物排放标准》（DB35/1783-2018）表1标准中的涉涂装工序的其它行业的标准限值（非甲烷总烃</w:t>
            </w:r>
            <w:r>
              <w:rPr>
                <w:rFonts w:hint="eastAsia" w:ascii="Times New Roman" w:hAnsi="Times New Roman" w:eastAsiaTheme="minorEastAsia"/>
                <w:color w:val="auto"/>
                <w:sz w:val="24"/>
                <w:szCs w:val="24"/>
                <w:lang w:val="en-US" w:eastAsia="zh-CN"/>
              </w:rPr>
              <w:t>排放浓度</w:t>
            </w:r>
            <w:r>
              <w:rPr>
                <w:rFonts w:hint="eastAsia" w:ascii="Times New Roman" w:hAnsi="Times New Roman" w:eastAsiaTheme="minorEastAsia"/>
                <w:color w:val="auto"/>
                <w:sz w:val="24"/>
                <w:szCs w:val="24"/>
              </w:rPr>
              <w:t>≤60mg/m</w:t>
            </w:r>
            <w:r>
              <w:rPr>
                <w:rFonts w:hint="eastAsia" w:ascii="Times New Roman" w:hAnsi="Times New Roman" w:eastAsiaTheme="minorEastAsia"/>
                <w:color w:val="auto"/>
                <w:sz w:val="24"/>
                <w:szCs w:val="24"/>
                <w:vertAlign w:val="superscript"/>
              </w:rPr>
              <w:t>3</w:t>
            </w:r>
            <w:r>
              <w:rPr>
                <w:rFonts w:hint="eastAsia" w:ascii="Times New Roman" w:hAnsi="Times New Roman" w:eastAsiaTheme="minorEastAsia"/>
                <w:color w:val="auto"/>
                <w:sz w:val="24"/>
                <w:szCs w:val="24"/>
                <w:lang w:eastAsia="zh-CN"/>
              </w:rPr>
              <w:t>、</w:t>
            </w:r>
            <w:r>
              <w:rPr>
                <w:rFonts w:hint="eastAsia" w:ascii="Times New Roman" w:hAnsi="Times New Roman" w:eastAsiaTheme="minorEastAsia"/>
                <w:color w:val="auto"/>
                <w:sz w:val="24"/>
                <w:szCs w:val="24"/>
                <w:lang w:val="en-US" w:eastAsia="zh-CN"/>
              </w:rPr>
              <w:t>排放速率</w:t>
            </w:r>
            <w:r>
              <w:rPr>
                <w:rFonts w:hint="eastAsia" w:ascii="Times New Roman" w:hAnsi="Times New Roman" w:eastAsiaTheme="minorEastAsia"/>
                <w:color w:val="auto"/>
                <w:sz w:val="24"/>
                <w:szCs w:val="24"/>
              </w:rPr>
              <w:t>≤</w:t>
            </w:r>
            <w:r>
              <w:rPr>
                <w:rFonts w:hint="eastAsia" w:ascii="Times New Roman" w:hAnsi="Times New Roman" w:eastAsiaTheme="minorEastAsia"/>
                <w:color w:val="auto"/>
                <w:sz w:val="24"/>
                <w:szCs w:val="24"/>
                <w:lang w:val="en-US" w:eastAsia="zh-CN"/>
              </w:rPr>
              <w:t>2.5kg/h</w:t>
            </w:r>
            <w:r>
              <w:rPr>
                <w:rFonts w:hint="eastAsia" w:ascii="Times New Roman" w:hAnsi="Times New Roman" w:eastAsiaTheme="minorEastAsia"/>
                <w:color w:val="auto"/>
                <w:sz w:val="24"/>
                <w:szCs w:val="24"/>
              </w:rPr>
              <w:t>）</w:t>
            </w:r>
            <w:r>
              <w:rPr>
                <w:rFonts w:hint="eastAsia"/>
                <w:lang w:val="en-US" w:eastAsia="zh-CN"/>
              </w:rPr>
              <w:t>；</w:t>
            </w:r>
            <w:r>
              <w:rPr>
                <w:rFonts w:hint="eastAsia" w:ascii="Times New Roman" w:hAnsi="Times New Roman" w:eastAsia="宋体" w:cs="Times New Roman"/>
                <w:color w:val="auto"/>
                <w:kern w:val="0"/>
                <w:sz w:val="24"/>
                <w:szCs w:val="24"/>
                <w:lang w:val="en-US" w:eastAsia="zh-CN" w:bidi="ar-SA"/>
              </w:rPr>
              <w:t>颗粒物排放浓度</w:t>
            </w:r>
            <w:r>
              <w:rPr>
                <w:rFonts w:hint="eastAsia" w:ascii="Times New Roman" w:hAnsi="Times New Roman" w:eastAsiaTheme="minorEastAsia"/>
                <w:color w:val="auto"/>
                <w:sz w:val="24"/>
                <w:szCs w:val="24"/>
              </w:rPr>
              <w:t>达到批复所要求的</w:t>
            </w:r>
            <w:r>
              <w:rPr>
                <w:rFonts w:hint="eastAsia" w:ascii="Times New Roman" w:hAnsi="Times New Roman" w:eastAsia="宋体" w:cs="Times New Roman"/>
                <w:color w:val="auto"/>
                <w:kern w:val="0"/>
                <w:sz w:val="24"/>
                <w:szCs w:val="24"/>
                <w:lang w:val="en-US" w:eastAsia="zh-CN" w:bidi="ar-SA"/>
              </w:rPr>
              <w:t>《大气污染物综合排放标准》（GB16297-1996）表2中二级标准（颗粒物</w:t>
            </w:r>
            <w:r>
              <w:rPr>
                <w:rFonts w:hint="eastAsia" w:ascii="Times New Roman" w:hAnsi="Times New Roman" w:eastAsiaTheme="minorEastAsia"/>
                <w:color w:val="auto"/>
                <w:sz w:val="24"/>
                <w:szCs w:val="24"/>
                <w:lang w:val="en-US" w:eastAsia="zh-CN"/>
              </w:rPr>
              <w:t>排放浓度</w:t>
            </w:r>
            <w:r>
              <w:rPr>
                <w:rFonts w:hint="eastAsia" w:ascii="Times New Roman" w:hAnsi="Times New Roman" w:eastAsia="宋体" w:cs="Times New Roman"/>
                <w:color w:val="auto"/>
                <w:kern w:val="0"/>
                <w:sz w:val="24"/>
                <w:szCs w:val="24"/>
                <w:lang w:val="en-US" w:eastAsia="zh-CN" w:bidi="ar-SA"/>
              </w:rPr>
              <w:t>≤120mg/m</w:t>
            </w:r>
            <w:r>
              <w:rPr>
                <w:rFonts w:hint="eastAsia" w:ascii="Times New Roman" w:hAnsi="Times New Roman" w:eastAsia="宋体" w:cs="Times New Roman"/>
                <w:color w:val="auto"/>
                <w:kern w:val="0"/>
                <w:sz w:val="24"/>
                <w:szCs w:val="24"/>
                <w:vertAlign w:val="superscript"/>
                <w:lang w:val="en-US" w:eastAsia="zh-CN" w:bidi="ar-SA"/>
              </w:rPr>
              <w:t>3</w:t>
            </w:r>
            <w:r>
              <w:rPr>
                <w:rFonts w:hint="eastAsia" w:ascii="Times New Roman" w:hAnsi="Times New Roman" w:eastAsia="宋体" w:cs="Times New Roman"/>
                <w:color w:val="auto"/>
                <w:kern w:val="0"/>
                <w:sz w:val="24"/>
                <w:szCs w:val="24"/>
                <w:lang w:val="en-US" w:eastAsia="zh-CN" w:bidi="ar-SA"/>
              </w:rPr>
              <w:t>、</w:t>
            </w:r>
            <w:r>
              <w:rPr>
                <w:rFonts w:hint="eastAsia" w:ascii="Times New Roman" w:hAnsi="Times New Roman" w:eastAsiaTheme="minorEastAsia"/>
                <w:color w:val="auto"/>
                <w:sz w:val="24"/>
                <w:szCs w:val="24"/>
                <w:lang w:val="en-US" w:eastAsia="zh-CN"/>
              </w:rPr>
              <w:t>排放速率</w:t>
            </w:r>
            <w:r>
              <w:rPr>
                <w:rFonts w:hint="eastAsia" w:ascii="Times New Roman" w:hAnsi="Times New Roman" w:eastAsiaTheme="minorEastAsia"/>
                <w:color w:val="auto"/>
                <w:sz w:val="24"/>
                <w:szCs w:val="24"/>
              </w:rPr>
              <w:t>≤</w:t>
            </w:r>
            <w:r>
              <w:rPr>
                <w:rFonts w:hint="eastAsia" w:ascii="Times New Roman" w:hAnsi="Times New Roman" w:eastAsiaTheme="minorEastAsia"/>
                <w:color w:val="auto"/>
                <w:sz w:val="24"/>
                <w:szCs w:val="24"/>
                <w:lang w:val="en-US" w:eastAsia="zh-CN"/>
              </w:rPr>
              <w:t>3.5kg/h</w:t>
            </w:r>
            <w:r>
              <w:rPr>
                <w:rFonts w:hint="eastAsia" w:ascii="Times New Roman" w:hAnsi="Times New Roman" w:eastAsia="宋体" w:cs="Times New Roman"/>
                <w:color w:val="auto"/>
                <w:kern w:val="0"/>
                <w:sz w:val="24"/>
                <w:szCs w:val="24"/>
                <w:lang w:val="en-US" w:eastAsia="zh-CN" w:bidi="ar-SA"/>
              </w:rPr>
              <w:t>）</w:t>
            </w:r>
            <w:r>
              <w:rPr>
                <w:rFonts w:hint="eastAsia" w:cs="Times New Roman"/>
                <w:color w:val="auto"/>
                <w:kern w:val="0"/>
                <w:sz w:val="24"/>
                <w:szCs w:val="24"/>
                <w:lang w:val="en-US" w:eastAsia="zh-CN" w:bidi="ar-SA"/>
              </w:rPr>
              <w:t>。</w:t>
            </w:r>
          </w:p>
          <w:p w14:paraId="21B0F597">
            <w:pPr>
              <w:keepNext w:val="0"/>
              <w:keepLines w:val="0"/>
              <w:suppressLineNumbers w:val="0"/>
              <w:bidi w:val="0"/>
              <w:spacing w:before="0" w:beforeAutospacing="0" w:after="0" w:afterAutospacing="0"/>
              <w:ind w:left="0" w:right="0"/>
              <w:rPr>
                <w:rFonts w:hint="eastAsia"/>
                <w:color w:val="auto"/>
                <w:sz w:val="24"/>
                <w:szCs w:val="24"/>
                <w:lang w:eastAsia="zh-CN"/>
              </w:rPr>
            </w:pPr>
            <w:r>
              <w:rPr>
                <w:rFonts w:hint="eastAsia" w:ascii="Times New Roman" w:hAnsi="Times New Roman" w:eastAsiaTheme="minorEastAsia"/>
                <w:color w:val="auto"/>
                <w:sz w:val="24"/>
                <w:szCs w:val="24"/>
                <w:lang w:val="en-US" w:eastAsia="zh-CN"/>
              </w:rPr>
              <w:t>企业边界无组织监控点：颗粒物</w:t>
            </w:r>
            <w:r>
              <w:rPr>
                <w:rFonts w:hint="eastAsia" w:ascii="Times New Roman" w:hAnsi="Times New Roman" w:eastAsiaTheme="minorEastAsia"/>
                <w:color w:val="auto"/>
                <w:sz w:val="24"/>
                <w:szCs w:val="24"/>
              </w:rPr>
              <w:t>最大排放浓度</w:t>
            </w:r>
            <w:r>
              <w:rPr>
                <w:rFonts w:hint="eastAsia" w:ascii="Times New Roman" w:hAnsi="Times New Roman" w:eastAsia="Times New Roman" w:cs="Times New Roman"/>
                <w:color w:val="auto"/>
                <w:spacing w:val="-1"/>
                <w:sz w:val="24"/>
                <w:szCs w:val="24"/>
              </w:rPr>
              <w:t>&lt;0.167</w:t>
            </w:r>
            <w:r>
              <w:rPr>
                <w:rFonts w:hint="eastAsia" w:ascii="Times New Roman" w:hAnsi="Times New Roman" w:eastAsia="宋体" w:cs="Times New Roman"/>
                <w:color w:val="auto"/>
                <w:kern w:val="0"/>
                <w:sz w:val="24"/>
                <w:szCs w:val="24"/>
                <w:lang w:val="en-US" w:eastAsia="zh-CN" w:bidi="ar-SA"/>
              </w:rPr>
              <w:t>mg/m</w:t>
            </w:r>
            <w:r>
              <w:rPr>
                <w:rFonts w:hint="eastAsia" w:ascii="Times New Roman" w:hAnsi="Times New Roman" w:eastAsia="宋体" w:cs="Times New Roman"/>
                <w:color w:val="auto"/>
                <w:kern w:val="0"/>
                <w:sz w:val="24"/>
                <w:szCs w:val="24"/>
                <w:vertAlign w:val="superscript"/>
                <w:lang w:val="en-US" w:eastAsia="zh-CN" w:bidi="ar-SA"/>
              </w:rPr>
              <w:t>3</w:t>
            </w:r>
            <w:r>
              <w:rPr>
                <w:rFonts w:hint="eastAsia" w:ascii="Times New Roman" w:hAnsi="Times New Roman" w:eastAsiaTheme="minorEastAsia"/>
                <w:color w:val="auto"/>
                <w:sz w:val="24"/>
                <w:szCs w:val="24"/>
              </w:rPr>
              <w:t>，达到批复所要求的</w:t>
            </w:r>
            <w:r>
              <w:rPr>
                <w:rFonts w:hint="default" w:ascii="Times New Roman" w:hAnsi="Times New Roman" w:eastAsia="宋体" w:cs="Times New Roman"/>
                <w:color w:val="auto"/>
                <w:kern w:val="2"/>
                <w:sz w:val="24"/>
                <w:szCs w:val="24"/>
                <w:lang w:val="en-US" w:eastAsia="zh-CN" w:bidi="ar-SA"/>
              </w:rPr>
              <w:t>《大气污染综合排放标准》</w:t>
            </w:r>
            <w:r>
              <w:rPr>
                <w:rFonts w:hint="eastAsia" w:cs="Times New Roman"/>
                <w:color w:val="auto"/>
                <w:sz w:val="24"/>
                <w:szCs w:val="24"/>
                <w:lang w:eastAsia="zh-CN"/>
              </w:rPr>
              <w:t>（</w:t>
            </w:r>
            <w:r>
              <w:rPr>
                <w:rFonts w:hint="default" w:ascii="Times New Roman" w:hAnsi="Times New Roman" w:eastAsia="宋体" w:cs="Times New Roman"/>
                <w:color w:val="auto"/>
                <w:kern w:val="2"/>
                <w:sz w:val="24"/>
                <w:szCs w:val="24"/>
                <w:lang w:val="en-US" w:eastAsia="zh-CN" w:bidi="ar-SA"/>
              </w:rPr>
              <w:t>GB16297-96</w:t>
            </w:r>
            <w:r>
              <w:rPr>
                <w:rFonts w:hint="eastAsia" w:cs="Times New Roman"/>
                <w:color w:val="auto"/>
                <w:sz w:val="24"/>
                <w:szCs w:val="24"/>
                <w:lang w:eastAsia="zh-CN"/>
              </w:rPr>
              <w:t>）</w:t>
            </w:r>
            <w:r>
              <w:rPr>
                <w:rFonts w:hint="eastAsia" w:ascii="Times New Roman" w:hAnsi="Times New Roman" w:eastAsia="宋体" w:cs="Times New Roman"/>
                <w:color w:val="auto"/>
                <w:sz w:val="24"/>
                <w:szCs w:val="24"/>
                <w:lang w:val="en-US" w:eastAsia="zh-CN"/>
              </w:rPr>
              <w:t>表2中的</w:t>
            </w:r>
            <w:r>
              <w:rPr>
                <w:rFonts w:hint="default" w:ascii="Times New Roman" w:hAnsi="Times New Roman" w:eastAsia="宋体" w:cs="Times New Roman"/>
                <w:color w:val="auto"/>
                <w:sz w:val="24"/>
                <w:szCs w:val="24"/>
              </w:rPr>
              <w:t>无组织排放</w:t>
            </w:r>
            <w:r>
              <w:rPr>
                <w:rFonts w:hint="eastAsia" w:ascii="Times New Roman" w:hAnsi="Times New Roman" w:eastAsia="宋体" w:cs="Times New Roman"/>
                <w:color w:val="auto"/>
                <w:sz w:val="24"/>
                <w:szCs w:val="24"/>
                <w:lang w:val="en-US" w:eastAsia="zh-CN"/>
              </w:rPr>
              <w:t>监控</w:t>
            </w:r>
            <w:r>
              <w:rPr>
                <w:rFonts w:hint="default" w:ascii="Times New Roman" w:hAnsi="Times New Roman" w:eastAsia="宋体" w:cs="Times New Roman"/>
                <w:color w:val="auto"/>
                <w:sz w:val="24"/>
                <w:szCs w:val="24"/>
              </w:rPr>
              <w:t>浓度限值</w:t>
            </w:r>
            <w:r>
              <w:rPr>
                <w:rFonts w:hint="eastAsia" w:ascii="Times New Roman" w:hAnsi="Times New Roman" w:eastAsiaTheme="minorEastAsia"/>
                <w:color w:val="auto"/>
                <w:sz w:val="24"/>
                <w:szCs w:val="24"/>
              </w:rPr>
              <w:t>（</w:t>
            </w:r>
            <w:r>
              <w:rPr>
                <w:rFonts w:hint="eastAsia" w:ascii="Times New Roman" w:hAnsi="Times New Roman" w:eastAsiaTheme="minorEastAsia"/>
                <w:color w:val="auto"/>
                <w:sz w:val="24"/>
                <w:szCs w:val="24"/>
                <w:lang w:val="en-US" w:eastAsia="zh-CN"/>
              </w:rPr>
              <w:t>颗粒物</w:t>
            </w:r>
            <w:r>
              <w:rPr>
                <w:rFonts w:hint="eastAsia" w:ascii="Times New Roman" w:hAnsi="Times New Roman" w:eastAsia="宋体"/>
                <w:color w:val="auto"/>
                <w:sz w:val="24"/>
                <w:szCs w:val="24"/>
                <w:lang w:bidi="zh-CN"/>
              </w:rPr>
              <w:t>≤</w:t>
            </w:r>
            <w:r>
              <w:rPr>
                <w:rFonts w:hint="eastAsia" w:ascii="Times New Roman" w:hAnsi="Times New Roman" w:eastAsia="宋体"/>
                <w:color w:val="auto"/>
                <w:sz w:val="24"/>
                <w:szCs w:val="24"/>
                <w:lang w:val="en-US" w:bidi="zh-CN"/>
              </w:rPr>
              <w:t>1.0</w:t>
            </w:r>
            <w:r>
              <w:rPr>
                <w:rFonts w:hint="eastAsia" w:ascii="Times New Roman" w:hAnsi="Times New Roman" w:eastAsia="宋体"/>
                <w:color w:val="auto"/>
                <w:sz w:val="24"/>
                <w:szCs w:val="24"/>
                <w:lang w:bidi="zh-CN"/>
              </w:rPr>
              <w:t>mg/m</w:t>
            </w:r>
            <w:r>
              <w:rPr>
                <w:rFonts w:hint="eastAsia" w:ascii="Times New Roman" w:hAnsi="Times New Roman" w:eastAsia="宋体"/>
                <w:color w:val="auto"/>
                <w:sz w:val="24"/>
                <w:szCs w:val="24"/>
                <w:vertAlign w:val="superscript"/>
                <w:lang w:bidi="zh-CN"/>
              </w:rPr>
              <w:t>3</w:t>
            </w:r>
            <w:r>
              <w:rPr>
                <w:rFonts w:hint="eastAsia" w:ascii="Times New Roman" w:hAnsi="Times New Roman" w:eastAsiaTheme="minorEastAsia"/>
                <w:color w:val="auto"/>
                <w:sz w:val="24"/>
                <w:szCs w:val="24"/>
              </w:rPr>
              <w:t>）</w:t>
            </w:r>
            <w:r>
              <w:rPr>
                <w:rFonts w:hint="eastAsia" w:ascii="Times New Roman" w:hAnsi="Times New Roman" w:eastAsia="宋体"/>
                <w:color w:val="auto"/>
                <w:sz w:val="24"/>
                <w:szCs w:val="24"/>
              </w:rPr>
              <w:t>。</w:t>
            </w:r>
            <w:r>
              <w:rPr>
                <w:rFonts w:hint="eastAsia" w:ascii="Times New Roman" w:hAnsi="Times New Roman" w:eastAsia="宋体" w:cs="Times New Roman"/>
                <w:color w:val="auto"/>
                <w:kern w:val="0"/>
                <w:sz w:val="24"/>
                <w:szCs w:val="24"/>
                <w:lang w:val="en-US" w:eastAsia="zh-CN" w:bidi="ar-SA"/>
              </w:rPr>
              <w:t>非甲烷总烃</w:t>
            </w:r>
            <w:r>
              <w:rPr>
                <w:rFonts w:hint="eastAsia" w:ascii="Times New Roman" w:hAnsi="Times New Roman" w:eastAsiaTheme="minorEastAsia"/>
                <w:color w:val="auto"/>
                <w:sz w:val="24"/>
                <w:szCs w:val="24"/>
              </w:rPr>
              <w:t>最大排放浓度为</w:t>
            </w:r>
            <w:r>
              <w:rPr>
                <w:rFonts w:hint="eastAsia" w:ascii="Times New Roman" w:hAnsi="Times New Roman" w:eastAsiaTheme="minorEastAsia"/>
                <w:color w:val="auto"/>
                <w:sz w:val="24"/>
                <w:szCs w:val="24"/>
                <w:lang w:val="en-US" w:eastAsia="zh-CN"/>
              </w:rPr>
              <w:t>1.76</w:t>
            </w:r>
            <w:r>
              <w:rPr>
                <w:rFonts w:hint="eastAsia" w:ascii="Times New Roman" w:hAnsi="Times New Roman" w:eastAsia="宋体" w:cs="Times New Roman"/>
                <w:color w:val="auto"/>
                <w:kern w:val="0"/>
                <w:sz w:val="24"/>
                <w:szCs w:val="24"/>
                <w:lang w:val="en-US" w:eastAsia="zh-CN" w:bidi="ar-SA"/>
              </w:rPr>
              <w:t>mg/m</w:t>
            </w:r>
            <w:r>
              <w:rPr>
                <w:rFonts w:hint="eastAsia" w:ascii="Times New Roman" w:hAnsi="Times New Roman" w:eastAsia="宋体" w:cs="Times New Roman"/>
                <w:color w:val="auto"/>
                <w:kern w:val="0"/>
                <w:sz w:val="24"/>
                <w:szCs w:val="24"/>
                <w:vertAlign w:val="superscript"/>
                <w:lang w:val="en-US" w:eastAsia="zh-CN" w:bidi="ar-SA"/>
              </w:rPr>
              <w:t>3</w:t>
            </w:r>
            <w:r>
              <w:rPr>
                <w:rFonts w:hint="eastAsia" w:ascii="Times New Roman" w:hAnsi="Times New Roman" w:eastAsiaTheme="minorEastAsia"/>
                <w:color w:val="auto"/>
                <w:sz w:val="24"/>
                <w:szCs w:val="24"/>
              </w:rPr>
              <w:t>，达到《工业涂装工序挥发性有机物排放标准》（DB35/1783-2018）表4标准限值</w:t>
            </w:r>
            <w:r>
              <w:rPr>
                <w:rFonts w:hint="eastAsia" w:ascii="Times New Roman" w:hAnsi="Times New Roman" w:eastAsia="宋体"/>
                <w:color w:val="auto"/>
                <w:sz w:val="24"/>
                <w:szCs w:val="24"/>
                <w:lang w:val="zh-CN"/>
              </w:rPr>
              <w:t>（非甲烷总烃≤2.0mg/m</w:t>
            </w:r>
            <w:r>
              <w:rPr>
                <w:rFonts w:hint="eastAsia" w:ascii="Times New Roman" w:hAnsi="Times New Roman" w:eastAsia="宋体"/>
                <w:color w:val="auto"/>
                <w:sz w:val="24"/>
                <w:szCs w:val="24"/>
                <w:vertAlign w:val="superscript"/>
                <w:lang w:val="zh-CN"/>
              </w:rPr>
              <w:t>3</w:t>
            </w:r>
            <w:r>
              <w:rPr>
                <w:rFonts w:hint="eastAsia" w:ascii="Times New Roman" w:hAnsi="Times New Roman" w:eastAsia="宋体"/>
                <w:color w:val="auto"/>
                <w:sz w:val="24"/>
                <w:szCs w:val="24"/>
                <w:lang w:val="zh-CN"/>
              </w:rPr>
              <w:t>）</w:t>
            </w:r>
            <w:r>
              <w:rPr>
                <w:rFonts w:hint="eastAsia"/>
                <w:lang w:val="en-US" w:eastAsia="zh-CN"/>
              </w:rPr>
              <w:t>。</w:t>
            </w:r>
            <w:r>
              <w:rPr>
                <w:rFonts w:hint="eastAsia" w:ascii="Times New Roman" w:hAnsi="Times New Roman" w:eastAsia="宋体"/>
                <w:color w:val="auto"/>
                <w:sz w:val="24"/>
                <w:szCs w:val="24"/>
              </w:rPr>
              <w:t>厂内非甲烷总烃监控点处1 h平均浓度值浓度最大排放浓度为</w:t>
            </w:r>
            <w:r>
              <w:rPr>
                <w:rFonts w:hint="eastAsia" w:ascii="Times New Roman" w:hAnsi="Times New Roman" w:eastAsia="宋体"/>
                <w:color w:val="auto"/>
                <w:sz w:val="24"/>
                <w:szCs w:val="24"/>
                <w:lang w:val="en-US" w:eastAsia="zh-CN"/>
              </w:rPr>
              <w:t>3.77</w:t>
            </w:r>
            <w:r>
              <w:rPr>
                <w:rFonts w:hint="eastAsia" w:ascii="Times New Roman" w:hAnsi="Times New Roman" w:eastAsia="宋体"/>
                <w:color w:val="auto"/>
                <w:sz w:val="24"/>
                <w:szCs w:val="24"/>
              </w:rPr>
              <w:t>mg/m</w:t>
            </w:r>
            <w:r>
              <w:rPr>
                <w:rFonts w:hint="eastAsia" w:ascii="Times New Roman" w:hAnsi="Times New Roman" w:eastAsia="宋体"/>
                <w:color w:val="auto"/>
                <w:sz w:val="24"/>
                <w:szCs w:val="24"/>
                <w:vertAlign w:val="superscript"/>
              </w:rPr>
              <w:t>3</w:t>
            </w:r>
            <w:r>
              <w:rPr>
                <w:rFonts w:hint="eastAsia" w:ascii="Times New Roman" w:hAnsi="Times New Roman" w:eastAsia="宋体"/>
                <w:color w:val="auto"/>
                <w:sz w:val="24"/>
                <w:szCs w:val="24"/>
              </w:rPr>
              <w:t>，符合</w:t>
            </w:r>
            <w:r>
              <w:rPr>
                <w:rFonts w:hint="eastAsia" w:ascii="Times New Roman" w:hAnsi="Times New Roman" w:eastAsia="宋体" w:cs="Times New Roman"/>
                <w:color w:val="auto"/>
                <w:sz w:val="24"/>
                <w:szCs w:val="24"/>
                <w:lang w:val="en-US" w:eastAsia="zh-CN"/>
              </w:rPr>
              <w:t>《挥发性有机物无组织排放控制标准》（GB37822-2019）附录A中表A.1特别排放限值</w:t>
            </w:r>
            <w:r>
              <w:rPr>
                <w:rFonts w:hint="eastAsia" w:ascii="Times New Roman" w:hAnsi="Times New Roman" w:eastAsia="宋体"/>
                <w:color w:val="auto"/>
                <w:sz w:val="24"/>
                <w:szCs w:val="24"/>
              </w:rPr>
              <w:t>（非甲烷总烃监控点处1 h平均浓度值≤</w:t>
            </w:r>
            <w:r>
              <w:rPr>
                <w:rFonts w:hint="eastAsia" w:ascii="Times New Roman" w:hAnsi="Times New Roman" w:eastAsia="宋体"/>
                <w:color w:val="auto"/>
                <w:sz w:val="24"/>
                <w:szCs w:val="24"/>
                <w:lang w:val="en-US" w:eastAsia="zh-CN"/>
              </w:rPr>
              <w:t>6</w:t>
            </w:r>
            <w:r>
              <w:rPr>
                <w:rFonts w:hint="eastAsia" w:ascii="Times New Roman" w:hAnsi="Times New Roman" w:eastAsia="宋体"/>
                <w:color w:val="auto"/>
                <w:sz w:val="24"/>
                <w:szCs w:val="24"/>
              </w:rPr>
              <w:t>mg/m</w:t>
            </w:r>
            <w:r>
              <w:rPr>
                <w:rFonts w:hint="eastAsia" w:ascii="Times New Roman" w:hAnsi="Times New Roman" w:eastAsia="宋体"/>
                <w:color w:val="auto"/>
                <w:sz w:val="24"/>
                <w:szCs w:val="24"/>
                <w:vertAlign w:val="superscript"/>
              </w:rPr>
              <w:t>3</w:t>
            </w:r>
            <w:r>
              <w:rPr>
                <w:rFonts w:hint="eastAsia" w:ascii="Times New Roman" w:hAnsi="Times New Roman" w:eastAsia="宋体"/>
                <w:color w:val="auto"/>
                <w:sz w:val="24"/>
                <w:szCs w:val="24"/>
              </w:rPr>
              <w:t>）</w:t>
            </w:r>
            <w:r>
              <w:rPr>
                <w:rFonts w:hint="eastAsia"/>
                <w:color w:val="auto"/>
                <w:sz w:val="24"/>
                <w:szCs w:val="24"/>
                <w:lang w:eastAsia="zh-CN"/>
              </w:rPr>
              <w:t>。</w:t>
            </w:r>
          </w:p>
          <w:p w14:paraId="3C560A62">
            <w:pPr>
              <w:keepNext w:val="0"/>
              <w:keepLines w:val="0"/>
              <w:suppressLineNumbers w:val="0"/>
              <w:bidi w:val="0"/>
              <w:spacing w:before="0" w:beforeAutospacing="0" w:after="0" w:afterAutospacing="0"/>
              <w:ind w:left="0" w:right="0"/>
              <w:rPr>
                <w:rFonts w:hint="default"/>
                <w:lang w:val="en-US" w:eastAsia="zh-CN"/>
              </w:rPr>
            </w:pPr>
            <w:r>
              <w:rPr>
                <w:rFonts w:hint="default"/>
                <w:b w:val="0"/>
                <w:color w:val="000000"/>
                <w:szCs w:val="22"/>
              </w:rPr>
              <w:t>喷漆、烘干、加烤工序</w:t>
            </w:r>
            <w:r>
              <w:rPr>
                <w:rFonts w:hint="eastAsia"/>
                <w:lang w:val="en-US" w:eastAsia="zh-CN"/>
              </w:rPr>
              <w:t>年工作300天，每天12h，根据废气检测结果，监测工况及生产工作时间，项目</w:t>
            </w:r>
            <w:r>
              <w:rPr>
                <w:rFonts w:hint="default"/>
                <w:lang w:val="en-US" w:eastAsia="zh-CN"/>
              </w:rPr>
              <w:t>印刷、印后整理工段有组织废气</w:t>
            </w:r>
            <w:r>
              <w:rPr>
                <w:rFonts w:hint="eastAsia"/>
                <w:lang w:val="en-US" w:eastAsia="zh-CN"/>
              </w:rPr>
              <w:t>排放情况如下表2.3-8</w:t>
            </w:r>
          </w:p>
          <w:p w14:paraId="219229E5">
            <w:pPr>
              <w:pStyle w:val="39"/>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表2.3-6喷漆、烘干、加烤工序</w:t>
            </w:r>
            <w:r>
              <w:rPr>
                <w:rFonts w:hint="default"/>
                <w:lang w:val="en-US" w:eastAsia="zh-CN"/>
              </w:rPr>
              <w:t>有组织废气</w:t>
            </w:r>
            <w:r>
              <w:rPr>
                <w:rFonts w:hint="eastAsia"/>
                <w:lang w:val="en-US" w:eastAsia="zh-CN"/>
              </w:rPr>
              <w:t>排放情况（DA001）</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266"/>
              <w:gridCol w:w="1789"/>
              <w:gridCol w:w="1537"/>
              <w:gridCol w:w="1747"/>
              <w:gridCol w:w="1579"/>
            </w:tblGrid>
            <w:tr w14:paraId="54B07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266" w:type="dxa"/>
                  <w:vMerge w:val="restart"/>
                  <w:tcBorders>
                    <w:top w:val="single" w:color="000000" w:sz="12" w:space="0"/>
                    <w:left w:val="nil"/>
                    <w:right w:val="single" w:color="auto" w:sz="4" w:space="0"/>
                    <w:tl2br w:val="nil"/>
                  </w:tcBorders>
                  <w:shd w:val="clear" w:color="auto" w:fill="auto"/>
                  <w:vAlign w:val="center"/>
                </w:tcPr>
                <w:p w14:paraId="12D365A7">
                  <w:pPr>
                    <w:pStyle w:val="38"/>
                    <w:keepNext w:val="0"/>
                    <w:keepLines w:val="0"/>
                    <w:widowControl/>
                    <w:suppressLineNumbers w:val="0"/>
                    <w:bidi w:val="0"/>
                    <w:spacing w:before="0" w:beforeAutospacing="0" w:after="0" w:afterAutospacing="0"/>
                    <w:ind w:left="0" w:right="0"/>
                    <w:jc w:val="center"/>
                    <w:rPr>
                      <w:rFonts w:hint="default"/>
                      <w:szCs w:val="22"/>
                      <w:lang w:val="en-US" w:eastAsia="zh-CN"/>
                    </w:rPr>
                  </w:pPr>
                  <w:r>
                    <w:rPr>
                      <w:rFonts w:hint="eastAsia"/>
                      <w:szCs w:val="22"/>
                      <w:lang w:val="en-US" w:eastAsia="zh-CN"/>
                    </w:rPr>
                    <w:t>污染物名称</w:t>
                  </w:r>
                </w:p>
              </w:tc>
              <w:tc>
                <w:tcPr>
                  <w:tcW w:w="3326" w:type="dxa"/>
                  <w:gridSpan w:val="2"/>
                  <w:tcBorders>
                    <w:top w:val="single" w:color="000000" w:sz="12" w:space="0"/>
                    <w:left w:val="single" w:color="auto" w:sz="4" w:space="0"/>
                    <w:right w:val="single" w:color="auto" w:sz="4" w:space="0"/>
                  </w:tcBorders>
                  <w:shd w:val="clear" w:color="auto" w:fill="auto"/>
                  <w:vAlign w:val="center"/>
                </w:tcPr>
                <w:p w14:paraId="4BF66A55">
                  <w:pPr>
                    <w:pStyle w:val="38"/>
                    <w:keepNext w:val="0"/>
                    <w:keepLines w:val="0"/>
                    <w:widowControl/>
                    <w:suppressLineNumbers w:val="0"/>
                    <w:bidi w:val="0"/>
                    <w:spacing w:before="0" w:beforeAutospacing="0" w:after="0" w:afterAutospacing="0"/>
                    <w:ind w:left="0" w:right="0"/>
                    <w:jc w:val="center"/>
                    <w:rPr>
                      <w:rFonts w:hint="default"/>
                      <w:szCs w:val="22"/>
                      <w:lang w:val="en-US" w:eastAsia="zh-CN"/>
                    </w:rPr>
                  </w:pPr>
                  <w:r>
                    <w:rPr>
                      <w:rFonts w:hint="default"/>
                      <w:szCs w:val="22"/>
                      <w:lang w:val="en-US" w:eastAsia="zh-CN"/>
                    </w:rPr>
                    <w:t>83.25%</w:t>
                  </w:r>
                  <w:r>
                    <w:rPr>
                      <w:rFonts w:hint="eastAsia"/>
                      <w:szCs w:val="22"/>
                      <w:lang w:val="en-US" w:eastAsia="zh-CN"/>
                    </w:rPr>
                    <w:t>工况</w:t>
                  </w:r>
                </w:p>
              </w:tc>
              <w:tc>
                <w:tcPr>
                  <w:tcW w:w="3326" w:type="dxa"/>
                  <w:gridSpan w:val="2"/>
                  <w:tcBorders>
                    <w:top w:val="single" w:color="000000" w:sz="12" w:space="0"/>
                    <w:left w:val="single" w:color="auto" w:sz="4" w:space="0"/>
                    <w:right w:val="nil"/>
                  </w:tcBorders>
                  <w:shd w:val="clear" w:color="auto" w:fill="auto"/>
                  <w:vAlign w:val="center"/>
                </w:tcPr>
                <w:p w14:paraId="36AC3EB9">
                  <w:pPr>
                    <w:pStyle w:val="38"/>
                    <w:keepNext w:val="0"/>
                    <w:keepLines w:val="0"/>
                    <w:widowControl/>
                    <w:suppressLineNumbers w:val="0"/>
                    <w:bidi w:val="0"/>
                    <w:spacing w:before="0" w:beforeAutospacing="0" w:after="0" w:afterAutospacing="0"/>
                    <w:ind w:left="0" w:right="0"/>
                    <w:jc w:val="center"/>
                    <w:rPr>
                      <w:rFonts w:hint="default"/>
                      <w:szCs w:val="22"/>
                      <w:lang w:val="en-US" w:eastAsia="zh-CN"/>
                    </w:rPr>
                  </w:pPr>
                  <w:r>
                    <w:rPr>
                      <w:rFonts w:hint="default"/>
                      <w:szCs w:val="22"/>
                      <w:lang w:val="en-US" w:eastAsia="zh-CN"/>
                    </w:rPr>
                    <w:t>100%</w:t>
                  </w:r>
                  <w:r>
                    <w:rPr>
                      <w:rFonts w:hint="eastAsia"/>
                      <w:szCs w:val="22"/>
                      <w:lang w:val="en-US" w:eastAsia="zh-CN"/>
                    </w:rPr>
                    <w:t>工况</w:t>
                  </w:r>
                </w:p>
              </w:tc>
            </w:tr>
            <w:tr w14:paraId="28938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266" w:type="dxa"/>
                  <w:vMerge w:val="continue"/>
                  <w:tcBorders>
                    <w:left w:val="nil"/>
                    <w:right w:val="single" w:color="auto" w:sz="4" w:space="0"/>
                  </w:tcBorders>
                  <w:shd w:val="clear" w:color="auto" w:fill="auto"/>
                  <w:vAlign w:val="center"/>
                </w:tcPr>
                <w:p w14:paraId="0378408E">
                  <w:pPr>
                    <w:pStyle w:val="38"/>
                    <w:keepNext w:val="0"/>
                    <w:keepLines w:val="0"/>
                    <w:widowControl/>
                    <w:suppressLineNumbers w:val="0"/>
                    <w:bidi w:val="0"/>
                    <w:spacing w:before="0" w:beforeAutospacing="0" w:after="0" w:afterAutospacing="0"/>
                    <w:ind w:left="0" w:right="0"/>
                    <w:jc w:val="center"/>
                    <w:rPr>
                      <w:rFonts w:hint="default"/>
                      <w:szCs w:val="22"/>
                      <w:lang w:val="en-US" w:eastAsia="zh-CN"/>
                    </w:rPr>
                  </w:pPr>
                </w:p>
              </w:tc>
              <w:tc>
                <w:tcPr>
                  <w:tcW w:w="1789" w:type="dxa"/>
                  <w:tcBorders>
                    <w:left w:val="single" w:color="auto" w:sz="4" w:space="0"/>
                    <w:right w:val="single" w:color="auto" w:sz="4" w:space="0"/>
                  </w:tcBorders>
                  <w:shd w:val="clear" w:color="auto" w:fill="auto"/>
                  <w:vAlign w:val="center"/>
                </w:tcPr>
                <w:p w14:paraId="68707A4F">
                  <w:pPr>
                    <w:pStyle w:val="38"/>
                    <w:keepNext w:val="0"/>
                    <w:keepLines w:val="0"/>
                    <w:widowControl/>
                    <w:suppressLineNumbers w:val="0"/>
                    <w:bidi w:val="0"/>
                    <w:spacing w:before="0" w:beforeAutospacing="0" w:after="0" w:afterAutospacing="0"/>
                    <w:ind w:left="0" w:right="0"/>
                    <w:jc w:val="center"/>
                    <w:rPr>
                      <w:rFonts w:hint="default"/>
                      <w:szCs w:val="22"/>
                      <w:lang w:val="en-US" w:eastAsia="zh-CN"/>
                    </w:rPr>
                  </w:pPr>
                  <w:r>
                    <w:rPr>
                      <w:rFonts w:hint="eastAsia"/>
                      <w:szCs w:val="22"/>
                      <w:lang w:val="en-US" w:eastAsia="zh-CN"/>
                    </w:rPr>
                    <w:t>排放速率（</w:t>
                  </w:r>
                  <w:r>
                    <w:rPr>
                      <w:rFonts w:hint="default"/>
                      <w:szCs w:val="22"/>
                      <w:lang w:val="en-US" w:eastAsia="zh-CN"/>
                    </w:rPr>
                    <w:t>kg/h</w:t>
                  </w:r>
                  <w:r>
                    <w:rPr>
                      <w:rFonts w:hint="eastAsia"/>
                      <w:szCs w:val="22"/>
                      <w:lang w:val="en-US" w:eastAsia="zh-CN"/>
                    </w:rPr>
                    <w:t>）</w:t>
                  </w:r>
                </w:p>
              </w:tc>
              <w:tc>
                <w:tcPr>
                  <w:tcW w:w="1537" w:type="dxa"/>
                  <w:tcBorders>
                    <w:left w:val="single" w:color="auto" w:sz="4" w:space="0"/>
                    <w:right w:val="single" w:color="auto" w:sz="4" w:space="0"/>
                  </w:tcBorders>
                  <w:shd w:val="clear" w:color="auto" w:fill="auto"/>
                  <w:vAlign w:val="center"/>
                </w:tcPr>
                <w:p w14:paraId="3292A546">
                  <w:pPr>
                    <w:pStyle w:val="38"/>
                    <w:keepNext w:val="0"/>
                    <w:keepLines w:val="0"/>
                    <w:widowControl/>
                    <w:suppressLineNumbers w:val="0"/>
                    <w:bidi w:val="0"/>
                    <w:spacing w:before="0" w:beforeAutospacing="0" w:after="0" w:afterAutospacing="0"/>
                    <w:ind w:left="0" w:right="0"/>
                    <w:jc w:val="center"/>
                    <w:rPr>
                      <w:rFonts w:hint="default"/>
                      <w:szCs w:val="22"/>
                      <w:lang w:val="en-US" w:eastAsia="zh-CN"/>
                    </w:rPr>
                  </w:pPr>
                  <w:r>
                    <w:rPr>
                      <w:rFonts w:hint="eastAsia"/>
                      <w:szCs w:val="22"/>
                      <w:lang w:val="en-US" w:eastAsia="zh-CN"/>
                    </w:rPr>
                    <w:t>排放量（</w:t>
                  </w:r>
                  <w:r>
                    <w:rPr>
                      <w:rFonts w:hint="default"/>
                      <w:szCs w:val="22"/>
                      <w:lang w:val="en-US" w:eastAsia="zh-CN"/>
                    </w:rPr>
                    <w:t>t/a</w:t>
                  </w:r>
                  <w:r>
                    <w:rPr>
                      <w:rFonts w:hint="eastAsia"/>
                      <w:szCs w:val="22"/>
                      <w:lang w:val="en-US" w:eastAsia="zh-CN"/>
                    </w:rPr>
                    <w:t>）</w:t>
                  </w:r>
                </w:p>
              </w:tc>
              <w:tc>
                <w:tcPr>
                  <w:tcW w:w="1747" w:type="dxa"/>
                  <w:tcBorders>
                    <w:left w:val="single" w:color="auto" w:sz="4" w:space="0"/>
                    <w:right w:val="single" w:color="auto" w:sz="4" w:space="0"/>
                  </w:tcBorders>
                  <w:shd w:val="clear" w:color="auto" w:fill="auto"/>
                  <w:vAlign w:val="center"/>
                </w:tcPr>
                <w:p w14:paraId="6A2B1514">
                  <w:pPr>
                    <w:pStyle w:val="38"/>
                    <w:keepNext w:val="0"/>
                    <w:keepLines w:val="0"/>
                    <w:widowControl/>
                    <w:suppressLineNumbers w:val="0"/>
                    <w:bidi w:val="0"/>
                    <w:spacing w:before="0" w:beforeAutospacing="0" w:after="0" w:afterAutospacing="0"/>
                    <w:ind w:left="0" w:right="0"/>
                    <w:jc w:val="center"/>
                    <w:rPr>
                      <w:rFonts w:hint="default"/>
                      <w:szCs w:val="22"/>
                      <w:lang w:val="en-US" w:eastAsia="zh-CN"/>
                    </w:rPr>
                  </w:pPr>
                  <w:r>
                    <w:rPr>
                      <w:rFonts w:hint="eastAsia"/>
                      <w:szCs w:val="22"/>
                      <w:lang w:val="en-US" w:eastAsia="zh-CN"/>
                    </w:rPr>
                    <w:t>排放速率（</w:t>
                  </w:r>
                  <w:r>
                    <w:rPr>
                      <w:rFonts w:hint="default"/>
                      <w:szCs w:val="22"/>
                      <w:lang w:val="en-US" w:eastAsia="zh-CN"/>
                    </w:rPr>
                    <w:t>kg/h</w:t>
                  </w:r>
                  <w:r>
                    <w:rPr>
                      <w:rFonts w:hint="eastAsia"/>
                      <w:szCs w:val="22"/>
                      <w:lang w:val="en-US" w:eastAsia="zh-CN"/>
                    </w:rPr>
                    <w:t>）</w:t>
                  </w:r>
                </w:p>
              </w:tc>
              <w:tc>
                <w:tcPr>
                  <w:tcW w:w="1579" w:type="dxa"/>
                  <w:tcBorders>
                    <w:left w:val="single" w:color="auto" w:sz="4" w:space="0"/>
                    <w:right w:val="nil"/>
                  </w:tcBorders>
                  <w:shd w:val="clear" w:color="auto" w:fill="auto"/>
                  <w:vAlign w:val="center"/>
                </w:tcPr>
                <w:p w14:paraId="137E9D45">
                  <w:pPr>
                    <w:pStyle w:val="38"/>
                    <w:keepNext w:val="0"/>
                    <w:keepLines w:val="0"/>
                    <w:widowControl/>
                    <w:suppressLineNumbers w:val="0"/>
                    <w:bidi w:val="0"/>
                    <w:spacing w:before="0" w:beforeAutospacing="0" w:after="0" w:afterAutospacing="0"/>
                    <w:ind w:left="0" w:right="0"/>
                    <w:jc w:val="center"/>
                    <w:rPr>
                      <w:rFonts w:hint="eastAsia"/>
                      <w:szCs w:val="22"/>
                    </w:rPr>
                  </w:pPr>
                  <w:r>
                    <w:rPr>
                      <w:rFonts w:hint="eastAsia"/>
                      <w:szCs w:val="22"/>
                      <w:lang w:val="en-US" w:eastAsia="zh-CN"/>
                    </w:rPr>
                    <w:t>排放量（</w:t>
                  </w:r>
                  <w:r>
                    <w:rPr>
                      <w:rFonts w:hint="default"/>
                      <w:szCs w:val="22"/>
                      <w:lang w:val="en-US" w:eastAsia="zh-CN"/>
                    </w:rPr>
                    <w:t>t/a</w:t>
                  </w:r>
                  <w:r>
                    <w:rPr>
                      <w:rFonts w:hint="eastAsia"/>
                      <w:szCs w:val="22"/>
                      <w:lang w:val="en-US" w:eastAsia="zh-CN"/>
                    </w:rPr>
                    <w:t>）</w:t>
                  </w:r>
                </w:p>
              </w:tc>
            </w:tr>
            <w:tr w14:paraId="362A2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266" w:type="dxa"/>
                  <w:tcBorders>
                    <w:left w:val="nil"/>
                    <w:right w:val="single" w:color="auto" w:sz="4" w:space="0"/>
                  </w:tcBorders>
                  <w:shd w:val="clear" w:color="auto" w:fill="auto"/>
                  <w:vAlign w:val="center"/>
                </w:tcPr>
                <w:p w14:paraId="05BF3123">
                  <w:pPr>
                    <w:pStyle w:val="38"/>
                    <w:keepNext w:val="0"/>
                    <w:keepLines w:val="0"/>
                    <w:widowControl/>
                    <w:suppressLineNumbers w:val="0"/>
                    <w:bidi w:val="0"/>
                    <w:spacing w:before="0" w:beforeAutospacing="0" w:after="0" w:afterAutospacing="0"/>
                    <w:ind w:left="0" w:right="0"/>
                    <w:jc w:val="center"/>
                    <w:rPr>
                      <w:rFonts w:hint="default"/>
                      <w:szCs w:val="22"/>
                      <w:lang w:val="en-US" w:eastAsia="zh-CN"/>
                    </w:rPr>
                  </w:pPr>
                  <w:r>
                    <w:rPr>
                      <w:rFonts w:hint="eastAsia"/>
                      <w:szCs w:val="22"/>
                      <w:lang w:val="en-US" w:eastAsia="zh-CN"/>
                    </w:rPr>
                    <w:t>非甲烷总烃</w:t>
                  </w:r>
                </w:p>
              </w:tc>
              <w:tc>
                <w:tcPr>
                  <w:tcW w:w="1789" w:type="dxa"/>
                  <w:tcBorders>
                    <w:left w:val="single" w:color="auto" w:sz="4" w:space="0"/>
                    <w:right w:val="single" w:color="auto" w:sz="4" w:space="0"/>
                  </w:tcBorders>
                  <w:shd w:val="clear" w:color="auto" w:fill="auto"/>
                  <w:vAlign w:val="center"/>
                </w:tcPr>
                <w:p w14:paraId="3EB36B95">
                  <w:pPr>
                    <w:pStyle w:val="38"/>
                    <w:keepNext w:val="0"/>
                    <w:keepLines w:val="0"/>
                    <w:widowControl/>
                    <w:suppressLineNumbers w:val="0"/>
                    <w:bidi w:val="0"/>
                    <w:spacing w:before="0" w:beforeAutospacing="0" w:after="0" w:afterAutospacing="0"/>
                    <w:ind w:left="0" w:right="0"/>
                    <w:jc w:val="center"/>
                    <w:rPr>
                      <w:rFonts w:hint="default"/>
                      <w:szCs w:val="22"/>
                      <w:lang w:val="en-US" w:eastAsia="zh-CN"/>
                    </w:rPr>
                  </w:pPr>
                  <w:r>
                    <w:rPr>
                      <w:rFonts w:hint="default"/>
                      <w:szCs w:val="22"/>
                      <w:lang w:val="en-US" w:eastAsia="zh-CN"/>
                    </w:rPr>
                    <w:t>0.023</w:t>
                  </w:r>
                </w:p>
              </w:tc>
              <w:tc>
                <w:tcPr>
                  <w:tcW w:w="1537" w:type="dxa"/>
                  <w:tcBorders>
                    <w:left w:val="single" w:color="auto" w:sz="4" w:space="0"/>
                    <w:right w:val="single" w:color="auto" w:sz="4" w:space="0"/>
                  </w:tcBorders>
                  <w:shd w:val="clear" w:color="auto" w:fill="auto"/>
                  <w:vAlign w:val="center"/>
                </w:tcPr>
                <w:p w14:paraId="5E22F995">
                  <w:pPr>
                    <w:pStyle w:val="38"/>
                    <w:keepNext w:val="0"/>
                    <w:keepLines w:val="0"/>
                    <w:widowControl/>
                    <w:suppressLineNumbers w:val="0"/>
                    <w:bidi w:val="0"/>
                    <w:spacing w:before="0" w:beforeAutospacing="0" w:after="0" w:afterAutospacing="0"/>
                    <w:ind w:left="0" w:right="0"/>
                    <w:jc w:val="center"/>
                    <w:rPr>
                      <w:rFonts w:hint="default"/>
                      <w:szCs w:val="22"/>
                      <w:lang w:val="en-US" w:eastAsia="zh-CN"/>
                    </w:rPr>
                  </w:pPr>
                  <w:r>
                    <w:rPr>
                      <w:rFonts w:hint="default"/>
                      <w:szCs w:val="22"/>
                      <w:lang w:val="en-US" w:eastAsia="zh-CN"/>
                    </w:rPr>
                    <w:t>0.0827</w:t>
                  </w:r>
                </w:p>
              </w:tc>
              <w:tc>
                <w:tcPr>
                  <w:tcW w:w="1747" w:type="dxa"/>
                  <w:tcBorders>
                    <w:left w:val="single" w:color="auto" w:sz="4" w:space="0"/>
                    <w:right w:val="single" w:color="auto" w:sz="4" w:space="0"/>
                  </w:tcBorders>
                  <w:shd w:val="clear" w:color="auto" w:fill="auto"/>
                  <w:vAlign w:val="center"/>
                </w:tcPr>
                <w:p w14:paraId="372A0E49">
                  <w:pPr>
                    <w:pStyle w:val="38"/>
                    <w:keepNext w:val="0"/>
                    <w:keepLines w:val="0"/>
                    <w:widowControl/>
                    <w:suppressLineNumbers w:val="0"/>
                    <w:bidi w:val="0"/>
                    <w:spacing w:before="0" w:beforeAutospacing="0" w:after="0" w:afterAutospacing="0"/>
                    <w:ind w:left="0" w:right="0"/>
                    <w:jc w:val="center"/>
                    <w:rPr>
                      <w:rFonts w:hint="default"/>
                      <w:szCs w:val="22"/>
                      <w:lang w:val="en-US" w:eastAsia="zh-CN"/>
                    </w:rPr>
                  </w:pPr>
                  <w:r>
                    <w:rPr>
                      <w:rFonts w:hint="default"/>
                      <w:szCs w:val="22"/>
                      <w:lang w:val="en-US" w:eastAsia="zh-CN"/>
                    </w:rPr>
                    <w:t>0.0276</w:t>
                  </w:r>
                </w:p>
              </w:tc>
              <w:tc>
                <w:tcPr>
                  <w:tcW w:w="1579" w:type="dxa"/>
                  <w:tcBorders>
                    <w:left w:val="single" w:color="auto" w:sz="4" w:space="0"/>
                    <w:right w:val="nil"/>
                  </w:tcBorders>
                  <w:shd w:val="clear" w:color="auto" w:fill="auto"/>
                  <w:vAlign w:val="center"/>
                </w:tcPr>
                <w:p w14:paraId="23AD3C29">
                  <w:pPr>
                    <w:pStyle w:val="38"/>
                    <w:keepNext w:val="0"/>
                    <w:keepLines w:val="0"/>
                    <w:widowControl/>
                    <w:suppressLineNumbers w:val="0"/>
                    <w:bidi w:val="0"/>
                    <w:spacing w:before="0" w:beforeAutospacing="0" w:after="0" w:afterAutospacing="0"/>
                    <w:ind w:left="0" w:right="0"/>
                    <w:jc w:val="center"/>
                    <w:rPr>
                      <w:rFonts w:hint="default"/>
                      <w:szCs w:val="22"/>
                      <w:lang w:val="en-US" w:eastAsia="zh-CN"/>
                    </w:rPr>
                  </w:pPr>
                  <w:r>
                    <w:rPr>
                      <w:rFonts w:hint="default"/>
                      <w:szCs w:val="22"/>
                      <w:lang w:val="en-US" w:eastAsia="zh-CN"/>
                    </w:rPr>
                    <w:t>0.0993</w:t>
                  </w:r>
                </w:p>
              </w:tc>
            </w:tr>
            <w:tr w14:paraId="15910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266" w:type="dxa"/>
                  <w:tcBorders>
                    <w:left w:val="nil"/>
                    <w:right w:val="single" w:color="auto" w:sz="4" w:space="0"/>
                  </w:tcBorders>
                  <w:shd w:val="clear" w:color="auto" w:fill="auto"/>
                  <w:vAlign w:val="center"/>
                </w:tcPr>
                <w:p w14:paraId="5E993265">
                  <w:pPr>
                    <w:pStyle w:val="38"/>
                    <w:keepNext w:val="0"/>
                    <w:keepLines w:val="0"/>
                    <w:widowControl/>
                    <w:suppressLineNumbers w:val="0"/>
                    <w:bidi w:val="0"/>
                    <w:spacing w:before="0" w:beforeAutospacing="0" w:after="0" w:afterAutospacing="0"/>
                    <w:ind w:left="0" w:right="0"/>
                    <w:jc w:val="center"/>
                    <w:rPr>
                      <w:rFonts w:hint="default"/>
                      <w:szCs w:val="22"/>
                      <w:lang w:val="en-US" w:eastAsia="zh-CN"/>
                    </w:rPr>
                  </w:pPr>
                  <w:r>
                    <w:rPr>
                      <w:rFonts w:hint="eastAsia"/>
                      <w:szCs w:val="22"/>
                      <w:lang w:val="en-US" w:eastAsia="zh-CN"/>
                    </w:rPr>
                    <w:t>颗粒物</w:t>
                  </w:r>
                </w:p>
              </w:tc>
              <w:tc>
                <w:tcPr>
                  <w:tcW w:w="1789" w:type="dxa"/>
                  <w:tcBorders>
                    <w:left w:val="single" w:color="auto" w:sz="4" w:space="0"/>
                    <w:right w:val="single" w:color="auto" w:sz="4" w:space="0"/>
                  </w:tcBorders>
                  <w:shd w:val="clear" w:color="auto" w:fill="auto"/>
                  <w:vAlign w:val="center"/>
                </w:tcPr>
                <w:p w14:paraId="3F79AEB0">
                  <w:pPr>
                    <w:pStyle w:val="38"/>
                    <w:keepNext w:val="0"/>
                    <w:keepLines w:val="0"/>
                    <w:widowControl/>
                    <w:suppressLineNumbers w:val="0"/>
                    <w:bidi w:val="0"/>
                    <w:spacing w:before="0" w:beforeAutospacing="0" w:after="0" w:afterAutospacing="0"/>
                    <w:ind w:left="0" w:right="0"/>
                    <w:jc w:val="center"/>
                    <w:rPr>
                      <w:rFonts w:hint="eastAsia"/>
                      <w:szCs w:val="22"/>
                    </w:rPr>
                  </w:pPr>
                  <w:r>
                    <w:rPr>
                      <w:rFonts w:hint="default"/>
                      <w:szCs w:val="22"/>
                      <w:lang w:val="en-US" w:eastAsia="zh-CN"/>
                    </w:rPr>
                    <w:t>0.0586</w:t>
                  </w:r>
                </w:p>
              </w:tc>
              <w:tc>
                <w:tcPr>
                  <w:tcW w:w="1537" w:type="dxa"/>
                  <w:tcBorders>
                    <w:left w:val="single" w:color="auto" w:sz="4" w:space="0"/>
                    <w:right w:val="single" w:color="auto" w:sz="4" w:space="0"/>
                  </w:tcBorders>
                  <w:shd w:val="clear" w:color="auto" w:fill="auto"/>
                  <w:vAlign w:val="center"/>
                </w:tcPr>
                <w:p w14:paraId="4528CB93">
                  <w:pPr>
                    <w:pStyle w:val="38"/>
                    <w:keepNext w:val="0"/>
                    <w:keepLines w:val="0"/>
                    <w:widowControl/>
                    <w:suppressLineNumbers w:val="0"/>
                    <w:bidi w:val="0"/>
                    <w:spacing w:before="0" w:beforeAutospacing="0" w:after="0" w:afterAutospacing="0"/>
                    <w:ind w:left="0" w:right="0"/>
                    <w:jc w:val="center"/>
                    <w:rPr>
                      <w:rFonts w:hint="eastAsia"/>
                      <w:szCs w:val="22"/>
                    </w:rPr>
                  </w:pPr>
                  <w:r>
                    <w:rPr>
                      <w:rFonts w:hint="default"/>
                      <w:szCs w:val="22"/>
                      <w:lang w:val="en-US" w:eastAsia="zh-CN"/>
                    </w:rPr>
                    <w:t>0.2108</w:t>
                  </w:r>
                </w:p>
              </w:tc>
              <w:tc>
                <w:tcPr>
                  <w:tcW w:w="1747" w:type="dxa"/>
                  <w:tcBorders>
                    <w:left w:val="single" w:color="auto" w:sz="4" w:space="0"/>
                    <w:right w:val="single" w:color="auto" w:sz="4" w:space="0"/>
                  </w:tcBorders>
                  <w:shd w:val="clear" w:color="auto" w:fill="auto"/>
                  <w:vAlign w:val="center"/>
                </w:tcPr>
                <w:p w14:paraId="348755C7">
                  <w:pPr>
                    <w:pStyle w:val="38"/>
                    <w:keepNext w:val="0"/>
                    <w:keepLines w:val="0"/>
                    <w:widowControl/>
                    <w:suppressLineNumbers w:val="0"/>
                    <w:bidi w:val="0"/>
                    <w:spacing w:before="0" w:beforeAutospacing="0" w:after="0" w:afterAutospacing="0"/>
                    <w:ind w:left="0" w:right="0"/>
                    <w:jc w:val="center"/>
                    <w:rPr>
                      <w:rFonts w:hint="eastAsia"/>
                      <w:szCs w:val="22"/>
                    </w:rPr>
                  </w:pPr>
                  <w:r>
                    <w:rPr>
                      <w:rFonts w:hint="default"/>
                      <w:szCs w:val="22"/>
                      <w:lang w:val="en-US" w:eastAsia="zh-CN"/>
                    </w:rPr>
                    <w:t>0.0704</w:t>
                  </w:r>
                </w:p>
              </w:tc>
              <w:tc>
                <w:tcPr>
                  <w:tcW w:w="1579" w:type="dxa"/>
                  <w:tcBorders>
                    <w:left w:val="single" w:color="auto" w:sz="4" w:space="0"/>
                    <w:right w:val="nil"/>
                  </w:tcBorders>
                  <w:shd w:val="clear" w:color="auto" w:fill="auto"/>
                  <w:vAlign w:val="center"/>
                </w:tcPr>
                <w:p w14:paraId="1D75FC1B">
                  <w:pPr>
                    <w:pStyle w:val="38"/>
                    <w:keepNext w:val="0"/>
                    <w:keepLines w:val="0"/>
                    <w:widowControl/>
                    <w:suppressLineNumbers w:val="0"/>
                    <w:bidi w:val="0"/>
                    <w:spacing w:before="0" w:beforeAutospacing="0" w:after="0" w:afterAutospacing="0"/>
                    <w:ind w:left="0" w:right="0"/>
                    <w:jc w:val="center"/>
                    <w:rPr>
                      <w:rFonts w:hint="eastAsia"/>
                      <w:szCs w:val="22"/>
                    </w:rPr>
                  </w:pPr>
                  <w:r>
                    <w:rPr>
                      <w:rFonts w:hint="default"/>
                      <w:szCs w:val="22"/>
                      <w:lang w:val="en-US" w:eastAsia="zh-CN"/>
                    </w:rPr>
                    <w:t>0.2532</w:t>
                  </w:r>
                </w:p>
              </w:tc>
            </w:tr>
            <w:tr w14:paraId="030BE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7918" w:type="dxa"/>
                  <w:gridSpan w:val="5"/>
                  <w:tcBorders>
                    <w:left w:val="nil"/>
                    <w:bottom w:val="single" w:color="000000" w:sz="12" w:space="0"/>
                    <w:right w:val="nil"/>
                  </w:tcBorders>
                  <w:shd w:val="clear" w:color="auto" w:fill="auto"/>
                  <w:vAlign w:val="top"/>
                </w:tcPr>
                <w:p w14:paraId="36D64BC9">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注：生产工况、排放速率取检测均值</w:t>
                  </w:r>
                </w:p>
              </w:tc>
            </w:tr>
          </w:tbl>
          <w:p w14:paraId="5FCD100A">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（3）噪声</w:t>
            </w:r>
          </w:p>
          <w:p w14:paraId="26EDB4C3">
            <w:pPr>
              <w:keepNext w:val="0"/>
              <w:keepLines w:val="0"/>
              <w:suppressLineNumbers w:val="0"/>
              <w:bidi w:val="0"/>
              <w:spacing w:before="0" w:beforeAutospacing="0" w:after="0" w:afterAutospacing="0"/>
              <w:ind w:left="0" w:right="0"/>
              <w:rPr>
                <w:rFonts w:hint="eastAsia"/>
                <w:lang w:val="en-US" w:eastAsia="zh-CN"/>
              </w:rPr>
            </w:pPr>
            <w:r>
              <w:rPr>
                <w:rFonts w:hint="default"/>
                <w:lang w:val="en-US" w:eastAsia="zh-CN"/>
              </w:rPr>
              <w:t>项目的噪声</w:t>
            </w:r>
            <w:r>
              <w:rPr>
                <w:rFonts w:hint="eastAsia"/>
                <w:lang w:val="en-US" w:eastAsia="zh-CN"/>
              </w:rPr>
              <w:t>源是</w:t>
            </w:r>
            <w:r>
              <w:rPr>
                <w:rFonts w:hint="default"/>
                <w:lang w:val="en-US" w:eastAsia="zh-CN"/>
              </w:rPr>
              <w:t>各种机加工设备等机械设备运行过程中产生的</w:t>
            </w:r>
            <w:r>
              <w:rPr>
                <w:rFonts w:hint="eastAsia"/>
                <w:lang w:val="en-US" w:eastAsia="zh-CN"/>
              </w:rPr>
              <w:t>，已采取以下方式降低噪声污染：</w:t>
            </w:r>
          </w:p>
          <w:p w14:paraId="635F1212">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①在车间进行合理布局、选择先进的低噪声设备；</w:t>
            </w:r>
          </w:p>
          <w:p w14:paraId="2AF635D7">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②项目运营后加强设备的使用和日常维护管理，维持设备处于良好地运转状态，避免因设备运转不正常时噪声的增高；</w:t>
            </w:r>
          </w:p>
          <w:p w14:paraId="5D07B2E2">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③将噪声声级较高的声源设置在厂房内，利用墙和厂内建筑物的阻隔作用使噪声得到衰减。</w:t>
            </w:r>
          </w:p>
          <w:p w14:paraId="18198E84">
            <w:pPr>
              <w:pStyle w:val="39"/>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表2.3-7噪声检测结果</w:t>
            </w:r>
          </w:p>
          <w:tbl>
            <w:tblPr>
              <w:tblStyle w:val="47"/>
              <w:tblW w:w="8401" w:type="dxa"/>
              <w:tblInd w:w="12" w:type="dxa"/>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898"/>
              <w:gridCol w:w="2839"/>
              <w:gridCol w:w="2849"/>
              <w:gridCol w:w="1815"/>
            </w:tblGrid>
            <w:tr w14:paraId="6EE0DAF2">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433" w:hRule="atLeast"/>
              </w:trPr>
              <w:tc>
                <w:tcPr>
                  <w:tcW w:w="534" w:type="pct"/>
                  <w:tcBorders>
                    <w:top w:val="single" w:color="000000" w:sz="12" w:space="0"/>
                    <w:left w:val="nil"/>
                    <w:tl2br w:val="nil"/>
                  </w:tcBorders>
                  <w:shd w:val="clear" w:color="auto" w:fill="auto"/>
                  <w:vAlign w:val="center"/>
                </w:tcPr>
                <w:p w14:paraId="59BB7BFD">
                  <w:pPr>
                    <w:pStyle w:val="38"/>
                    <w:bidi w:val="0"/>
                    <w:rPr>
                      <w:rFonts w:hint="default"/>
                      <w:b w:val="0"/>
                      <w:color w:val="000000"/>
                    </w:rPr>
                  </w:pPr>
                  <w:r>
                    <w:rPr>
                      <w:rFonts w:hint="default"/>
                      <w:b w:val="0"/>
                      <w:color w:val="000000"/>
                    </w:rPr>
                    <w:t>检测时间</w:t>
                  </w:r>
                </w:p>
              </w:tc>
              <w:tc>
                <w:tcPr>
                  <w:tcW w:w="1689" w:type="pct"/>
                  <w:tcBorders>
                    <w:top w:val="single" w:color="000000" w:sz="12" w:space="0"/>
                  </w:tcBorders>
                  <w:shd w:val="clear" w:color="auto" w:fill="auto"/>
                  <w:vAlign w:val="center"/>
                </w:tcPr>
                <w:p w14:paraId="0BFE9D9F">
                  <w:pPr>
                    <w:pStyle w:val="38"/>
                    <w:bidi w:val="0"/>
                    <w:rPr>
                      <w:rFonts w:hint="default"/>
                      <w:b w:val="0"/>
                      <w:color w:val="000000"/>
                    </w:rPr>
                  </w:pPr>
                  <w:r>
                    <w:rPr>
                      <w:rFonts w:hint="default"/>
                      <w:b w:val="0"/>
                      <w:color w:val="000000"/>
                    </w:rPr>
                    <w:t>检测点位</w:t>
                  </w:r>
                </w:p>
              </w:tc>
              <w:tc>
                <w:tcPr>
                  <w:tcW w:w="1695" w:type="pct"/>
                  <w:tcBorders>
                    <w:top w:val="single" w:color="000000" w:sz="12" w:space="0"/>
                  </w:tcBorders>
                  <w:shd w:val="clear" w:color="auto" w:fill="auto"/>
                  <w:vAlign w:val="center"/>
                </w:tcPr>
                <w:p w14:paraId="40ADF5F7">
                  <w:pPr>
                    <w:pStyle w:val="38"/>
                    <w:bidi w:val="0"/>
                    <w:rPr>
                      <w:rFonts w:hint="default"/>
                      <w:b w:val="0"/>
                      <w:color w:val="000000"/>
                    </w:rPr>
                  </w:pPr>
                  <w:r>
                    <w:rPr>
                      <w:rFonts w:hint="default"/>
                      <w:b w:val="0"/>
                      <w:color w:val="000000"/>
                    </w:rPr>
                    <w:t>昼间Leq检测结果（dB（A））</w:t>
                  </w:r>
                </w:p>
              </w:tc>
              <w:tc>
                <w:tcPr>
                  <w:tcW w:w="1080" w:type="pct"/>
                  <w:tcBorders>
                    <w:top w:val="single" w:color="000000" w:sz="12" w:space="0"/>
                    <w:right w:val="nil"/>
                  </w:tcBorders>
                  <w:shd w:val="clear" w:color="auto" w:fill="auto"/>
                  <w:vAlign w:val="center"/>
                </w:tcPr>
                <w:p w14:paraId="05921645">
                  <w:pPr>
                    <w:pStyle w:val="38"/>
                    <w:bidi w:val="0"/>
                    <w:rPr>
                      <w:rFonts w:hint="default"/>
                      <w:b w:val="0"/>
                      <w:color w:val="000000"/>
                    </w:rPr>
                  </w:pPr>
                  <w:r>
                    <w:rPr>
                      <w:rFonts w:hint="default"/>
                      <w:b w:val="0"/>
                      <w:color w:val="000000"/>
                    </w:rPr>
                    <w:t>标准限值（dB（A））</w:t>
                  </w:r>
                </w:p>
              </w:tc>
            </w:tr>
            <w:tr w14:paraId="424D5E01">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216" w:hRule="atLeast"/>
              </w:trPr>
              <w:tc>
                <w:tcPr>
                  <w:tcW w:w="534" w:type="pct"/>
                  <w:vMerge w:val="restart"/>
                  <w:tcBorders>
                    <w:left w:val="nil"/>
                  </w:tcBorders>
                  <w:shd w:val="clear" w:color="auto" w:fill="auto"/>
                  <w:vAlign w:val="center"/>
                </w:tcPr>
                <w:p w14:paraId="13B59B19">
                  <w:pPr>
                    <w:pStyle w:val="38"/>
                    <w:bidi w:val="0"/>
                    <w:rPr>
                      <w:rFonts w:hint="default"/>
                      <w:b w:val="0"/>
                      <w:color w:val="000000"/>
                    </w:rPr>
                  </w:pPr>
                  <w:r>
                    <w:rPr>
                      <w:rFonts w:hint="default"/>
                      <w:b w:val="0"/>
                      <w:color w:val="000000"/>
                    </w:rPr>
                    <w:t>2023年10月21日</w:t>
                  </w:r>
                </w:p>
              </w:tc>
              <w:tc>
                <w:tcPr>
                  <w:tcW w:w="1689" w:type="pct"/>
                  <w:shd w:val="clear" w:color="auto" w:fill="auto"/>
                  <w:vAlign w:val="center"/>
                </w:tcPr>
                <w:p w14:paraId="56CC7F4E">
                  <w:pPr>
                    <w:pStyle w:val="38"/>
                    <w:bidi w:val="0"/>
                    <w:rPr>
                      <w:rFonts w:hint="default"/>
                      <w:b w:val="0"/>
                      <w:color w:val="000000"/>
                    </w:rPr>
                  </w:pPr>
                  <w:r>
                    <w:rPr>
                      <w:rFonts w:hint="default"/>
                      <w:b w:val="0"/>
                      <w:color w:val="000000"/>
                    </w:rPr>
                    <w:t>N1厂界西北侧（界外1m）</w:t>
                  </w:r>
                </w:p>
              </w:tc>
              <w:tc>
                <w:tcPr>
                  <w:tcW w:w="1695" w:type="pct"/>
                  <w:shd w:val="clear" w:color="auto" w:fill="auto"/>
                  <w:vAlign w:val="center"/>
                </w:tcPr>
                <w:p w14:paraId="06C8E804">
                  <w:pPr>
                    <w:pStyle w:val="38"/>
                    <w:bidi w:val="0"/>
                    <w:rPr>
                      <w:rFonts w:hint="default"/>
                      <w:b w:val="0"/>
                      <w:color w:val="000000"/>
                    </w:rPr>
                  </w:pPr>
                  <w:r>
                    <w:rPr>
                      <w:rFonts w:hint="default"/>
                      <w:b w:val="0"/>
                      <w:color w:val="000000"/>
                    </w:rPr>
                    <w:t>58.9</w:t>
                  </w:r>
                </w:p>
              </w:tc>
              <w:tc>
                <w:tcPr>
                  <w:tcW w:w="1080" w:type="pct"/>
                  <w:vMerge w:val="restart"/>
                  <w:tcBorders>
                    <w:right w:val="nil"/>
                  </w:tcBorders>
                  <w:shd w:val="clear" w:color="auto" w:fill="auto"/>
                  <w:vAlign w:val="center"/>
                </w:tcPr>
                <w:p w14:paraId="1EC835BA">
                  <w:pPr>
                    <w:pStyle w:val="38"/>
                    <w:bidi w:val="0"/>
                    <w:rPr>
                      <w:rFonts w:hint="default"/>
                      <w:b w:val="0"/>
                      <w:color w:val="000000"/>
                    </w:rPr>
                  </w:pPr>
                  <w:r>
                    <w:rPr>
                      <w:rFonts w:hint="default"/>
                      <w:b w:val="0"/>
                      <w:color w:val="000000"/>
                    </w:rPr>
                    <w:t>昼间≤65</w:t>
                  </w:r>
                </w:p>
              </w:tc>
            </w:tr>
            <w:tr w14:paraId="6865DE2B">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534" w:type="pct"/>
                  <w:vMerge w:val="continue"/>
                  <w:tcBorders>
                    <w:left w:val="nil"/>
                  </w:tcBorders>
                  <w:shd w:val="clear" w:color="auto" w:fill="auto"/>
                  <w:vAlign w:val="center"/>
                </w:tcPr>
                <w:p w14:paraId="5FE0FAD7">
                  <w:pPr>
                    <w:pStyle w:val="38"/>
                    <w:bidi w:val="0"/>
                    <w:rPr>
                      <w:rFonts w:hint="default"/>
                      <w:b w:val="0"/>
                      <w:color w:val="000000"/>
                    </w:rPr>
                  </w:pPr>
                </w:p>
              </w:tc>
              <w:tc>
                <w:tcPr>
                  <w:tcW w:w="1689" w:type="pct"/>
                  <w:shd w:val="clear" w:color="auto" w:fill="auto"/>
                  <w:vAlign w:val="center"/>
                </w:tcPr>
                <w:p w14:paraId="127D7C2F">
                  <w:pPr>
                    <w:pStyle w:val="38"/>
                    <w:bidi w:val="0"/>
                    <w:rPr>
                      <w:rFonts w:hint="default"/>
                      <w:b w:val="0"/>
                      <w:color w:val="000000"/>
                    </w:rPr>
                  </w:pPr>
                  <w:r>
                    <w:rPr>
                      <w:rFonts w:hint="default"/>
                      <w:b w:val="0"/>
                      <w:color w:val="000000"/>
                    </w:rPr>
                    <w:t>N2厂界西南侧（界外1m）</w:t>
                  </w:r>
                </w:p>
              </w:tc>
              <w:tc>
                <w:tcPr>
                  <w:tcW w:w="1695" w:type="pct"/>
                  <w:shd w:val="clear" w:color="auto" w:fill="auto"/>
                  <w:vAlign w:val="center"/>
                </w:tcPr>
                <w:p w14:paraId="5D250E86">
                  <w:pPr>
                    <w:pStyle w:val="38"/>
                    <w:bidi w:val="0"/>
                    <w:rPr>
                      <w:rFonts w:hint="default"/>
                      <w:b w:val="0"/>
                      <w:color w:val="000000"/>
                    </w:rPr>
                  </w:pPr>
                  <w:r>
                    <w:rPr>
                      <w:rFonts w:hint="default"/>
                      <w:b w:val="0"/>
                      <w:color w:val="000000"/>
                    </w:rPr>
                    <w:t>58.7</w:t>
                  </w:r>
                </w:p>
              </w:tc>
              <w:tc>
                <w:tcPr>
                  <w:tcW w:w="1080" w:type="pct"/>
                  <w:vMerge w:val="continue"/>
                  <w:tcBorders>
                    <w:right w:val="nil"/>
                  </w:tcBorders>
                  <w:shd w:val="clear" w:color="auto" w:fill="auto"/>
                  <w:vAlign w:val="center"/>
                </w:tcPr>
                <w:p w14:paraId="00F10EDF">
                  <w:pPr>
                    <w:pStyle w:val="38"/>
                    <w:bidi w:val="0"/>
                    <w:rPr>
                      <w:rFonts w:hint="default"/>
                      <w:b w:val="0"/>
                      <w:color w:val="000000"/>
                    </w:rPr>
                  </w:pPr>
                </w:p>
              </w:tc>
            </w:tr>
            <w:tr w14:paraId="278F7505">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534" w:type="pct"/>
                  <w:vMerge w:val="continue"/>
                  <w:tcBorders>
                    <w:left w:val="nil"/>
                  </w:tcBorders>
                  <w:shd w:val="clear" w:color="auto" w:fill="auto"/>
                  <w:vAlign w:val="center"/>
                </w:tcPr>
                <w:p w14:paraId="1CD79F24">
                  <w:pPr>
                    <w:pStyle w:val="38"/>
                    <w:bidi w:val="0"/>
                    <w:rPr>
                      <w:rFonts w:hint="default"/>
                      <w:b w:val="0"/>
                      <w:color w:val="000000"/>
                    </w:rPr>
                  </w:pPr>
                </w:p>
              </w:tc>
              <w:tc>
                <w:tcPr>
                  <w:tcW w:w="1689" w:type="pct"/>
                  <w:shd w:val="clear" w:color="auto" w:fill="auto"/>
                  <w:vAlign w:val="center"/>
                </w:tcPr>
                <w:p w14:paraId="1BBD22C5">
                  <w:pPr>
                    <w:pStyle w:val="38"/>
                    <w:bidi w:val="0"/>
                    <w:rPr>
                      <w:rFonts w:hint="default"/>
                      <w:b w:val="0"/>
                      <w:color w:val="000000"/>
                    </w:rPr>
                  </w:pPr>
                  <w:r>
                    <w:rPr>
                      <w:rFonts w:hint="default"/>
                      <w:b w:val="0"/>
                      <w:color w:val="000000"/>
                    </w:rPr>
                    <w:t>N3厂界东南侧（界外1m）</w:t>
                  </w:r>
                </w:p>
              </w:tc>
              <w:tc>
                <w:tcPr>
                  <w:tcW w:w="1695" w:type="pct"/>
                  <w:shd w:val="clear" w:color="auto" w:fill="auto"/>
                  <w:vAlign w:val="center"/>
                </w:tcPr>
                <w:p w14:paraId="03F84938">
                  <w:pPr>
                    <w:pStyle w:val="38"/>
                    <w:bidi w:val="0"/>
                    <w:rPr>
                      <w:rFonts w:hint="default"/>
                      <w:b w:val="0"/>
                      <w:color w:val="000000"/>
                    </w:rPr>
                  </w:pPr>
                  <w:r>
                    <w:rPr>
                      <w:rFonts w:hint="default"/>
                      <w:b w:val="0"/>
                      <w:color w:val="000000"/>
                    </w:rPr>
                    <w:t>61.1</w:t>
                  </w:r>
                </w:p>
              </w:tc>
              <w:tc>
                <w:tcPr>
                  <w:tcW w:w="1080" w:type="pct"/>
                  <w:vMerge w:val="continue"/>
                  <w:tcBorders>
                    <w:right w:val="nil"/>
                  </w:tcBorders>
                  <w:shd w:val="clear" w:color="auto" w:fill="auto"/>
                  <w:vAlign w:val="center"/>
                </w:tcPr>
                <w:p w14:paraId="59F09A28">
                  <w:pPr>
                    <w:pStyle w:val="38"/>
                    <w:bidi w:val="0"/>
                    <w:rPr>
                      <w:rFonts w:hint="default"/>
                      <w:b w:val="0"/>
                      <w:color w:val="000000"/>
                    </w:rPr>
                  </w:pPr>
                </w:p>
              </w:tc>
            </w:tr>
            <w:tr w14:paraId="7FCB13F7">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534" w:type="pct"/>
                  <w:vMerge w:val="continue"/>
                  <w:tcBorders>
                    <w:left w:val="nil"/>
                  </w:tcBorders>
                  <w:shd w:val="clear" w:color="auto" w:fill="auto"/>
                  <w:vAlign w:val="center"/>
                </w:tcPr>
                <w:p w14:paraId="2E3217B2">
                  <w:pPr>
                    <w:pStyle w:val="38"/>
                    <w:bidi w:val="0"/>
                    <w:rPr>
                      <w:rFonts w:hint="default"/>
                      <w:b w:val="0"/>
                      <w:color w:val="000000"/>
                    </w:rPr>
                  </w:pPr>
                </w:p>
              </w:tc>
              <w:tc>
                <w:tcPr>
                  <w:tcW w:w="1689" w:type="pct"/>
                  <w:shd w:val="clear" w:color="auto" w:fill="auto"/>
                  <w:vAlign w:val="center"/>
                </w:tcPr>
                <w:p w14:paraId="52D9D3CE">
                  <w:pPr>
                    <w:pStyle w:val="38"/>
                    <w:bidi w:val="0"/>
                    <w:rPr>
                      <w:rFonts w:hint="default"/>
                      <w:b w:val="0"/>
                      <w:color w:val="000000"/>
                    </w:rPr>
                  </w:pPr>
                  <w:r>
                    <w:rPr>
                      <w:rFonts w:hint="default"/>
                      <w:b w:val="0"/>
                      <w:color w:val="000000"/>
                    </w:rPr>
                    <w:t>N4厂界东北侧（界外1m）</w:t>
                  </w:r>
                </w:p>
              </w:tc>
              <w:tc>
                <w:tcPr>
                  <w:tcW w:w="1695" w:type="pct"/>
                  <w:shd w:val="clear" w:color="auto" w:fill="auto"/>
                  <w:vAlign w:val="center"/>
                </w:tcPr>
                <w:p w14:paraId="6E67C34C">
                  <w:pPr>
                    <w:pStyle w:val="38"/>
                    <w:bidi w:val="0"/>
                    <w:rPr>
                      <w:rFonts w:hint="default"/>
                      <w:b w:val="0"/>
                      <w:color w:val="000000"/>
                    </w:rPr>
                  </w:pPr>
                  <w:r>
                    <w:rPr>
                      <w:rFonts w:hint="default"/>
                      <w:b w:val="0"/>
                      <w:color w:val="000000"/>
                    </w:rPr>
                    <w:t>60.2</w:t>
                  </w:r>
                </w:p>
              </w:tc>
              <w:tc>
                <w:tcPr>
                  <w:tcW w:w="1080" w:type="pct"/>
                  <w:vMerge w:val="continue"/>
                  <w:tcBorders>
                    <w:right w:val="nil"/>
                  </w:tcBorders>
                  <w:shd w:val="clear" w:color="auto" w:fill="auto"/>
                  <w:vAlign w:val="center"/>
                </w:tcPr>
                <w:p w14:paraId="1CE1972A">
                  <w:pPr>
                    <w:pStyle w:val="38"/>
                    <w:bidi w:val="0"/>
                    <w:rPr>
                      <w:rFonts w:hint="default"/>
                      <w:b w:val="0"/>
                      <w:color w:val="000000"/>
                    </w:rPr>
                  </w:pPr>
                </w:p>
              </w:tc>
            </w:tr>
            <w:tr w14:paraId="06067F2F">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534" w:type="pct"/>
                  <w:vMerge w:val="restart"/>
                  <w:tcBorders>
                    <w:left w:val="nil"/>
                  </w:tcBorders>
                  <w:shd w:val="clear" w:color="auto" w:fill="auto"/>
                  <w:vAlign w:val="center"/>
                </w:tcPr>
                <w:p w14:paraId="506BC86A">
                  <w:pPr>
                    <w:pStyle w:val="38"/>
                    <w:bidi w:val="0"/>
                    <w:rPr>
                      <w:rFonts w:hint="default"/>
                      <w:b w:val="0"/>
                      <w:color w:val="000000"/>
                    </w:rPr>
                  </w:pPr>
                  <w:r>
                    <w:rPr>
                      <w:rFonts w:hint="default"/>
                      <w:b w:val="0"/>
                      <w:color w:val="000000"/>
                    </w:rPr>
                    <w:t>2023年10月22日</w:t>
                  </w:r>
                </w:p>
              </w:tc>
              <w:tc>
                <w:tcPr>
                  <w:tcW w:w="1689" w:type="pct"/>
                  <w:shd w:val="clear" w:color="auto" w:fill="auto"/>
                  <w:vAlign w:val="center"/>
                </w:tcPr>
                <w:p w14:paraId="65104641">
                  <w:pPr>
                    <w:pStyle w:val="38"/>
                    <w:bidi w:val="0"/>
                    <w:rPr>
                      <w:rFonts w:hint="default"/>
                      <w:b w:val="0"/>
                      <w:color w:val="000000"/>
                    </w:rPr>
                  </w:pPr>
                  <w:r>
                    <w:rPr>
                      <w:rFonts w:hint="default"/>
                      <w:b w:val="0"/>
                      <w:color w:val="000000"/>
                    </w:rPr>
                    <w:t>N1厂界西北侧（界外1m）</w:t>
                  </w:r>
                </w:p>
              </w:tc>
              <w:tc>
                <w:tcPr>
                  <w:tcW w:w="1695" w:type="pct"/>
                  <w:shd w:val="clear" w:color="auto" w:fill="auto"/>
                  <w:vAlign w:val="center"/>
                </w:tcPr>
                <w:p w14:paraId="27A36AB2">
                  <w:pPr>
                    <w:pStyle w:val="38"/>
                    <w:bidi w:val="0"/>
                    <w:rPr>
                      <w:rFonts w:hint="default"/>
                      <w:b w:val="0"/>
                      <w:color w:val="000000"/>
                    </w:rPr>
                  </w:pPr>
                  <w:r>
                    <w:rPr>
                      <w:rFonts w:hint="default"/>
                      <w:b w:val="0"/>
                      <w:color w:val="000000"/>
                    </w:rPr>
                    <w:t>59.8</w:t>
                  </w:r>
                </w:p>
              </w:tc>
              <w:tc>
                <w:tcPr>
                  <w:tcW w:w="1080" w:type="pct"/>
                  <w:vMerge w:val="continue"/>
                  <w:tcBorders>
                    <w:right w:val="nil"/>
                  </w:tcBorders>
                  <w:shd w:val="clear" w:color="auto" w:fill="auto"/>
                  <w:vAlign w:val="center"/>
                </w:tcPr>
                <w:p w14:paraId="4E3DC954">
                  <w:pPr>
                    <w:pStyle w:val="38"/>
                    <w:bidi w:val="0"/>
                    <w:rPr>
                      <w:rFonts w:hint="default"/>
                      <w:b w:val="0"/>
                      <w:color w:val="000000"/>
                    </w:rPr>
                  </w:pPr>
                </w:p>
              </w:tc>
            </w:tr>
            <w:tr w14:paraId="1D07861F">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trPr>
              <w:tc>
                <w:tcPr>
                  <w:tcW w:w="534" w:type="pct"/>
                  <w:vMerge w:val="continue"/>
                  <w:tcBorders>
                    <w:left w:val="nil"/>
                  </w:tcBorders>
                  <w:shd w:val="clear" w:color="auto" w:fill="auto"/>
                  <w:vAlign w:val="center"/>
                </w:tcPr>
                <w:p w14:paraId="21170168">
                  <w:pPr>
                    <w:pStyle w:val="38"/>
                    <w:bidi w:val="0"/>
                    <w:rPr>
                      <w:rFonts w:hint="default"/>
                      <w:b w:val="0"/>
                      <w:color w:val="000000"/>
                    </w:rPr>
                  </w:pPr>
                </w:p>
              </w:tc>
              <w:tc>
                <w:tcPr>
                  <w:tcW w:w="1689" w:type="pct"/>
                  <w:shd w:val="clear" w:color="auto" w:fill="auto"/>
                  <w:vAlign w:val="center"/>
                </w:tcPr>
                <w:p w14:paraId="5278087E">
                  <w:pPr>
                    <w:pStyle w:val="38"/>
                    <w:bidi w:val="0"/>
                    <w:rPr>
                      <w:rFonts w:hint="default"/>
                      <w:b w:val="0"/>
                      <w:color w:val="000000"/>
                    </w:rPr>
                  </w:pPr>
                  <w:r>
                    <w:rPr>
                      <w:rFonts w:hint="default"/>
                      <w:b w:val="0"/>
                      <w:color w:val="000000"/>
                    </w:rPr>
                    <w:t>N2厂界西南侧（界外1m）</w:t>
                  </w:r>
                </w:p>
              </w:tc>
              <w:tc>
                <w:tcPr>
                  <w:tcW w:w="1695" w:type="pct"/>
                  <w:shd w:val="clear" w:color="auto" w:fill="auto"/>
                  <w:vAlign w:val="center"/>
                </w:tcPr>
                <w:p w14:paraId="517A27FF">
                  <w:pPr>
                    <w:pStyle w:val="38"/>
                    <w:bidi w:val="0"/>
                    <w:rPr>
                      <w:rFonts w:hint="default"/>
                      <w:b w:val="0"/>
                      <w:color w:val="000000"/>
                    </w:rPr>
                  </w:pPr>
                  <w:r>
                    <w:rPr>
                      <w:rFonts w:hint="default"/>
                      <w:b w:val="0"/>
                      <w:color w:val="000000"/>
                    </w:rPr>
                    <w:t>58.7</w:t>
                  </w:r>
                </w:p>
              </w:tc>
              <w:tc>
                <w:tcPr>
                  <w:tcW w:w="1080" w:type="pct"/>
                  <w:vMerge w:val="continue"/>
                  <w:tcBorders>
                    <w:right w:val="nil"/>
                  </w:tcBorders>
                  <w:shd w:val="clear" w:color="auto" w:fill="auto"/>
                  <w:vAlign w:val="center"/>
                </w:tcPr>
                <w:p w14:paraId="1E84E6C9">
                  <w:pPr>
                    <w:pStyle w:val="38"/>
                    <w:bidi w:val="0"/>
                    <w:rPr>
                      <w:rFonts w:hint="default"/>
                      <w:b w:val="0"/>
                      <w:color w:val="000000"/>
                    </w:rPr>
                  </w:pPr>
                </w:p>
              </w:tc>
            </w:tr>
            <w:tr w14:paraId="4EC2D82C">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534" w:type="pct"/>
                  <w:vMerge w:val="continue"/>
                  <w:tcBorders>
                    <w:left w:val="nil"/>
                  </w:tcBorders>
                  <w:shd w:val="clear" w:color="auto" w:fill="auto"/>
                  <w:vAlign w:val="center"/>
                </w:tcPr>
                <w:p w14:paraId="17B070A2">
                  <w:pPr>
                    <w:pStyle w:val="38"/>
                    <w:bidi w:val="0"/>
                    <w:rPr>
                      <w:rFonts w:hint="default"/>
                      <w:b w:val="0"/>
                      <w:color w:val="000000"/>
                    </w:rPr>
                  </w:pPr>
                </w:p>
              </w:tc>
              <w:tc>
                <w:tcPr>
                  <w:tcW w:w="1689" w:type="pct"/>
                  <w:shd w:val="clear" w:color="auto" w:fill="auto"/>
                  <w:vAlign w:val="center"/>
                </w:tcPr>
                <w:p w14:paraId="3375E4E2">
                  <w:pPr>
                    <w:pStyle w:val="38"/>
                    <w:bidi w:val="0"/>
                    <w:rPr>
                      <w:rFonts w:hint="default"/>
                      <w:b w:val="0"/>
                      <w:color w:val="000000"/>
                    </w:rPr>
                  </w:pPr>
                  <w:r>
                    <w:rPr>
                      <w:rFonts w:hint="default"/>
                      <w:b w:val="0"/>
                      <w:color w:val="000000"/>
                    </w:rPr>
                    <w:t>N3厂界东南侧（界外1m）</w:t>
                  </w:r>
                </w:p>
              </w:tc>
              <w:tc>
                <w:tcPr>
                  <w:tcW w:w="1695" w:type="pct"/>
                  <w:shd w:val="clear" w:color="auto" w:fill="auto"/>
                  <w:vAlign w:val="center"/>
                </w:tcPr>
                <w:p w14:paraId="6E47A920">
                  <w:pPr>
                    <w:pStyle w:val="38"/>
                    <w:bidi w:val="0"/>
                    <w:rPr>
                      <w:rFonts w:hint="default"/>
                      <w:b w:val="0"/>
                      <w:color w:val="000000"/>
                    </w:rPr>
                  </w:pPr>
                  <w:r>
                    <w:rPr>
                      <w:rFonts w:hint="default"/>
                      <w:b w:val="0"/>
                      <w:color w:val="000000"/>
                    </w:rPr>
                    <w:t>60.5</w:t>
                  </w:r>
                </w:p>
              </w:tc>
              <w:tc>
                <w:tcPr>
                  <w:tcW w:w="1080" w:type="pct"/>
                  <w:vMerge w:val="continue"/>
                  <w:tcBorders>
                    <w:right w:val="nil"/>
                  </w:tcBorders>
                  <w:shd w:val="clear" w:color="auto" w:fill="auto"/>
                  <w:vAlign w:val="center"/>
                </w:tcPr>
                <w:p w14:paraId="7A8FADDC">
                  <w:pPr>
                    <w:pStyle w:val="38"/>
                    <w:bidi w:val="0"/>
                    <w:rPr>
                      <w:rFonts w:hint="default"/>
                      <w:b w:val="0"/>
                      <w:color w:val="000000"/>
                    </w:rPr>
                  </w:pPr>
                </w:p>
              </w:tc>
            </w:tr>
            <w:tr w14:paraId="72053D2B">
              <w:tblPrEx>
                <w:tblBorders>
                  <w:top w:val="single" w:color="000000" w:sz="2" w:space="0"/>
                  <w:left w:val="single" w:color="000000" w:sz="2" w:space="0"/>
                  <w:bottom w:val="single" w:color="000000" w:sz="2" w:space="0"/>
                  <w:right w:val="single" w:color="000000" w:sz="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534" w:type="pct"/>
                  <w:vMerge w:val="continue"/>
                  <w:tcBorders>
                    <w:left w:val="nil"/>
                    <w:bottom w:val="single" w:color="000000" w:sz="12" w:space="0"/>
                  </w:tcBorders>
                  <w:shd w:val="clear" w:color="auto" w:fill="auto"/>
                  <w:vAlign w:val="center"/>
                </w:tcPr>
                <w:p w14:paraId="78C079F7">
                  <w:pPr>
                    <w:pStyle w:val="38"/>
                    <w:bidi w:val="0"/>
                    <w:rPr>
                      <w:rFonts w:hint="default"/>
                      <w:b w:val="0"/>
                      <w:color w:val="000000"/>
                    </w:rPr>
                  </w:pPr>
                </w:p>
              </w:tc>
              <w:tc>
                <w:tcPr>
                  <w:tcW w:w="1689" w:type="pct"/>
                  <w:tcBorders>
                    <w:bottom w:val="single" w:color="000000" w:sz="12" w:space="0"/>
                  </w:tcBorders>
                  <w:shd w:val="clear" w:color="auto" w:fill="auto"/>
                  <w:vAlign w:val="center"/>
                </w:tcPr>
                <w:p w14:paraId="206D7B20">
                  <w:pPr>
                    <w:pStyle w:val="38"/>
                    <w:bidi w:val="0"/>
                    <w:rPr>
                      <w:rFonts w:hint="default"/>
                      <w:b w:val="0"/>
                      <w:color w:val="000000"/>
                    </w:rPr>
                  </w:pPr>
                  <w:r>
                    <w:rPr>
                      <w:rFonts w:hint="default"/>
                      <w:b w:val="0"/>
                      <w:color w:val="000000"/>
                    </w:rPr>
                    <w:t>N4厂界东北侧（界外1m）</w:t>
                  </w:r>
                </w:p>
              </w:tc>
              <w:tc>
                <w:tcPr>
                  <w:tcW w:w="1695" w:type="pct"/>
                  <w:tcBorders>
                    <w:bottom w:val="single" w:color="000000" w:sz="12" w:space="0"/>
                  </w:tcBorders>
                  <w:shd w:val="clear" w:color="auto" w:fill="auto"/>
                  <w:vAlign w:val="center"/>
                </w:tcPr>
                <w:p w14:paraId="64D1AA1F">
                  <w:pPr>
                    <w:pStyle w:val="38"/>
                    <w:bidi w:val="0"/>
                    <w:rPr>
                      <w:rFonts w:hint="default"/>
                      <w:b w:val="0"/>
                      <w:color w:val="000000"/>
                    </w:rPr>
                  </w:pPr>
                  <w:r>
                    <w:rPr>
                      <w:rFonts w:hint="default"/>
                      <w:b w:val="0"/>
                      <w:color w:val="000000"/>
                    </w:rPr>
                    <w:t>59.3</w:t>
                  </w:r>
                </w:p>
              </w:tc>
              <w:tc>
                <w:tcPr>
                  <w:tcW w:w="1080" w:type="pct"/>
                  <w:vMerge w:val="continue"/>
                  <w:tcBorders>
                    <w:bottom w:val="single" w:color="000000" w:sz="12" w:space="0"/>
                    <w:right w:val="nil"/>
                  </w:tcBorders>
                  <w:shd w:val="clear" w:color="auto" w:fill="auto"/>
                  <w:vAlign w:val="center"/>
                </w:tcPr>
                <w:p w14:paraId="40A7D66E">
                  <w:pPr>
                    <w:pStyle w:val="38"/>
                    <w:bidi w:val="0"/>
                    <w:rPr>
                      <w:rFonts w:hint="default"/>
                      <w:b w:val="0"/>
                      <w:color w:val="000000"/>
                    </w:rPr>
                  </w:pPr>
                </w:p>
              </w:tc>
            </w:tr>
          </w:tbl>
          <w:p w14:paraId="372A1D17">
            <w:pPr>
              <w:keepNext w:val="0"/>
              <w:keepLines w:val="0"/>
              <w:suppressLineNumbers w:val="0"/>
              <w:spacing w:before="0" w:beforeAutospacing="0" w:after="0" w:afterAutospacing="0" w:line="360" w:lineRule="auto"/>
              <w:ind w:left="0" w:right="0" w:firstLine="480" w:firstLineChars="200"/>
              <w:rPr>
                <w:rFonts w:hint="default"/>
                <w:lang w:val="en-US" w:eastAsia="zh-CN"/>
              </w:rPr>
            </w:pPr>
            <w:r>
              <w:rPr>
                <w:rFonts w:hint="default"/>
                <w:lang w:val="en-US" w:eastAsia="zh-CN"/>
              </w:rPr>
              <w:t>监测结果表明：项目厂界噪声均可满足《工业企业厂界环境噪声排放标准》</w:t>
            </w:r>
            <w:r>
              <w:rPr>
                <w:rFonts w:hint="eastAsia"/>
                <w:lang w:val="en-US" w:eastAsia="zh-CN"/>
              </w:rPr>
              <w:t>（</w:t>
            </w:r>
            <w:r>
              <w:rPr>
                <w:rFonts w:hint="default"/>
                <w:lang w:val="en-US" w:eastAsia="zh-CN"/>
              </w:rPr>
              <w:t>GB12348-2008</w:t>
            </w:r>
            <w:r>
              <w:rPr>
                <w:rFonts w:hint="eastAsia"/>
                <w:lang w:val="en-US" w:eastAsia="zh-CN"/>
              </w:rPr>
              <w:t>）</w:t>
            </w:r>
            <w:r>
              <w:rPr>
                <w:rFonts w:hint="default"/>
                <w:lang w:val="en-US" w:eastAsia="zh-CN"/>
              </w:rPr>
              <w:t>中3类标准</w:t>
            </w:r>
            <w:r>
              <w:rPr>
                <w:rFonts w:hint="eastAsia" w:ascii="Times New Roman" w:hAnsi="Times New Roman" w:eastAsia="宋体"/>
                <w:color w:val="auto"/>
                <w:sz w:val="24"/>
                <w:szCs w:val="24"/>
              </w:rPr>
              <w:t>（昼间厂界环境噪声≤6</w:t>
            </w:r>
            <w:r>
              <w:rPr>
                <w:rFonts w:hint="eastAsia" w:ascii="Times New Roman" w:hAnsi="Times New Roman" w:eastAsia="宋体"/>
                <w:color w:val="auto"/>
                <w:sz w:val="24"/>
                <w:szCs w:val="24"/>
                <w:lang w:val="en-US" w:eastAsia="zh-CN"/>
              </w:rPr>
              <w:t>5</w:t>
            </w:r>
            <w:r>
              <w:rPr>
                <w:rFonts w:hint="eastAsia" w:ascii="Times New Roman" w:hAnsi="Times New Roman" w:eastAsia="宋体"/>
                <w:color w:val="auto"/>
                <w:sz w:val="24"/>
                <w:szCs w:val="24"/>
              </w:rPr>
              <w:t>dB（A））</w:t>
            </w:r>
            <w:r>
              <w:rPr>
                <w:rFonts w:hint="default"/>
                <w:lang w:val="en-US" w:eastAsia="zh-CN"/>
              </w:rPr>
              <w:t>。</w:t>
            </w:r>
          </w:p>
          <w:p w14:paraId="0E882332">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（4）固废</w:t>
            </w:r>
          </w:p>
          <w:p w14:paraId="6FE45114">
            <w:pPr>
              <w:keepNext w:val="0"/>
              <w:keepLines w:val="0"/>
              <w:suppressLineNumbers w:val="0"/>
              <w:bidi w:val="0"/>
              <w:spacing w:before="0" w:beforeAutospacing="0" w:after="0" w:afterAutospacing="0"/>
              <w:ind w:left="0" w:right="0"/>
              <w:rPr>
                <w:rFonts w:hint="eastAsia"/>
              </w:rPr>
            </w:pPr>
            <w:r>
              <w:rPr>
                <w:rFonts w:hint="eastAsia"/>
                <w:lang w:val="en-US" w:eastAsia="zh-CN"/>
              </w:rPr>
              <w:t>项目的一般工业固体废物主要为生产过程中产生的不合格成品，</w:t>
            </w:r>
            <w:r>
              <w:rPr>
                <w:rFonts w:hint="eastAsia" w:ascii="Times New Roman" w:hAnsi="Times New Roman" w:eastAsia="宋体" w:cs="Times New Roman"/>
                <w:bCs/>
                <w:color w:val="auto"/>
                <w:sz w:val="24"/>
                <w:szCs w:val="24"/>
                <w:highlight w:val="none"/>
                <w:lang w:val="en-US" w:eastAsia="zh-CN"/>
              </w:rPr>
              <w:t>集中收集后退回待加工厂综合利用</w:t>
            </w:r>
            <w:r>
              <w:rPr>
                <w:rFonts w:hint="eastAsia"/>
                <w:lang w:val="en-US" w:eastAsia="zh-CN"/>
              </w:rPr>
              <w:t>。危险废物（</w:t>
            </w:r>
            <w:r>
              <w:rPr>
                <w:rFonts w:hint="eastAsia" w:ascii="Times New Roman" w:hAnsi="Times New Roman" w:eastAsia="宋体" w:cs="Times New Roman"/>
                <w:bCs/>
                <w:color w:val="auto"/>
                <w:sz w:val="24"/>
                <w:highlight w:val="none"/>
                <w:lang w:val="en-US" w:eastAsia="zh-CN"/>
              </w:rPr>
              <w:t>废油性漆桶、废水性漆桶</w:t>
            </w:r>
            <w:r>
              <w:rPr>
                <w:rFonts w:hint="eastAsia"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bCs/>
                <w:color w:val="auto"/>
                <w:sz w:val="24"/>
                <w:highlight w:val="none"/>
                <w:lang w:val="en-US" w:eastAsia="zh-CN"/>
              </w:rPr>
              <w:t>废漆渣、水帘柜废液、</w:t>
            </w:r>
            <w:r>
              <w:rPr>
                <w:rFonts w:hint="eastAsia" w:ascii="Times New Roman" w:hAnsi="Times New Roman" w:eastAsia="宋体" w:cs="Times New Roman"/>
                <w:color w:val="auto"/>
                <w:kern w:val="2"/>
                <w:sz w:val="24"/>
                <w:szCs w:val="24"/>
                <w:lang w:val="en-US" w:eastAsia="zh-CN" w:bidi="ar-SA"/>
              </w:rPr>
              <w:t>废过滤棉、</w:t>
            </w:r>
            <w:r>
              <w:rPr>
                <w:rFonts w:hint="eastAsia" w:ascii="Times New Roman" w:hAnsi="Times New Roman" w:eastAsia="宋体" w:cs="Times New Roman"/>
                <w:bCs/>
                <w:color w:val="auto"/>
                <w:sz w:val="24"/>
                <w:highlight w:val="none"/>
                <w:lang w:val="en-US" w:eastAsia="zh-CN"/>
              </w:rPr>
              <w:t>废活性炭、废机油</w:t>
            </w:r>
            <w:r>
              <w:rPr>
                <w:rFonts w:hint="eastAsia"/>
                <w:lang w:val="en-US" w:eastAsia="zh-CN"/>
              </w:rPr>
              <w:t>）委托福州市福化环保科技有限公司回收处置。</w:t>
            </w:r>
            <w:r>
              <w:rPr>
                <w:rFonts w:hint="default"/>
                <w:lang w:val="en-US" w:eastAsia="zh-CN"/>
              </w:rPr>
              <w:t>职工生活垃圾分类收集后定期由环卫部门统一清运处理。</w:t>
            </w:r>
          </w:p>
          <w:p w14:paraId="07EF2C56">
            <w:pPr>
              <w:pStyle w:val="3"/>
              <w:keepNext w:val="0"/>
              <w:keepLines w:val="0"/>
              <w:suppressLineNumbers w:val="0"/>
              <w:tabs>
                <w:tab w:val="left" w:pos="420"/>
                <w:tab w:val="clear" w:pos="0"/>
              </w:tabs>
              <w:bidi w:val="0"/>
              <w:spacing w:before="0" w:beforeAutospacing="0" w:after="0" w:afterAutospacing="0"/>
              <w:ind w:left="0" w:right="0"/>
              <w:rPr>
                <w:rFonts w:hint="eastAsia"/>
                <w:color w:val="000000"/>
                <w:lang w:val="en-US" w:eastAsia="zh-CN"/>
              </w:rPr>
            </w:pPr>
            <w:r>
              <w:rPr>
                <w:rFonts w:hint="eastAsia"/>
                <w:color w:val="000000"/>
                <w:lang w:val="en-US" w:eastAsia="zh-CN"/>
              </w:rPr>
              <w:t>项目“三本账”分析</w:t>
            </w:r>
          </w:p>
          <w:p w14:paraId="31D229F2">
            <w:pPr>
              <w:keepNext w:val="0"/>
              <w:keepLines w:val="0"/>
              <w:suppressLineNumbers w:val="0"/>
              <w:spacing w:before="0" w:beforeAutospacing="0" w:after="0" w:afterAutospacing="0"/>
              <w:ind w:left="0" w:right="0" w:firstLine="480"/>
              <w:rPr>
                <w:rFonts w:hint="eastAsia"/>
                <w:lang w:val="en-US" w:eastAsia="zh-CN"/>
              </w:rPr>
            </w:pPr>
            <w:r>
              <w:rPr>
                <w:rFonts w:hint="eastAsia" w:cs="Times New Roman"/>
                <w:color w:val="000000"/>
                <w:highlight w:val="none"/>
                <w:lang w:val="en-US" w:eastAsia="zh-CN"/>
              </w:rPr>
              <w:t>现有项目及本项目一般固废（不合格产品）均</w:t>
            </w:r>
            <w:r>
              <w:rPr>
                <w:rFonts w:hint="eastAsia" w:ascii="Times New Roman" w:hAnsi="Times New Roman" w:eastAsia="宋体" w:cs="Times New Roman"/>
                <w:bCs/>
                <w:color w:val="auto"/>
                <w:sz w:val="24"/>
                <w:szCs w:val="24"/>
                <w:highlight w:val="none"/>
                <w:lang w:val="en-US" w:eastAsia="zh-CN"/>
              </w:rPr>
              <w:t>集中收集后退回待加工厂综合利用</w:t>
            </w:r>
            <w:r>
              <w:rPr>
                <w:rFonts w:hint="eastAsia" w:cs="Times New Roman"/>
                <w:color w:val="000000"/>
                <w:highlight w:val="none"/>
                <w:lang w:val="en-US" w:eastAsia="zh-CN"/>
              </w:rPr>
              <w:t>，危险废物（</w:t>
            </w:r>
            <w:r>
              <w:rPr>
                <w:rFonts w:hint="eastAsia" w:ascii="Times New Roman" w:hAnsi="Times New Roman" w:eastAsia="宋体" w:cs="Times New Roman"/>
                <w:bCs/>
                <w:color w:val="auto"/>
                <w:sz w:val="24"/>
                <w:highlight w:val="none"/>
                <w:lang w:val="en-US" w:eastAsia="zh-CN"/>
              </w:rPr>
              <w:t>废油性漆桶、废水性漆桶</w:t>
            </w:r>
            <w:r>
              <w:rPr>
                <w:rFonts w:hint="eastAsia"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bCs/>
                <w:color w:val="auto"/>
                <w:sz w:val="24"/>
                <w:highlight w:val="none"/>
                <w:lang w:val="en-US" w:eastAsia="zh-CN"/>
              </w:rPr>
              <w:t>废漆渣、水帘柜废液、</w:t>
            </w:r>
            <w:r>
              <w:rPr>
                <w:rFonts w:hint="eastAsia" w:ascii="Times New Roman" w:hAnsi="Times New Roman" w:eastAsia="宋体" w:cs="Times New Roman"/>
                <w:color w:val="auto"/>
                <w:kern w:val="2"/>
                <w:sz w:val="24"/>
                <w:szCs w:val="24"/>
                <w:lang w:val="en-US" w:eastAsia="zh-CN" w:bidi="ar-SA"/>
              </w:rPr>
              <w:t>废过滤棉、</w:t>
            </w:r>
            <w:r>
              <w:rPr>
                <w:rFonts w:hint="eastAsia" w:ascii="Times New Roman" w:hAnsi="Times New Roman" w:eastAsia="宋体" w:cs="Times New Roman"/>
                <w:bCs/>
                <w:color w:val="auto"/>
                <w:sz w:val="24"/>
                <w:highlight w:val="none"/>
                <w:lang w:val="en-US" w:eastAsia="zh-CN"/>
              </w:rPr>
              <w:t>废活性炭、废机油</w:t>
            </w:r>
            <w:r>
              <w:rPr>
                <w:rFonts w:hint="eastAsia" w:cs="Times New Roman"/>
                <w:color w:val="000000"/>
                <w:highlight w:val="none"/>
                <w:lang w:val="en-US" w:eastAsia="zh-CN"/>
              </w:rPr>
              <w:t>）均暂存于危废贮存库内，定期委托有资质的单位处置，生活垃圾分类收集后交由环卫部门统一清运处置，未产生排放，此处分析固体废物的产生量。</w:t>
            </w:r>
            <w:r>
              <w:rPr>
                <w:rFonts w:hint="default" w:ascii="Times New Roman" w:hAnsi="Times New Roman" w:eastAsia="宋体" w:cs="Times New Roman"/>
                <w:color w:val="000000"/>
                <w:highlight w:val="none"/>
              </w:rPr>
              <w:t>根据项目工程分析及污染源排放情况分析，</w:t>
            </w:r>
            <w:r>
              <w:rPr>
                <w:rFonts w:hint="eastAsia"/>
                <w:lang w:val="en-US" w:eastAsia="zh-CN"/>
              </w:rPr>
              <w:t>本项目迁建前后“三本账”分析见表2.4-1。</w:t>
            </w:r>
          </w:p>
          <w:p w14:paraId="2E09B8C5">
            <w:pPr>
              <w:pStyle w:val="39"/>
              <w:keepNext w:val="0"/>
              <w:keepLines w:val="0"/>
              <w:suppressLineNumbers w:val="0"/>
              <w:bidi w:val="0"/>
              <w:spacing w:before="0" w:beforeAutospacing="0" w:after="0" w:afterAutospacing="0"/>
              <w:ind w:left="0" w:right="0"/>
              <w:rPr>
                <w:rFonts w:hint="default"/>
              </w:rPr>
            </w:pPr>
            <w:r>
              <w:rPr>
                <w:rFonts w:hint="eastAsia"/>
                <w:lang w:val="en-US" w:eastAsia="zh-CN"/>
              </w:rPr>
              <w:t>表2.5-1 迁扩建工程</w:t>
            </w:r>
            <w:r>
              <w:rPr>
                <w:rFonts w:hint="default"/>
              </w:rPr>
              <w:t>全厂</w:t>
            </w:r>
            <w:r>
              <w:rPr>
                <w:rFonts w:hint="eastAsia"/>
                <w:lang w:eastAsia="zh-CN"/>
              </w:rPr>
              <w:t>“</w:t>
            </w:r>
            <w:r>
              <w:rPr>
                <w:rFonts w:hint="default"/>
              </w:rPr>
              <w:t>三本账</w:t>
            </w:r>
            <w:r>
              <w:rPr>
                <w:rFonts w:hint="eastAsia"/>
                <w:lang w:eastAsia="zh-CN"/>
              </w:rPr>
              <w:t>”</w:t>
            </w:r>
            <w:r>
              <w:rPr>
                <w:rFonts w:hint="default"/>
              </w:rPr>
              <w:t>分析一览表</w:t>
            </w:r>
            <w:r>
              <w:rPr>
                <w:rFonts w:hint="eastAsia"/>
                <w:lang w:val="en-US" w:eastAsia="zh-CN"/>
              </w:rPr>
              <w:t xml:space="preserve"> 单位：t/a</w:t>
            </w:r>
          </w:p>
          <w:tbl>
            <w:tblPr>
              <w:tblStyle w:val="29"/>
              <w:tblW w:w="4997" w:type="pct"/>
              <w:jc w:val="center"/>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620"/>
              <w:gridCol w:w="1102"/>
              <w:gridCol w:w="1531"/>
              <w:gridCol w:w="1423"/>
              <w:gridCol w:w="1164"/>
              <w:gridCol w:w="1363"/>
              <w:gridCol w:w="1191"/>
            </w:tblGrid>
            <w:tr w14:paraId="3126311C">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30" w:hRule="atLeast"/>
                <w:jc w:val="center"/>
              </w:trPr>
              <w:tc>
                <w:tcPr>
                  <w:tcW w:w="369" w:type="pct"/>
                  <w:tcBorders>
                    <w:top w:val="single" w:color="000000" w:sz="12" w:space="0"/>
                    <w:left w:val="nil"/>
                    <w:bottom w:val="single" w:color="auto" w:sz="4" w:space="0"/>
                    <w:right w:val="single" w:color="auto" w:sz="4" w:space="0"/>
                    <w:tl2br w:val="nil"/>
                  </w:tcBorders>
                  <w:shd w:val="clear" w:color="auto" w:fill="auto"/>
                  <w:vAlign w:val="center"/>
                </w:tcPr>
                <w:p w14:paraId="56466A32">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污染物类别</w:t>
                  </w:r>
                </w:p>
              </w:tc>
              <w:tc>
                <w:tcPr>
                  <w:tcW w:w="656" w:type="pct"/>
                  <w:tcBorders>
                    <w:top w:val="single" w:color="000000" w:sz="12" w:space="0"/>
                    <w:left w:val="single" w:color="auto" w:sz="4" w:space="0"/>
                    <w:bottom w:val="single" w:color="auto" w:sz="4" w:space="0"/>
                    <w:right w:val="single" w:color="auto" w:sz="4" w:space="0"/>
                  </w:tcBorders>
                  <w:shd w:val="clear" w:color="auto" w:fill="auto"/>
                  <w:vAlign w:val="center"/>
                </w:tcPr>
                <w:p w14:paraId="1C27674A">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污染物因子</w:t>
                  </w:r>
                </w:p>
              </w:tc>
              <w:tc>
                <w:tcPr>
                  <w:tcW w:w="911" w:type="pct"/>
                  <w:tcBorders>
                    <w:top w:val="single" w:color="000000" w:sz="12" w:space="0"/>
                    <w:left w:val="single" w:color="auto" w:sz="4" w:space="0"/>
                    <w:bottom w:val="single" w:color="auto" w:sz="4" w:space="0"/>
                    <w:right w:val="single" w:color="auto" w:sz="4" w:space="0"/>
                  </w:tcBorders>
                  <w:shd w:val="clear" w:color="auto" w:fill="auto"/>
                  <w:vAlign w:val="center"/>
                </w:tcPr>
                <w:p w14:paraId="0BFD0BE7">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现有工程实际排放量（固体废物的产生量）</w:t>
                  </w:r>
                </w:p>
              </w:tc>
              <w:tc>
                <w:tcPr>
                  <w:tcW w:w="847" w:type="pct"/>
                  <w:tcBorders>
                    <w:top w:val="single" w:color="000000" w:sz="12" w:space="0"/>
                    <w:left w:val="single" w:color="auto" w:sz="4" w:space="0"/>
                    <w:bottom w:val="single" w:color="auto" w:sz="4" w:space="0"/>
                    <w:right w:val="single" w:color="auto" w:sz="4" w:space="0"/>
                  </w:tcBorders>
                  <w:shd w:val="clear" w:color="auto" w:fill="auto"/>
                  <w:vAlign w:val="center"/>
                </w:tcPr>
                <w:p w14:paraId="5AFDAFEF">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本次迁扩建项目排放量（固体废物的产生量）</w:t>
                  </w:r>
                </w:p>
              </w:tc>
              <w:tc>
                <w:tcPr>
                  <w:tcW w:w="693" w:type="pct"/>
                  <w:tcBorders>
                    <w:top w:val="single" w:color="000000" w:sz="12" w:space="0"/>
                    <w:left w:val="single" w:color="auto" w:sz="4" w:space="0"/>
                    <w:bottom w:val="single" w:color="auto" w:sz="4" w:space="0"/>
                    <w:right w:val="single" w:color="auto" w:sz="4" w:space="0"/>
                  </w:tcBorders>
                  <w:shd w:val="clear" w:color="auto" w:fill="auto"/>
                  <w:vAlign w:val="center"/>
                </w:tcPr>
                <w:p w14:paraId="0FDF5725">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以新带老削减量</w:t>
                  </w:r>
                </w:p>
              </w:tc>
              <w:tc>
                <w:tcPr>
                  <w:tcW w:w="811" w:type="pct"/>
                  <w:tcBorders>
                    <w:top w:val="single" w:color="000000" w:sz="12" w:space="0"/>
                    <w:left w:val="single" w:color="auto" w:sz="4" w:space="0"/>
                    <w:bottom w:val="single" w:color="auto" w:sz="4" w:space="0"/>
                    <w:right w:val="single" w:color="auto" w:sz="4" w:space="0"/>
                  </w:tcBorders>
                  <w:shd w:val="clear" w:color="auto" w:fill="auto"/>
                  <w:vAlign w:val="center"/>
                </w:tcPr>
                <w:p w14:paraId="679C4765">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总体工程排放量（固体废物的产生量）</w:t>
                  </w:r>
                </w:p>
              </w:tc>
              <w:tc>
                <w:tcPr>
                  <w:tcW w:w="709" w:type="pct"/>
                  <w:tcBorders>
                    <w:top w:val="single" w:color="000000" w:sz="12" w:space="0"/>
                    <w:left w:val="single" w:color="auto" w:sz="4" w:space="0"/>
                    <w:bottom w:val="single" w:color="auto" w:sz="4" w:space="0"/>
                    <w:right w:val="nil"/>
                  </w:tcBorders>
                  <w:shd w:val="clear" w:color="auto" w:fill="auto"/>
                  <w:vAlign w:val="center"/>
                </w:tcPr>
                <w:p w14:paraId="5009F891">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变化量</w:t>
                  </w:r>
                </w:p>
              </w:tc>
            </w:tr>
            <w:tr w14:paraId="02B55DE5">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69" w:type="pct"/>
                  <w:vMerge w:val="restart"/>
                  <w:tcBorders>
                    <w:top w:val="single" w:color="auto" w:sz="4" w:space="0"/>
                    <w:left w:val="nil"/>
                    <w:bottom w:val="single" w:color="auto" w:sz="4" w:space="0"/>
                    <w:right w:val="single" w:color="auto" w:sz="4" w:space="0"/>
                  </w:tcBorders>
                  <w:shd w:val="clear" w:color="auto" w:fill="auto"/>
                  <w:vAlign w:val="center"/>
                </w:tcPr>
                <w:p w14:paraId="104CD7E0">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废水</w:t>
                  </w:r>
                </w:p>
              </w:tc>
              <w:tc>
                <w:tcPr>
                  <w:tcW w:w="656" w:type="pct"/>
                  <w:tcBorders>
                    <w:top w:val="single" w:color="auto" w:sz="4" w:space="0"/>
                    <w:left w:val="single" w:color="auto" w:sz="4" w:space="0"/>
                    <w:bottom w:val="single" w:color="auto" w:sz="4" w:space="0"/>
                    <w:right w:val="single" w:color="auto" w:sz="4" w:space="0"/>
                  </w:tcBorders>
                  <w:shd w:val="clear" w:color="auto" w:fill="auto"/>
                  <w:vAlign w:val="center"/>
                </w:tcPr>
                <w:p w14:paraId="0B78EF53">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废水量</w:t>
                  </w:r>
                </w:p>
              </w:tc>
              <w:tc>
                <w:tcPr>
                  <w:tcW w:w="911" w:type="pct"/>
                  <w:tcBorders>
                    <w:top w:val="single" w:color="auto" w:sz="4" w:space="0"/>
                    <w:left w:val="single" w:color="auto" w:sz="4" w:space="0"/>
                    <w:bottom w:val="single" w:color="auto" w:sz="4" w:space="0"/>
                    <w:right w:val="single" w:color="auto" w:sz="4" w:space="0"/>
                  </w:tcBorders>
                  <w:shd w:val="clear" w:color="auto" w:fill="auto"/>
                  <w:vAlign w:val="center"/>
                </w:tcPr>
                <w:p w14:paraId="52AD03C5">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120</w:t>
                  </w:r>
                </w:p>
              </w:tc>
              <w:tc>
                <w:tcPr>
                  <w:tcW w:w="847" w:type="pct"/>
                  <w:tcBorders>
                    <w:top w:val="single" w:color="auto" w:sz="4" w:space="0"/>
                    <w:left w:val="single" w:color="auto" w:sz="4" w:space="0"/>
                    <w:bottom w:val="single" w:color="auto" w:sz="4" w:space="0"/>
                    <w:right w:val="single" w:color="auto" w:sz="4" w:space="0"/>
                  </w:tcBorders>
                  <w:shd w:val="clear" w:color="auto" w:fill="auto"/>
                  <w:vAlign w:val="center"/>
                </w:tcPr>
                <w:p w14:paraId="3E1C8981">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156</w:t>
                  </w:r>
                </w:p>
              </w:tc>
              <w:tc>
                <w:tcPr>
                  <w:tcW w:w="693" w:type="pct"/>
                  <w:tcBorders>
                    <w:top w:val="single" w:color="auto" w:sz="4" w:space="0"/>
                    <w:left w:val="single" w:color="auto" w:sz="4" w:space="0"/>
                    <w:bottom w:val="single" w:color="auto" w:sz="4" w:space="0"/>
                    <w:right w:val="single" w:color="auto" w:sz="4" w:space="0"/>
                  </w:tcBorders>
                  <w:shd w:val="clear" w:color="auto" w:fill="auto"/>
                  <w:vAlign w:val="center"/>
                </w:tcPr>
                <w:p w14:paraId="3287991E">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120</w:t>
                  </w:r>
                </w:p>
              </w:tc>
              <w:tc>
                <w:tcPr>
                  <w:tcW w:w="811" w:type="pct"/>
                  <w:tcBorders>
                    <w:top w:val="single" w:color="auto" w:sz="4" w:space="0"/>
                    <w:left w:val="single" w:color="auto" w:sz="4" w:space="0"/>
                    <w:bottom w:val="single" w:color="auto" w:sz="4" w:space="0"/>
                    <w:right w:val="single" w:color="auto" w:sz="4" w:space="0"/>
                  </w:tcBorders>
                  <w:shd w:val="clear" w:color="auto" w:fill="auto"/>
                  <w:vAlign w:val="center"/>
                </w:tcPr>
                <w:p w14:paraId="487C0295">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156</w:t>
                  </w:r>
                </w:p>
              </w:tc>
              <w:tc>
                <w:tcPr>
                  <w:tcW w:w="709" w:type="pct"/>
                  <w:tcBorders>
                    <w:top w:val="single" w:color="auto" w:sz="4" w:space="0"/>
                    <w:left w:val="single" w:color="auto" w:sz="4" w:space="0"/>
                    <w:bottom w:val="single" w:color="auto" w:sz="4" w:space="0"/>
                    <w:right w:val="nil"/>
                  </w:tcBorders>
                  <w:shd w:val="clear" w:color="auto" w:fill="auto"/>
                  <w:vAlign w:val="center"/>
                </w:tcPr>
                <w:p w14:paraId="3F8DF04F">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eastAsia"/>
                      <w:b w:val="0"/>
                      <w:color w:val="000000"/>
                      <w:szCs w:val="22"/>
                      <w:lang w:val="en-US" w:eastAsia="zh-CN"/>
                    </w:rPr>
                    <w:t>+</w:t>
                  </w:r>
                  <w:r>
                    <w:rPr>
                      <w:rFonts w:hint="default"/>
                      <w:b w:val="0"/>
                      <w:color w:val="000000"/>
                      <w:szCs w:val="22"/>
                      <w:lang w:val="en-US" w:eastAsia="zh-CN"/>
                    </w:rPr>
                    <w:t>36</w:t>
                  </w:r>
                </w:p>
              </w:tc>
            </w:tr>
            <w:tr w14:paraId="005D04CB">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5" w:hRule="atLeast"/>
                <w:jc w:val="center"/>
              </w:trPr>
              <w:tc>
                <w:tcPr>
                  <w:tcW w:w="369" w:type="pct"/>
                  <w:vMerge w:val="continue"/>
                  <w:tcBorders>
                    <w:top w:val="single" w:color="auto" w:sz="4" w:space="0"/>
                    <w:left w:val="nil"/>
                    <w:bottom w:val="single" w:color="auto" w:sz="4" w:space="0"/>
                    <w:right w:val="single" w:color="auto" w:sz="4" w:space="0"/>
                  </w:tcBorders>
                  <w:shd w:val="clear" w:color="auto" w:fill="auto"/>
                  <w:vAlign w:val="center"/>
                </w:tcPr>
                <w:p w14:paraId="33CB6F04">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656" w:type="pct"/>
                  <w:tcBorders>
                    <w:top w:val="single" w:color="auto" w:sz="4" w:space="0"/>
                    <w:left w:val="single" w:color="auto" w:sz="4" w:space="0"/>
                    <w:bottom w:val="single" w:color="auto" w:sz="4" w:space="0"/>
                    <w:right w:val="single" w:color="auto" w:sz="4" w:space="0"/>
                  </w:tcBorders>
                  <w:shd w:val="clear" w:color="auto" w:fill="auto"/>
                  <w:vAlign w:val="center"/>
                </w:tcPr>
                <w:p w14:paraId="7D2043EB">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COD</w:t>
                  </w:r>
                </w:p>
              </w:tc>
              <w:tc>
                <w:tcPr>
                  <w:tcW w:w="911" w:type="pct"/>
                  <w:tcBorders>
                    <w:top w:val="single" w:color="auto" w:sz="4" w:space="0"/>
                    <w:left w:val="single" w:color="auto" w:sz="4" w:space="0"/>
                    <w:bottom w:val="single" w:color="auto" w:sz="4" w:space="0"/>
                    <w:right w:val="single" w:color="auto" w:sz="4" w:space="0"/>
                  </w:tcBorders>
                  <w:shd w:val="clear" w:color="auto" w:fill="auto"/>
                  <w:vAlign w:val="center"/>
                </w:tcPr>
                <w:p w14:paraId="6BD74902">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0.0467</w:t>
                  </w:r>
                </w:p>
              </w:tc>
              <w:tc>
                <w:tcPr>
                  <w:tcW w:w="847" w:type="pct"/>
                  <w:tcBorders>
                    <w:top w:val="single" w:color="auto" w:sz="4" w:space="0"/>
                    <w:left w:val="single" w:color="auto" w:sz="4" w:space="0"/>
                    <w:bottom w:val="single" w:color="auto" w:sz="4" w:space="0"/>
                    <w:right w:val="single" w:color="auto" w:sz="4" w:space="0"/>
                  </w:tcBorders>
                  <w:shd w:val="clear" w:color="auto" w:fill="auto"/>
                  <w:vAlign w:val="center"/>
                </w:tcPr>
                <w:p w14:paraId="23F91845">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0.0497</w:t>
                  </w:r>
                </w:p>
              </w:tc>
              <w:tc>
                <w:tcPr>
                  <w:tcW w:w="693" w:type="pct"/>
                  <w:tcBorders>
                    <w:top w:val="single" w:color="auto" w:sz="4" w:space="0"/>
                    <w:left w:val="single" w:color="auto" w:sz="4" w:space="0"/>
                    <w:bottom w:val="single" w:color="auto" w:sz="4" w:space="0"/>
                    <w:right w:val="single" w:color="auto" w:sz="4" w:space="0"/>
                  </w:tcBorders>
                  <w:shd w:val="clear" w:color="auto" w:fill="auto"/>
                  <w:vAlign w:val="center"/>
                </w:tcPr>
                <w:p w14:paraId="36AE7BAA">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0.0467</w:t>
                  </w:r>
                </w:p>
              </w:tc>
              <w:tc>
                <w:tcPr>
                  <w:tcW w:w="811" w:type="pct"/>
                  <w:tcBorders>
                    <w:top w:val="single" w:color="auto" w:sz="4" w:space="0"/>
                    <w:left w:val="single" w:color="auto" w:sz="4" w:space="0"/>
                    <w:bottom w:val="single" w:color="auto" w:sz="4" w:space="0"/>
                    <w:right w:val="single" w:color="auto" w:sz="4" w:space="0"/>
                  </w:tcBorders>
                  <w:shd w:val="clear" w:color="auto" w:fill="auto"/>
                  <w:vAlign w:val="center"/>
                </w:tcPr>
                <w:p w14:paraId="6E0650A3">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0.0497</w:t>
                  </w:r>
                </w:p>
              </w:tc>
              <w:tc>
                <w:tcPr>
                  <w:tcW w:w="709" w:type="pct"/>
                  <w:tcBorders>
                    <w:top w:val="single" w:color="auto" w:sz="4" w:space="0"/>
                    <w:left w:val="single" w:color="auto" w:sz="4" w:space="0"/>
                    <w:bottom w:val="single" w:color="auto" w:sz="4" w:space="0"/>
                    <w:right w:val="nil"/>
                  </w:tcBorders>
                  <w:shd w:val="clear" w:color="auto" w:fill="auto"/>
                  <w:vAlign w:val="center"/>
                </w:tcPr>
                <w:p w14:paraId="4A9D5E21">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eastAsia"/>
                      <w:b w:val="0"/>
                      <w:color w:val="000000"/>
                      <w:szCs w:val="22"/>
                      <w:lang w:val="en-US" w:eastAsia="zh-CN"/>
                    </w:rPr>
                    <w:t>+</w:t>
                  </w:r>
                  <w:r>
                    <w:rPr>
                      <w:rFonts w:hint="default"/>
                      <w:b w:val="0"/>
                      <w:color w:val="000000"/>
                      <w:szCs w:val="22"/>
                      <w:lang w:val="en-US" w:eastAsia="zh-CN"/>
                    </w:rPr>
                    <w:t>0.003</w:t>
                  </w:r>
                </w:p>
              </w:tc>
            </w:tr>
            <w:tr w14:paraId="64FBA12E">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0" w:hRule="atLeast"/>
                <w:jc w:val="center"/>
              </w:trPr>
              <w:tc>
                <w:tcPr>
                  <w:tcW w:w="369" w:type="pct"/>
                  <w:vMerge w:val="continue"/>
                  <w:tcBorders>
                    <w:top w:val="single" w:color="auto" w:sz="4" w:space="0"/>
                    <w:left w:val="nil"/>
                    <w:bottom w:val="single" w:color="auto" w:sz="4" w:space="0"/>
                    <w:right w:val="single" w:color="auto" w:sz="4" w:space="0"/>
                  </w:tcBorders>
                  <w:shd w:val="clear" w:color="auto" w:fill="auto"/>
                  <w:vAlign w:val="center"/>
                </w:tcPr>
                <w:p w14:paraId="49B357CD">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656" w:type="pct"/>
                  <w:tcBorders>
                    <w:top w:val="single" w:color="auto" w:sz="4" w:space="0"/>
                    <w:left w:val="single" w:color="auto" w:sz="4" w:space="0"/>
                    <w:bottom w:val="single" w:color="auto" w:sz="4" w:space="0"/>
                    <w:right w:val="single" w:color="auto" w:sz="4" w:space="0"/>
                  </w:tcBorders>
                  <w:shd w:val="clear" w:color="auto" w:fill="auto"/>
                  <w:vAlign w:val="center"/>
                </w:tcPr>
                <w:p w14:paraId="6801A340">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eastAsia"/>
                      <w:b w:val="0"/>
                      <w:color w:val="000000"/>
                      <w:szCs w:val="22"/>
                      <w:lang w:val="en-US" w:eastAsia="zh-CN"/>
                    </w:rPr>
                    <w:t>BOD</w:t>
                  </w:r>
                  <w:r>
                    <w:rPr>
                      <w:rFonts w:hint="eastAsia"/>
                      <w:b w:val="0"/>
                      <w:color w:val="000000"/>
                      <w:szCs w:val="22"/>
                      <w:vertAlign w:val="subscript"/>
                      <w:lang w:val="en-US" w:eastAsia="zh-CN"/>
                    </w:rPr>
                    <w:t>5</w:t>
                  </w:r>
                </w:p>
              </w:tc>
              <w:tc>
                <w:tcPr>
                  <w:tcW w:w="911" w:type="pct"/>
                  <w:tcBorders>
                    <w:top w:val="single" w:color="auto" w:sz="4" w:space="0"/>
                    <w:left w:val="single" w:color="auto" w:sz="4" w:space="0"/>
                    <w:bottom w:val="single" w:color="auto" w:sz="4" w:space="0"/>
                    <w:right w:val="single" w:color="auto" w:sz="4" w:space="0"/>
                  </w:tcBorders>
                  <w:shd w:val="clear" w:color="auto" w:fill="auto"/>
                  <w:vAlign w:val="center"/>
                </w:tcPr>
                <w:p w14:paraId="1B35F0B6">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0.0149</w:t>
                  </w:r>
                </w:p>
              </w:tc>
              <w:tc>
                <w:tcPr>
                  <w:tcW w:w="847" w:type="pct"/>
                  <w:tcBorders>
                    <w:top w:val="single" w:color="auto" w:sz="4" w:space="0"/>
                    <w:left w:val="single" w:color="auto" w:sz="4" w:space="0"/>
                    <w:bottom w:val="single" w:color="auto" w:sz="4" w:space="0"/>
                    <w:right w:val="single" w:color="auto" w:sz="4" w:space="0"/>
                  </w:tcBorders>
                  <w:shd w:val="clear" w:color="auto" w:fill="auto"/>
                  <w:vAlign w:val="center"/>
                </w:tcPr>
                <w:p w14:paraId="3A7C7CFE">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0.0271</w:t>
                  </w:r>
                </w:p>
              </w:tc>
              <w:tc>
                <w:tcPr>
                  <w:tcW w:w="693" w:type="pct"/>
                  <w:tcBorders>
                    <w:top w:val="single" w:color="auto" w:sz="4" w:space="0"/>
                    <w:left w:val="single" w:color="auto" w:sz="4" w:space="0"/>
                    <w:bottom w:val="single" w:color="auto" w:sz="4" w:space="0"/>
                    <w:right w:val="single" w:color="auto" w:sz="4" w:space="0"/>
                  </w:tcBorders>
                  <w:shd w:val="clear" w:color="auto" w:fill="auto"/>
                  <w:vAlign w:val="center"/>
                </w:tcPr>
                <w:p w14:paraId="7A1A6FB2">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0.0149</w:t>
                  </w:r>
                </w:p>
              </w:tc>
              <w:tc>
                <w:tcPr>
                  <w:tcW w:w="811" w:type="pct"/>
                  <w:tcBorders>
                    <w:top w:val="single" w:color="auto" w:sz="4" w:space="0"/>
                    <w:left w:val="single" w:color="auto" w:sz="4" w:space="0"/>
                    <w:bottom w:val="single" w:color="auto" w:sz="4" w:space="0"/>
                    <w:right w:val="single" w:color="auto" w:sz="4" w:space="0"/>
                  </w:tcBorders>
                  <w:shd w:val="clear" w:color="auto" w:fill="auto"/>
                  <w:vAlign w:val="center"/>
                </w:tcPr>
                <w:p w14:paraId="40FF7B30">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0.0271</w:t>
                  </w:r>
                </w:p>
              </w:tc>
              <w:tc>
                <w:tcPr>
                  <w:tcW w:w="709" w:type="pct"/>
                  <w:tcBorders>
                    <w:top w:val="single" w:color="auto" w:sz="4" w:space="0"/>
                    <w:left w:val="single" w:color="auto" w:sz="4" w:space="0"/>
                    <w:bottom w:val="single" w:color="auto" w:sz="4" w:space="0"/>
                    <w:right w:val="nil"/>
                  </w:tcBorders>
                  <w:shd w:val="clear" w:color="auto" w:fill="auto"/>
                  <w:vAlign w:val="center"/>
                </w:tcPr>
                <w:p w14:paraId="01F2925B">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eastAsia"/>
                      <w:b w:val="0"/>
                      <w:color w:val="000000"/>
                      <w:szCs w:val="22"/>
                      <w:lang w:val="en-US" w:eastAsia="zh-CN"/>
                    </w:rPr>
                    <w:t>+</w:t>
                  </w:r>
                  <w:r>
                    <w:rPr>
                      <w:rFonts w:hint="default"/>
                      <w:b w:val="0"/>
                      <w:color w:val="000000"/>
                      <w:szCs w:val="22"/>
                      <w:lang w:val="en-US" w:eastAsia="zh-CN"/>
                    </w:rPr>
                    <w:t>0.0122</w:t>
                  </w:r>
                </w:p>
              </w:tc>
            </w:tr>
            <w:tr w14:paraId="751B2BE9">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5" w:hRule="atLeast"/>
                <w:jc w:val="center"/>
              </w:trPr>
              <w:tc>
                <w:tcPr>
                  <w:tcW w:w="369" w:type="pct"/>
                  <w:vMerge w:val="continue"/>
                  <w:tcBorders>
                    <w:top w:val="single" w:color="auto" w:sz="4" w:space="0"/>
                    <w:left w:val="nil"/>
                    <w:bottom w:val="single" w:color="auto" w:sz="4" w:space="0"/>
                    <w:right w:val="single" w:color="auto" w:sz="4" w:space="0"/>
                  </w:tcBorders>
                  <w:shd w:val="clear" w:color="auto" w:fill="auto"/>
                  <w:vAlign w:val="center"/>
                </w:tcPr>
                <w:p w14:paraId="099C5B2C">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656" w:type="pct"/>
                  <w:tcBorders>
                    <w:top w:val="single" w:color="auto" w:sz="4" w:space="0"/>
                    <w:left w:val="single" w:color="auto" w:sz="4" w:space="0"/>
                    <w:bottom w:val="single" w:color="auto" w:sz="4" w:space="0"/>
                    <w:right w:val="single" w:color="auto" w:sz="4" w:space="0"/>
                  </w:tcBorders>
                  <w:shd w:val="clear" w:color="auto" w:fill="auto"/>
                  <w:vAlign w:val="center"/>
                </w:tcPr>
                <w:p w14:paraId="43DB9634">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SS</w:t>
                  </w:r>
                </w:p>
              </w:tc>
              <w:tc>
                <w:tcPr>
                  <w:tcW w:w="911" w:type="pct"/>
                  <w:tcBorders>
                    <w:top w:val="single" w:color="auto" w:sz="4" w:space="0"/>
                    <w:left w:val="single" w:color="auto" w:sz="4" w:space="0"/>
                    <w:bottom w:val="single" w:color="auto" w:sz="4" w:space="0"/>
                    <w:right w:val="single" w:color="auto" w:sz="4" w:space="0"/>
                  </w:tcBorders>
                  <w:shd w:val="clear" w:color="auto" w:fill="auto"/>
                  <w:vAlign w:val="center"/>
                </w:tcPr>
                <w:p w14:paraId="483E5555">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0.0038</w:t>
                  </w:r>
                </w:p>
              </w:tc>
              <w:tc>
                <w:tcPr>
                  <w:tcW w:w="847" w:type="pct"/>
                  <w:tcBorders>
                    <w:top w:val="single" w:color="auto" w:sz="4" w:space="0"/>
                    <w:left w:val="single" w:color="auto" w:sz="4" w:space="0"/>
                    <w:bottom w:val="single" w:color="auto" w:sz="4" w:space="0"/>
                    <w:right w:val="single" w:color="auto" w:sz="4" w:space="0"/>
                  </w:tcBorders>
                  <w:shd w:val="clear" w:color="auto" w:fill="auto"/>
                  <w:vAlign w:val="center"/>
                </w:tcPr>
                <w:p w14:paraId="4D065861">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0.0165</w:t>
                  </w:r>
                </w:p>
              </w:tc>
              <w:tc>
                <w:tcPr>
                  <w:tcW w:w="693" w:type="pct"/>
                  <w:tcBorders>
                    <w:top w:val="single" w:color="auto" w:sz="4" w:space="0"/>
                    <w:left w:val="single" w:color="auto" w:sz="4" w:space="0"/>
                    <w:bottom w:val="single" w:color="auto" w:sz="4" w:space="0"/>
                    <w:right w:val="single" w:color="auto" w:sz="4" w:space="0"/>
                  </w:tcBorders>
                  <w:shd w:val="clear" w:color="auto" w:fill="auto"/>
                  <w:vAlign w:val="center"/>
                </w:tcPr>
                <w:p w14:paraId="588CB82F">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0.0038</w:t>
                  </w:r>
                </w:p>
              </w:tc>
              <w:tc>
                <w:tcPr>
                  <w:tcW w:w="811" w:type="pct"/>
                  <w:tcBorders>
                    <w:top w:val="single" w:color="auto" w:sz="4" w:space="0"/>
                    <w:left w:val="single" w:color="auto" w:sz="4" w:space="0"/>
                    <w:bottom w:val="single" w:color="auto" w:sz="4" w:space="0"/>
                    <w:right w:val="single" w:color="auto" w:sz="4" w:space="0"/>
                  </w:tcBorders>
                  <w:shd w:val="clear" w:color="auto" w:fill="auto"/>
                  <w:vAlign w:val="center"/>
                </w:tcPr>
                <w:p w14:paraId="3E092E6C">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0.0165</w:t>
                  </w:r>
                </w:p>
              </w:tc>
              <w:tc>
                <w:tcPr>
                  <w:tcW w:w="709" w:type="pct"/>
                  <w:tcBorders>
                    <w:top w:val="single" w:color="auto" w:sz="4" w:space="0"/>
                    <w:left w:val="single" w:color="auto" w:sz="4" w:space="0"/>
                    <w:bottom w:val="single" w:color="auto" w:sz="4" w:space="0"/>
                    <w:right w:val="nil"/>
                  </w:tcBorders>
                  <w:shd w:val="clear" w:color="auto" w:fill="auto"/>
                  <w:vAlign w:val="center"/>
                </w:tcPr>
                <w:p w14:paraId="220A9ABC">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eastAsia"/>
                      <w:b w:val="0"/>
                      <w:color w:val="000000"/>
                      <w:szCs w:val="22"/>
                      <w:lang w:val="en-US" w:eastAsia="zh-CN"/>
                    </w:rPr>
                    <w:t>+</w:t>
                  </w:r>
                  <w:r>
                    <w:rPr>
                      <w:rFonts w:hint="default"/>
                      <w:b w:val="0"/>
                      <w:color w:val="000000"/>
                      <w:szCs w:val="22"/>
                      <w:lang w:val="en-US" w:eastAsia="zh-CN"/>
                    </w:rPr>
                    <w:t>0.0127</w:t>
                  </w:r>
                </w:p>
              </w:tc>
            </w:tr>
            <w:tr w14:paraId="33FDCBCA">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0" w:hRule="atLeast"/>
                <w:jc w:val="center"/>
              </w:trPr>
              <w:tc>
                <w:tcPr>
                  <w:tcW w:w="369" w:type="pct"/>
                  <w:vMerge w:val="continue"/>
                  <w:tcBorders>
                    <w:top w:val="single" w:color="auto" w:sz="4" w:space="0"/>
                    <w:left w:val="nil"/>
                    <w:bottom w:val="single" w:color="auto" w:sz="4" w:space="0"/>
                    <w:right w:val="single" w:color="auto" w:sz="4" w:space="0"/>
                  </w:tcBorders>
                  <w:shd w:val="clear" w:color="auto" w:fill="auto"/>
                  <w:vAlign w:val="center"/>
                </w:tcPr>
                <w:p w14:paraId="363BC627">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656" w:type="pct"/>
                  <w:tcBorders>
                    <w:top w:val="single" w:color="auto" w:sz="4" w:space="0"/>
                    <w:left w:val="single" w:color="auto" w:sz="4" w:space="0"/>
                    <w:bottom w:val="single" w:color="auto" w:sz="4" w:space="0"/>
                    <w:right w:val="single" w:color="auto" w:sz="4" w:space="0"/>
                  </w:tcBorders>
                  <w:shd w:val="clear" w:color="auto" w:fill="auto"/>
                  <w:vAlign w:val="center"/>
                </w:tcPr>
                <w:p w14:paraId="381D05FE">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eastAsia"/>
                      <w:b w:val="0"/>
                      <w:color w:val="000000"/>
                      <w:szCs w:val="22"/>
                      <w:lang w:val="en-US" w:eastAsia="zh-CN"/>
                    </w:rPr>
                    <w:t>NH</w:t>
                  </w:r>
                  <w:r>
                    <w:rPr>
                      <w:rFonts w:hint="eastAsia"/>
                      <w:b w:val="0"/>
                      <w:color w:val="000000"/>
                      <w:szCs w:val="22"/>
                      <w:vertAlign w:val="subscript"/>
                      <w:lang w:val="en-US" w:eastAsia="zh-CN"/>
                    </w:rPr>
                    <w:t>3</w:t>
                  </w:r>
                  <w:r>
                    <w:rPr>
                      <w:rFonts w:hint="eastAsia"/>
                      <w:b w:val="0"/>
                      <w:color w:val="000000"/>
                      <w:szCs w:val="22"/>
                      <w:lang w:val="en-US" w:eastAsia="zh-CN"/>
                    </w:rPr>
                    <w:t>-N</w:t>
                  </w:r>
                </w:p>
              </w:tc>
              <w:tc>
                <w:tcPr>
                  <w:tcW w:w="911" w:type="pct"/>
                  <w:tcBorders>
                    <w:top w:val="single" w:color="auto" w:sz="4" w:space="0"/>
                    <w:left w:val="single" w:color="auto" w:sz="4" w:space="0"/>
                    <w:bottom w:val="single" w:color="auto" w:sz="4" w:space="0"/>
                    <w:right w:val="single" w:color="auto" w:sz="4" w:space="0"/>
                  </w:tcBorders>
                  <w:shd w:val="clear" w:color="auto" w:fill="auto"/>
                  <w:vAlign w:val="center"/>
                </w:tcPr>
                <w:p w14:paraId="7AFE67B4">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0.0052</w:t>
                  </w:r>
                </w:p>
              </w:tc>
              <w:tc>
                <w:tcPr>
                  <w:tcW w:w="847" w:type="pct"/>
                  <w:tcBorders>
                    <w:top w:val="single" w:color="auto" w:sz="4" w:space="0"/>
                    <w:left w:val="single" w:color="auto" w:sz="4" w:space="0"/>
                    <w:bottom w:val="single" w:color="auto" w:sz="4" w:space="0"/>
                    <w:right w:val="single" w:color="auto" w:sz="4" w:space="0"/>
                  </w:tcBorders>
                  <w:shd w:val="clear" w:color="auto" w:fill="auto"/>
                  <w:vAlign w:val="center"/>
                </w:tcPr>
                <w:p w14:paraId="30A7BF83">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0.0053</w:t>
                  </w:r>
                </w:p>
              </w:tc>
              <w:tc>
                <w:tcPr>
                  <w:tcW w:w="693" w:type="pct"/>
                  <w:tcBorders>
                    <w:top w:val="single" w:color="auto" w:sz="4" w:space="0"/>
                    <w:left w:val="single" w:color="auto" w:sz="4" w:space="0"/>
                    <w:bottom w:val="single" w:color="auto" w:sz="4" w:space="0"/>
                    <w:right w:val="single" w:color="auto" w:sz="4" w:space="0"/>
                  </w:tcBorders>
                  <w:shd w:val="clear" w:color="auto" w:fill="auto"/>
                  <w:vAlign w:val="center"/>
                </w:tcPr>
                <w:p w14:paraId="6586D677">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0.0052</w:t>
                  </w:r>
                </w:p>
              </w:tc>
              <w:tc>
                <w:tcPr>
                  <w:tcW w:w="811" w:type="pct"/>
                  <w:tcBorders>
                    <w:top w:val="single" w:color="auto" w:sz="4" w:space="0"/>
                    <w:left w:val="single" w:color="auto" w:sz="4" w:space="0"/>
                    <w:bottom w:val="single" w:color="auto" w:sz="4" w:space="0"/>
                    <w:right w:val="single" w:color="auto" w:sz="4" w:space="0"/>
                  </w:tcBorders>
                  <w:shd w:val="clear" w:color="auto" w:fill="auto"/>
                  <w:vAlign w:val="center"/>
                </w:tcPr>
                <w:p w14:paraId="3FB18265">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0.0053</w:t>
                  </w:r>
                </w:p>
              </w:tc>
              <w:tc>
                <w:tcPr>
                  <w:tcW w:w="709" w:type="pct"/>
                  <w:tcBorders>
                    <w:top w:val="single" w:color="auto" w:sz="4" w:space="0"/>
                    <w:left w:val="single" w:color="auto" w:sz="4" w:space="0"/>
                    <w:bottom w:val="single" w:color="auto" w:sz="4" w:space="0"/>
                    <w:right w:val="nil"/>
                  </w:tcBorders>
                  <w:shd w:val="clear" w:color="auto" w:fill="auto"/>
                  <w:vAlign w:val="center"/>
                </w:tcPr>
                <w:p w14:paraId="454906E8">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eastAsia"/>
                      <w:b w:val="0"/>
                      <w:color w:val="000000"/>
                      <w:szCs w:val="22"/>
                      <w:lang w:val="en-US" w:eastAsia="zh-CN"/>
                    </w:rPr>
                    <w:t>+</w:t>
                  </w:r>
                  <w:r>
                    <w:rPr>
                      <w:rFonts w:hint="default"/>
                      <w:b w:val="0"/>
                      <w:color w:val="000000"/>
                      <w:szCs w:val="22"/>
                      <w:lang w:val="en-US" w:eastAsia="zh-CN"/>
                    </w:rPr>
                    <w:t>0.0001</w:t>
                  </w:r>
                </w:p>
              </w:tc>
            </w:tr>
            <w:tr w14:paraId="33A7898E">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0" w:hRule="atLeast"/>
                <w:jc w:val="center"/>
              </w:trPr>
              <w:tc>
                <w:tcPr>
                  <w:tcW w:w="369" w:type="pct"/>
                  <w:vMerge w:val="restart"/>
                  <w:tcBorders>
                    <w:top w:val="single" w:color="auto" w:sz="4" w:space="0"/>
                    <w:left w:val="nil"/>
                    <w:bottom w:val="single" w:color="auto" w:sz="4" w:space="0"/>
                    <w:right w:val="single" w:color="auto" w:sz="4" w:space="0"/>
                  </w:tcBorders>
                  <w:shd w:val="clear" w:color="auto" w:fill="auto"/>
                  <w:vAlign w:val="center"/>
                </w:tcPr>
                <w:p w14:paraId="76000085">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废气</w:t>
                  </w:r>
                </w:p>
              </w:tc>
              <w:tc>
                <w:tcPr>
                  <w:tcW w:w="656" w:type="pct"/>
                  <w:tcBorders>
                    <w:top w:val="single" w:color="auto" w:sz="4" w:space="0"/>
                    <w:left w:val="single" w:color="auto" w:sz="4" w:space="0"/>
                    <w:bottom w:val="single" w:color="auto" w:sz="4" w:space="0"/>
                    <w:right w:val="single" w:color="auto" w:sz="4" w:space="0"/>
                  </w:tcBorders>
                  <w:shd w:val="clear" w:color="auto" w:fill="auto"/>
                  <w:vAlign w:val="center"/>
                </w:tcPr>
                <w:p w14:paraId="7FC7807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非甲烷总烃</w:t>
                  </w:r>
                </w:p>
              </w:tc>
              <w:tc>
                <w:tcPr>
                  <w:tcW w:w="911" w:type="pct"/>
                  <w:tcBorders>
                    <w:top w:val="single" w:color="auto" w:sz="4" w:space="0"/>
                    <w:left w:val="single" w:color="auto" w:sz="4" w:space="0"/>
                    <w:bottom w:val="single" w:color="auto" w:sz="4" w:space="0"/>
                    <w:right w:val="single" w:color="auto" w:sz="4" w:space="0"/>
                  </w:tcBorders>
                  <w:shd w:val="clear" w:color="auto" w:fill="auto"/>
                  <w:vAlign w:val="center"/>
                </w:tcPr>
                <w:p w14:paraId="01176BFB">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0.407</w:t>
                  </w:r>
                </w:p>
              </w:tc>
              <w:tc>
                <w:tcPr>
                  <w:tcW w:w="847" w:type="pct"/>
                  <w:tcBorders>
                    <w:top w:val="single" w:color="auto" w:sz="4" w:space="0"/>
                    <w:left w:val="single" w:color="auto" w:sz="4" w:space="0"/>
                    <w:bottom w:val="single" w:color="auto" w:sz="4" w:space="0"/>
                    <w:right w:val="single" w:color="auto" w:sz="4" w:space="0"/>
                  </w:tcBorders>
                  <w:shd w:val="clear" w:color="auto" w:fill="auto"/>
                  <w:vAlign w:val="center"/>
                </w:tcPr>
                <w:p w14:paraId="2721D5F1">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0.4725</w:t>
                  </w:r>
                </w:p>
              </w:tc>
              <w:tc>
                <w:tcPr>
                  <w:tcW w:w="693" w:type="pct"/>
                  <w:tcBorders>
                    <w:top w:val="single" w:color="auto" w:sz="4" w:space="0"/>
                    <w:left w:val="single" w:color="auto" w:sz="4" w:space="0"/>
                    <w:bottom w:val="single" w:color="auto" w:sz="4" w:space="0"/>
                    <w:right w:val="single" w:color="auto" w:sz="4" w:space="0"/>
                  </w:tcBorders>
                  <w:shd w:val="clear" w:color="auto" w:fill="auto"/>
                  <w:vAlign w:val="center"/>
                </w:tcPr>
                <w:p w14:paraId="38E677BD">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0.407</w:t>
                  </w:r>
                </w:p>
              </w:tc>
              <w:tc>
                <w:tcPr>
                  <w:tcW w:w="811" w:type="pct"/>
                  <w:tcBorders>
                    <w:top w:val="single" w:color="auto" w:sz="4" w:space="0"/>
                    <w:left w:val="single" w:color="auto" w:sz="4" w:space="0"/>
                    <w:bottom w:val="single" w:color="auto" w:sz="4" w:space="0"/>
                    <w:right w:val="single" w:color="auto" w:sz="4" w:space="0"/>
                  </w:tcBorders>
                  <w:shd w:val="clear" w:color="auto" w:fill="auto"/>
                  <w:vAlign w:val="center"/>
                </w:tcPr>
                <w:p w14:paraId="48C6E4C5">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0.4725</w:t>
                  </w:r>
                </w:p>
              </w:tc>
              <w:tc>
                <w:tcPr>
                  <w:tcW w:w="709" w:type="pct"/>
                  <w:tcBorders>
                    <w:top w:val="single" w:color="auto" w:sz="4" w:space="0"/>
                    <w:left w:val="single" w:color="auto" w:sz="4" w:space="0"/>
                    <w:bottom w:val="single" w:color="auto" w:sz="4" w:space="0"/>
                    <w:right w:val="nil"/>
                  </w:tcBorders>
                  <w:shd w:val="clear" w:color="auto" w:fill="auto"/>
                  <w:vAlign w:val="center"/>
                </w:tcPr>
                <w:p w14:paraId="2DDF82F0">
                  <w:pPr>
                    <w:pStyle w:val="38"/>
                    <w:keepNext w:val="0"/>
                    <w:keepLines w:val="0"/>
                    <w:widowControl/>
                    <w:suppressLineNumbers w:val="0"/>
                    <w:bidi w:val="0"/>
                    <w:spacing w:before="0" w:beforeAutospacing="0" w:after="0" w:afterAutospacing="0"/>
                    <w:ind w:left="0" w:right="0"/>
                    <w:rPr>
                      <w:rFonts w:hint="default"/>
                      <w:szCs w:val="22"/>
                    </w:rPr>
                  </w:pPr>
                  <w:r>
                    <w:rPr>
                      <w:rFonts w:hint="eastAsia"/>
                      <w:szCs w:val="22"/>
                      <w:lang w:val="en-US" w:eastAsia="zh-CN"/>
                    </w:rPr>
                    <w:t>+</w:t>
                  </w:r>
                  <w:r>
                    <w:rPr>
                      <w:rFonts w:hint="default"/>
                      <w:szCs w:val="22"/>
                      <w:lang w:val="en-US" w:eastAsia="zh-CN"/>
                    </w:rPr>
                    <w:t>0.0655</w:t>
                  </w:r>
                </w:p>
              </w:tc>
            </w:tr>
            <w:tr w14:paraId="02AD3A3F">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69" w:type="pct"/>
                  <w:vMerge w:val="continue"/>
                  <w:tcBorders>
                    <w:top w:val="single" w:color="auto" w:sz="4" w:space="0"/>
                    <w:left w:val="nil"/>
                    <w:bottom w:val="single" w:color="auto" w:sz="4" w:space="0"/>
                    <w:right w:val="single" w:color="auto" w:sz="4" w:space="0"/>
                  </w:tcBorders>
                  <w:shd w:val="clear" w:color="auto" w:fill="auto"/>
                  <w:vAlign w:val="center"/>
                </w:tcPr>
                <w:p w14:paraId="19481B13">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656" w:type="pct"/>
                  <w:tcBorders>
                    <w:top w:val="single" w:color="auto" w:sz="4" w:space="0"/>
                    <w:left w:val="single" w:color="auto" w:sz="4" w:space="0"/>
                    <w:bottom w:val="single" w:color="auto" w:sz="4" w:space="0"/>
                    <w:right w:val="single" w:color="auto" w:sz="4" w:space="0"/>
                  </w:tcBorders>
                  <w:shd w:val="clear" w:color="auto" w:fill="auto"/>
                  <w:vAlign w:val="center"/>
                </w:tcPr>
                <w:p w14:paraId="080DF6AE">
                  <w:pPr>
                    <w:pStyle w:val="38"/>
                    <w:keepNext w:val="0"/>
                    <w:keepLines w:val="0"/>
                    <w:widowControl/>
                    <w:suppressLineNumbers w:val="0"/>
                    <w:bidi w:val="0"/>
                    <w:spacing w:before="0" w:beforeAutospacing="0" w:after="0" w:afterAutospacing="0"/>
                    <w:ind w:left="0" w:right="0"/>
                    <w:rPr>
                      <w:rFonts w:hint="default"/>
                      <w:szCs w:val="22"/>
                    </w:rPr>
                  </w:pPr>
                  <w:r>
                    <w:rPr>
                      <w:rFonts w:hint="eastAsia"/>
                      <w:szCs w:val="22"/>
                      <w:lang w:val="en-US" w:eastAsia="zh-CN"/>
                    </w:rPr>
                    <w:t>颗粒物</w:t>
                  </w:r>
                </w:p>
              </w:tc>
              <w:tc>
                <w:tcPr>
                  <w:tcW w:w="911" w:type="pct"/>
                  <w:tcBorders>
                    <w:top w:val="single" w:color="auto" w:sz="4" w:space="0"/>
                    <w:left w:val="single" w:color="auto" w:sz="4" w:space="0"/>
                    <w:bottom w:val="single" w:color="auto" w:sz="4" w:space="0"/>
                    <w:right w:val="single" w:color="auto" w:sz="4" w:space="0"/>
                  </w:tcBorders>
                  <w:shd w:val="clear" w:color="auto" w:fill="auto"/>
                  <w:vAlign w:val="center"/>
                </w:tcPr>
                <w:p w14:paraId="7A434EC3">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0.2532</w:t>
                  </w:r>
                </w:p>
              </w:tc>
              <w:tc>
                <w:tcPr>
                  <w:tcW w:w="847" w:type="pct"/>
                  <w:tcBorders>
                    <w:top w:val="single" w:color="auto" w:sz="4" w:space="0"/>
                    <w:left w:val="single" w:color="auto" w:sz="4" w:space="0"/>
                    <w:bottom w:val="single" w:color="auto" w:sz="4" w:space="0"/>
                    <w:right w:val="single" w:color="auto" w:sz="4" w:space="0"/>
                  </w:tcBorders>
                  <w:shd w:val="clear" w:color="auto" w:fill="auto"/>
                  <w:vAlign w:val="center"/>
                </w:tcPr>
                <w:p w14:paraId="29E81DC8">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0.2799</w:t>
                  </w:r>
                </w:p>
              </w:tc>
              <w:tc>
                <w:tcPr>
                  <w:tcW w:w="693" w:type="pct"/>
                  <w:tcBorders>
                    <w:top w:val="single" w:color="auto" w:sz="4" w:space="0"/>
                    <w:left w:val="single" w:color="auto" w:sz="4" w:space="0"/>
                    <w:bottom w:val="single" w:color="auto" w:sz="4" w:space="0"/>
                    <w:right w:val="single" w:color="auto" w:sz="4" w:space="0"/>
                  </w:tcBorders>
                  <w:shd w:val="clear" w:color="auto" w:fill="auto"/>
                  <w:vAlign w:val="center"/>
                </w:tcPr>
                <w:p w14:paraId="4C061EEF">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0.2532</w:t>
                  </w:r>
                </w:p>
              </w:tc>
              <w:tc>
                <w:tcPr>
                  <w:tcW w:w="811" w:type="pct"/>
                  <w:tcBorders>
                    <w:top w:val="single" w:color="auto" w:sz="4" w:space="0"/>
                    <w:left w:val="single" w:color="auto" w:sz="4" w:space="0"/>
                    <w:bottom w:val="single" w:color="auto" w:sz="4" w:space="0"/>
                    <w:right w:val="single" w:color="auto" w:sz="4" w:space="0"/>
                  </w:tcBorders>
                  <w:shd w:val="clear" w:color="auto" w:fill="auto"/>
                  <w:vAlign w:val="center"/>
                </w:tcPr>
                <w:p w14:paraId="3C109806">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0.2799</w:t>
                  </w:r>
                </w:p>
              </w:tc>
              <w:tc>
                <w:tcPr>
                  <w:tcW w:w="709" w:type="pct"/>
                  <w:tcBorders>
                    <w:top w:val="single" w:color="auto" w:sz="4" w:space="0"/>
                    <w:left w:val="single" w:color="auto" w:sz="4" w:space="0"/>
                    <w:bottom w:val="single" w:color="auto" w:sz="4" w:space="0"/>
                    <w:right w:val="nil"/>
                  </w:tcBorders>
                  <w:shd w:val="clear" w:color="auto" w:fill="auto"/>
                  <w:vAlign w:val="center"/>
                </w:tcPr>
                <w:p w14:paraId="3C80D14B">
                  <w:pPr>
                    <w:pStyle w:val="38"/>
                    <w:keepNext w:val="0"/>
                    <w:keepLines w:val="0"/>
                    <w:widowControl/>
                    <w:suppressLineNumbers w:val="0"/>
                    <w:bidi w:val="0"/>
                    <w:spacing w:before="0" w:beforeAutospacing="0" w:after="0" w:afterAutospacing="0"/>
                    <w:ind w:left="0" w:right="0"/>
                    <w:rPr>
                      <w:rFonts w:hint="default"/>
                      <w:szCs w:val="22"/>
                    </w:rPr>
                  </w:pPr>
                  <w:r>
                    <w:rPr>
                      <w:rFonts w:hint="eastAsia"/>
                      <w:szCs w:val="22"/>
                      <w:lang w:val="en-US" w:eastAsia="zh-CN"/>
                    </w:rPr>
                    <w:t>+</w:t>
                  </w:r>
                  <w:r>
                    <w:rPr>
                      <w:rFonts w:hint="default"/>
                      <w:szCs w:val="22"/>
                      <w:lang w:val="en-US" w:eastAsia="zh-CN"/>
                    </w:rPr>
                    <w:t>0.0267</w:t>
                  </w:r>
                </w:p>
              </w:tc>
            </w:tr>
            <w:tr w14:paraId="695E2B76">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69" w:type="pct"/>
                  <w:vMerge w:val="restart"/>
                  <w:tcBorders>
                    <w:top w:val="single" w:color="auto" w:sz="4" w:space="0"/>
                    <w:left w:val="nil"/>
                    <w:bottom w:val="single" w:color="auto" w:sz="4" w:space="0"/>
                    <w:right w:val="single" w:color="auto" w:sz="4" w:space="0"/>
                  </w:tcBorders>
                  <w:shd w:val="clear" w:color="auto" w:fill="auto"/>
                  <w:vAlign w:val="center"/>
                </w:tcPr>
                <w:p w14:paraId="7B8D2975">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固体废物</w:t>
                  </w:r>
                </w:p>
              </w:tc>
              <w:tc>
                <w:tcPr>
                  <w:tcW w:w="656" w:type="pct"/>
                  <w:tcBorders>
                    <w:top w:val="single" w:color="auto" w:sz="4" w:space="0"/>
                    <w:left w:val="single" w:color="auto" w:sz="4" w:space="0"/>
                    <w:bottom w:val="single" w:color="auto" w:sz="4" w:space="0"/>
                    <w:right w:val="single" w:color="auto" w:sz="4" w:space="0"/>
                  </w:tcBorders>
                  <w:shd w:val="clear" w:color="auto" w:fill="auto"/>
                  <w:vAlign w:val="center"/>
                </w:tcPr>
                <w:p w14:paraId="7691BA72">
                  <w:pPr>
                    <w:pStyle w:val="38"/>
                    <w:keepNext w:val="0"/>
                    <w:keepLines w:val="0"/>
                    <w:widowControl/>
                    <w:suppressLineNumbers w:val="0"/>
                    <w:bidi w:val="0"/>
                    <w:spacing w:before="0" w:beforeAutospacing="0" w:after="0" w:afterAutospacing="0"/>
                    <w:ind w:left="0" w:right="0"/>
                    <w:rPr>
                      <w:rFonts w:hint="eastAsia" w:eastAsia="宋体"/>
                      <w:b w:val="0"/>
                      <w:color w:val="000000"/>
                      <w:szCs w:val="22"/>
                      <w:lang w:val="en-US" w:eastAsia="zh-CN"/>
                    </w:rPr>
                  </w:pPr>
                  <w:r>
                    <w:rPr>
                      <w:rFonts w:hint="eastAsia"/>
                      <w:b w:val="0"/>
                      <w:color w:val="000000"/>
                      <w:szCs w:val="22"/>
                      <w:lang w:val="en-US" w:eastAsia="zh-CN"/>
                    </w:rPr>
                    <w:t>不合格产品</w:t>
                  </w:r>
                </w:p>
              </w:tc>
              <w:tc>
                <w:tcPr>
                  <w:tcW w:w="911" w:type="pct"/>
                  <w:tcBorders>
                    <w:top w:val="single" w:color="auto" w:sz="4" w:space="0"/>
                    <w:left w:val="single" w:color="auto" w:sz="4" w:space="0"/>
                    <w:bottom w:val="single" w:color="auto" w:sz="4" w:space="0"/>
                    <w:right w:val="single" w:color="auto" w:sz="4" w:space="0"/>
                  </w:tcBorders>
                  <w:shd w:val="clear" w:color="auto" w:fill="auto"/>
                  <w:vAlign w:val="center"/>
                </w:tcPr>
                <w:p w14:paraId="3F5D00BA">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0.9</w:t>
                  </w:r>
                  <w:r>
                    <w:rPr>
                      <w:rFonts w:hint="eastAsia"/>
                      <w:b w:val="0"/>
                      <w:color w:val="000000"/>
                      <w:szCs w:val="22"/>
                      <w:lang w:val="en-US" w:eastAsia="zh-CN"/>
                    </w:rPr>
                    <w:t>万套/年</w:t>
                  </w:r>
                </w:p>
              </w:tc>
              <w:tc>
                <w:tcPr>
                  <w:tcW w:w="847" w:type="pct"/>
                  <w:tcBorders>
                    <w:top w:val="single" w:color="auto" w:sz="4" w:space="0"/>
                    <w:left w:val="single" w:color="auto" w:sz="4" w:space="0"/>
                    <w:bottom w:val="single" w:color="auto" w:sz="4" w:space="0"/>
                    <w:right w:val="single" w:color="auto" w:sz="4" w:space="0"/>
                  </w:tcBorders>
                  <w:shd w:val="clear" w:color="auto" w:fill="auto"/>
                  <w:vAlign w:val="center"/>
                </w:tcPr>
                <w:p w14:paraId="6163C8AF">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1.854万套/年</w:t>
                  </w:r>
                </w:p>
              </w:tc>
              <w:tc>
                <w:tcPr>
                  <w:tcW w:w="693" w:type="pct"/>
                  <w:tcBorders>
                    <w:top w:val="single" w:color="auto" w:sz="4" w:space="0"/>
                    <w:left w:val="single" w:color="auto" w:sz="4" w:space="0"/>
                    <w:bottom w:val="single" w:color="auto" w:sz="4" w:space="0"/>
                    <w:right w:val="single" w:color="auto" w:sz="4" w:space="0"/>
                  </w:tcBorders>
                  <w:shd w:val="clear" w:color="auto" w:fill="auto"/>
                  <w:vAlign w:val="center"/>
                </w:tcPr>
                <w:p w14:paraId="60D16710">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0.9万套/年</w:t>
                  </w:r>
                </w:p>
              </w:tc>
              <w:tc>
                <w:tcPr>
                  <w:tcW w:w="811" w:type="pct"/>
                  <w:tcBorders>
                    <w:top w:val="single" w:color="auto" w:sz="4" w:space="0"/>
                    <w:left w:val="single" w:color="auto" w:sz="4" w:space="0"/>
                    <w:bottom w:val="single" w:color="auto" w:sz="4" w:space="0"/>
                    <w:right w:val="single" w:color="auto" w:sz="4" w:space="0"/>
                  </w:tcBorders>
                  <w:shd w:val="clear" w:color="auto" w:fill="auto"/>
                  <w:vAlign w:val="center"/>
                </w:tcPr>
                <w:p w14:paraId="331BDC41">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1.854万套/年</w:t>
                  </w:r>
                </w:p>
              </w:tc>
              <w:tc>
                <w:tcPr>
                  <w:tcW w:w="709" w:type="pct"/>
                  <w:tcBorders>
                    <w:top w:val="single" w:color="auto" w:sz="4" w:space="0"/>
                    <w:left w:val="single" w:color="auto" w:sz="4" w:space="0"/>
                    <w:bottom w:val="single" w:color="auto" w:sz="4" w:space="0"/>
                    <w:right w:val="nil"/>
                  </w:tcBorders>
                  <w:shd w:val="clear" w:color="auto" w:fill="auto"/>
                  <w:vAlign w:val="center"/>
                </w:tcPr>
                <w:p w14:paraId="7594FDC1">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+0.954</w:t>
                  </w:r>
                  <w:r>
                    <w:rPr>
                      <w:rFonts w:hint="eastAsia"/>
                      <w:b w:val="0"/>
                      <w:color w:val="000000"/>
                      <w:szCs w:val="22"/>
                      <w:lang w:val="en-US" w:eastAsia="zh-CN"/>
                    </w:rPr>
                    <w:t>万套/年</w:t>
                  </w:r>
                </w:p>
              </w:tc>
            </w:tr>
            <w:tr w14:paraId="774602B0">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69" w:type="pct"/>
                  <w:vMerge w:val="continue"/>
                  <w:tcBorders>
                    <w:top w:val="single" w:color="auto" w:sz="4" w:space="0"/>
                    <w:left w:val="nil"/>
                    <w:bottom w:val="single" w:color="auto" w:sz="4" w:space="0"/>
                    <w:right w:val="single" w:color="auto" w:sz="4" w:space="0"/>
                  </w:tcBorders>
                  <w:shd w:val="clear" w:color="auto" w:fill="auto"/>
                  <w:vAlign w:val="center"/>
                </w:tcPr>
                <w:p w14:paraId="27DB5AAD">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656" w:type="pct"/>
                  <w:tcBorders>
                    <w:top w:val="single" w:color="auto" w:sz="4" w:space="0"/>
                    <w:left w:val="single" w:color="auto" w:sz="4" w:space="0"/>
                    <w:bottom w:val="single" w:color="auto" w:sz="4" w:space="0"/>
                    <w:right w:val="single" w:color="auto" w:sz="4" w:space="0"/>
                  </w:tcBorders>
                  <w:shd w:val="clear" w:color="auto" w:fill="auto"/>
                  <w:vAlign w:val="center"/>
                </w:tcPr>
                <w:p w14:paraId="36FEBB69">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eastAsia"/>
                      <w:b w:val="0"/>
                      <w:color w:val="000000"/>
                      <w:szCs w:val="22"/>
                      <w:lang w:val="en-US" w:eastAsia="zh-CN"/>
                    </w:rPr>
                    <w:t>水帘柜废液</w:t>
                  </w:r>
                </w:p>
              </w:tc>
              <w:tc>
                <w:tcPr>
                  <w:tcW w:w="911" w:type="pct"/>
                  <w:tcBorders>
                    <w:top w:val="single" w:color="auto" w:sz="4" w:space="0"/>
                    <w:left w:val="single" w:color="auto" w:sz="4" w:space="0"/>
                    <w:bottom w:val="single" w:color="auto" w:sz="4" w:space="0"/>
                    <w:right w:val="single" w:color="auto" w:sz="4" w:space="0"/>
                  </w:tcBorders>
                  <w:shd w:val="clear" w:color="auto" w:fill="auto"/>
                  <w:vAlign w:val="center"/>
                </w:tcPr>
                <w:p w14:paraId="7BCA3B0A">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0.3</w:t>
                  </w:r>
                </w:p>
              </w:tc>
              <w:tc>
                <w:tcPr>
                  <w:tcW w:w="847" w:type="pct"/>
                  <w:tcBorders>
                    <w:top w:val="single" w:color="auto" w:sz="4" w:space="0"/>
                    <w:left w:val="single" w:color="auto" w:sz="4" w:space="0"/>
                    <w:bottom w:val="single" w:color="auto" w:sz="4" w:space="0"/>
                    <w:right w:val="single" w:color="auto" w:sz="4" w:space="0"/>
                  </w:tcBorders>
                  <w:shd w:val="clear" w:color="auto" w:fill="auto"/>
                  <w:vAlign w:val="center"/>
                </w:tcPr>
                <w:p w14:paraId="40DDE893">
                  <w:pPr>
                    <w:pStyle w:val="38"/>
                    <w:keepNext w:val="0"/>
                    <w:keepLines w:val="0"/>
                    <w:widowControl/>
                    <w:suppressLineNumbers w:val="0"/>
                    <w:bidi w:val="0"/>
                    <w:spacing w:before="0" w:beforeAutospacing="0" w:after="0" w:afterAutospacing="0"/>
                    <w:ind w:left="0" w:right="0"/>
                    <w:rPr>
                      <w:rFonts w:hint="default"/>
                      <w:b w:val="0"/>
                      <w:color w:val="000000"/>
                      <w:szCs w:val="22"/>
                      <w:lang w:val="en-US"/>
                    </w:rPr>
                  </w:pPr>
                  <w:r>
                    <w:rPr>
                      <w:rFonts w:hint="eastAsia"/>
                      <w:b w:val="0"/>
                      <w:color w:val="000000"/>
                      <w:szCs w:val="22"/>
                      <w:lang w:val="en-US" w:eastAsia="zh-CN"/>
                    </w:rPr>
                    <w:t>0.45</w:t>
                  </w:r>
                </w:p>
              </w:tc>
              <w:tc>
                <w:tcPr>
                  <w:tcW w:w="693" w:type="pct"/>
                  <w:tcBorders>
                    <w:top w:val="single" w:color="auto" w:sz="4" w:space="0"/>
                    <w:left w:val="single" w:color="auto" w:sz="4" w:space="0"/>
                    <w:bottom w:val="single" w:color="auto" w:sz="4" w:space="0"/>
                    <w:right w:val="single" w:color="auto" w:sz="4" w:space="0"/>
                  </w:tcBorders>
                  <w:shd w:val="clear" w:color="auto" w:fill="auto"/>
                  <w:vAlign w:val="center"/>
                </w:tcPr>
                <w:p w14:paraId="1B54F5F8">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0.3</w:t>
                  </w:r>
                </w:p>
              </w:tc>
              <w:tc>
                <w:tcPr>
                  <w:tcW w:w="811" w:type="pct"/>
                  <w:tcBorders>
                    <w:top w:val="single" w:color="auto" w:sz="4" w:space="0"/>
                    <w:left w:val="single" w:color="auto" w:sz="4" w:space="0"/>
                    <w:bottom w:val="single" w:color="auto" w:sz="4" w:space="0"/>
                    <w:right w:val="single" w:color="auto" w:sz="4" w:space="0"/>
                  </w:tcBorders>
                  <w:shd w:val="clear" w:color="auto" w:fill="auto"/>
                  <w:vAlign w:val="center"/>
                </w:tcPr>
                <w:p w14:paraId="2CF8BE71">
                  <w:pPr>
                    <w:pStyle w:val="38"/>
                    <w:keepNext w:val="0"/>
                    <w:keepLines w:val="0"/>
                    <w:widowControl/>
                    <w:suppressLineNumbers w:val="0"/>
                    <w:bidi w:val="0"/>
                    <w:spacing w:before="0" w:beforeAutospacing="0" w:after="0" w:afterAutospacing="0"/>
                    <w:ind w:left="0" w:right="0"/>
                    <w:rPr>
                      <w:rFonts w:hint="default"/>
                      <w:b w:val="0"/>
                      <w:color w:val="000000"/>
                      <w:szCs w:val="22"/>
                      <w:lang w:val="en-US"/>
                    </w:rPr>
                  </w:pPr>
                  <w:r>
                    <w:rPr>
                      <w:rFonts w:hint="eastAsia"/>
                      <w:b w:val="0"/>
                      <w:color w:val="000000"/>
                      <w:szCs w:val="22"/>
                      <w:lang w:val="en-US" w:eastAsia="zh-CN"/>
                    </w:rPr>
                    <w:t>0.45</w:t>
                  </w:r>
                </w:p>
              </w:tc>
              <w:tc>
                <w:tcPr>
                  <w:tcW w:w="709" w:type="pct"/>
                  <w:tcBorders>
                    <w:top w:val="single" w:color="auto" w:sz="4" w:space="0"/>
                    <w:left w:val="single" w:color="auto" w:sz="4" w:space="0"/>
                    <w:bottom w:val="single" w:color="auto" w:sz="4" w:space="0"/>
                    <w:right w:val="nil"/>
                  </w:tcBorders>
                  <w:shd w:val="clear" w:color="auto" w:fill="auto"/>
                  <w:vAlign w:val="center"/>
                </w:tcPr>
                <w:p w14:paraId="5912DE2F">
                  <w:pPr>
                    <w:pStyle w:val="38"/>
                    <w:keepNext w:val="0"/>
                    <w:keepLines w:val="0"/>
                    <w:widowControl/>
                    <w:suppressLineNumbers w:val="0"/>
                    <w:bidi w:val="0"/>
                    <w:spacing w:before="0" w:beforeAutospacing="0" w:after="0" w:afterAutospacing="0"/>
                    <w:ind w:left="0" w:right="0"/>
                    <w:rPr>
                      <w:rFonts w:hint="default"/>
                      <w:b w:val="0"/>
                      <w:color w:val="000000"/>
                      <w:szCs w:val="22"/>
                      <w:lang w:val="en-US"/>
                    </w:rPr>
                  </w:pPr>
                  <w:r>
                    <w:rPr>
                      <w:rFonts w:hint="eastAsia"/>
                      <w:b w:val="0"/>
                      <w:color w:val="000000"/>
                      <w:szCs w:val="22"/>
                      <w:lang w:val="en-US" w:eastAsia="zh-CN"/>
                    </w:rPr>
                    <w:t>+0.15</w:t>
                  </w:r>
                </w:p>
              </w:tc>
            </w:tr>
            <w:tr w14:paraId="5AB9B02A">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69" w:type="pct"/>
                  <w:vMerge w:val="continue"/>
                  <w:tcBorders>
                    <w:top w:val="single" w:color="auto" w:sz="4" w:space="0"/>
                    <w:left w:val="nil"/>
                    <w:bottom w:val="single" w:color="auto" w:sz="4" w:space="0"/>
                    <w:right w:val="single" w:color="auto" w:sz="4" w:space="0"/>
                  </w:tcBorders>
                  <w:shd w:val="clear" w:color="auto" w:fill="auto"/>
                  <w:vAlign w:val="center"/>
                </w:tcPr>
                <w:p w14:paraId="5FE52ACD">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656" w:type="pct"/>
                  <w:tcBorders>
                    <w:top w:val="single" w:color="auto" w:sz="4" w:space="0"/>
                    <w:left w:val="single" w:color="auto" w:sz="4" w:space="0"/>
                    <w:bottom w:val="single" w:color="auto" w:sz="4" w:space="0"/>
                    <w:right w:val="single" w:color="auto" w:sz="4" w:space="0"/>
                  </w:tcBorders>
                  <w:shd w:val="clear" w:color="auto" w:fill="auto"/>
                  <w:vAlign w:val="center"/>
                </w:tcPr>
                <w:p w14:paraId="30AA0E64">
                  <w:pPr>
                    <w:pStyle w:val="38"/>
                    <w:keepNext w:val="0"/>
                    <w:keepLines w:val="0"/>
                    <w:widowControl/>
                    <w:suppressLineNumbers w:val="0"/>
                    <w:bidi w:val="0"/>
                    <w:spacing w:before="0" w:beforeAutospacing="0" w:after="0" w:afterAutospacing="0"/>
                    <w:ind w:left="0" w:right="0"/>
                    <w:rPr>
                      <w:rFonts w:hint="default"/>
                      <w:b w:val="0"/>
                      <w:color w:val="000000"/>
                      <w:szCs w:val="22"/>
                      <w:lang w:val="en-US"/>
                    </w:rPr>
                  </w:pPr>
                  <w:r>
                    <w:rPr>
                      <w:rFonts w:hint="eastAsia"/>
                      <w:b w:val="0"/>
                      <w:color w:val="000000"/>
                      <w:szCs w:val="22"/>
                      <w:lang w:val="en-US" w:eastAsia="zh-CN"/>
                    </w:rPr>
                    <w:t>废漆渣</w:t>
                  </w:r>
                </w:p>
              </w:tc>
              <w:tc>
                <w:tcPr>
                  <w:tcW w:w="911" w:type="pct"/>
                  <w:tcBorders>
                    <w:top w:val="single" w:color="auto" w:sz="4" w:space="0"/>
                    <w:left w:val="single" w:color="auto" w:sz="4" w:space="0"/>
                    <w:bottom w:val="single" w:color="auto" w:sz="4" w:space="0"/>
                    <w:right w:val="single" w:color="auto" w:sz="4" w:space="0"/>
                  </w:tcBorders>
                  <w:shd w:val="clear" w:color="auto" w:fill="auto"/>
                  <w:vAlign w:val="center"/>
                </w:tcPr>
                <w:p w14:paraId="305DAB0E">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0.05</w:t>
                  </w:r>
                </w:p>
              </w:tc>
              <w:tc>
                <w:tcPr>
                  <w:tcW w:w="847" w:type="pct"/>
                  <w:tcBorders>
                    <w:top w:val="single" w:color="auto" w:sz="4" w:space="0"/>
                    <w:left w:val="single" w:color="auto" w:sz="4" w:space="0"/>
                    <w:bottom w:val="single" w:color="auto" w:sz="4" w:space="0"/>
                    <w:right w:val="single" w:color="auto" w:sz="4" w:space="0"/>
                  </w:tcBorders>
                  <w:shd w:val="clear" w:color="auto" w:fill="auto"/>
                  <w:vAlign w:val="center"/>
                </w:tcPr>
                <w:p w14:paraId="723A8033">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0.69</w:t>
                  </w:r>
                </w:p>
              </w:tc>
              <w:tc>
                <w:tcPr>
                  <w:tcW w:w="693" w:type="pct"/>
                  <w:tcBorders>
                    <w:top w:val="single" w:color="auto" w:sz="4" w:space="0"/>
                    <w:left w:val="single" w:color="auto" w:sz="4" w:space="0"/>
                    <w:bottom w:val="single" w:color="auto" w:sz="4" w:space="0"/>
                    <w:right w:val="single" w:color="auto" w:sz="4" w:space="0"/>
                  </w:tcBorders>
                  <w:shd w:val="clear" w:color="auto" w:fill="auto"/>
                  <w:vAlign w:val="center"/>
                </w:tcPr>
                <w:p w14:paraId="1DA16D2D">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0.05</w:t>
                  </w:r>
                </w:p>
              </w:tc>
              <w:tc>
                <w:tcPr>
                  <w:tcW w:w="811" w:type="pct"/>
                  <w:tcBorders>
                    <w:top w:val="single" w:color="auto" w:sz="4" w:space="0"/>
                    <w:left w:val="single" w:color="auto" w:sz="4" w:space="0"/>
                    <w:bottom w:val="single" w:color="auto" w:sz="4" w:space="0"/>
                    <w:right w:val="single" w:color="auto" w:sz="4" w:space="0"/>
                  </w:tcBorders>
                  <w:shd w:val="clear" w:color="auto" w:fill="auto"/>
                  <w:vAlign w:val="center"/>
                </w:tcPr>
                <w:p w14:paraId="69E0A73D">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0.69</w:t>
                  </w:r>
                </w:p>
              </w:tc>
              <w:tc>
                <w:tcPr>
                  <w:tcW w:w="709" w:type="pct"/>
                  <w:tcBorders>
                    <w:top w:val="single" w:color="auto" w:sz="4" w:space="0"/>
                    <w:left w:val="single" w:color="auto" w:sz="4" w:space="0"/>
                    <w:bottom w:val="single" w:color="auto" w:sz="4" w:space="0"/>
                    <w:right w:val="nil"/>
                  </w:tcBorders>
                  <w:shd w:val="clear" w:color="auto" w:fill="auto"/>
                  <w:vAlign w:val="center"/>
                </w:tcPr>
                <w:p w14:paraId="67FF6290">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eastAsia"/>
                      <w:b w:val="0"/>
                      <w:color w:val="000000"/>
                      <w:szCs w:val="22"/>
                      <w:lang w:val="en-US" w:eastAsia="zh-CN"/>
                    </w:rPr>
                    <w:t>+</w:t>
                  </w:r>
                  <w:r>
                    <w:rPr>
                      <w:rFonts w:hint="default"/>
                      <w:b w:val="0"/>
                      <w:color w:val="000000"/>
                      <w:szCs w:val="22"/>
                      <w:lang w:val="en-US" w:eastAsia="zh-CN"/>
                    </w:rPr>
                    <w:t>0.64</w:t>
                  </w:r>
                </w:p>
              </w:tc>
            </w:tr>
            <w:tr w14:paraId="4E8D430C">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69" w:type="pct"/>
                  <w:vMerge w:val="continue"/>
                  <w:tcBorders>
                    <w:top w:val="single" w:color="auto" w:sz="4" w:space="0"/>
                    <w:left w:val="nil"/>
                    <w:bottom w:val="single" w:color="auto" w:sz="4" w:space="0"/>
                    <w:right w:val="single" w:color="auto" w:sz="4" w:space="0"/>
                  </w:tcBorders>
                  <w:shd w:val="clear" w:color="auto" w:fill="auto"/>
                  <w:vAlign w:val="center"/>
                </w:tcPr>
                <w:p w14:paraId="3BC7D2CA">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656" w:type="pct"/>
                  <w:tcBorders>
                    <w:top w:val="single" w:color="auto" w:sz="4" w:space="0"/>
                    <w:left w:val="single" w:color="auto" w:sz="4" w:space="0"/>
                    <w:bottom w:val="single" w:color="auto" w:sz="4" w:space="0"/>
                    <w:right w:val="single" w:color="auto" w:sz="4" w:space="0"/>
                  </w:tcBorders>
                  <w:shd w:val="clear" w:color="auto" w:fill="auto"/>
                  <w:vAlign w:val="center"/>
                </w:tcPr>
                <w:p w14:paraId="2B51550B">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eastAsia"/>
                      <w:b w:val="0"/>
                      <w:color w:val="000000"/>
                      <w:szCs w:val="22"/>
                      <w:lang w:val="en-US" w:eastAsia="zh-CN"/>
                    </w:rPr>
                    <w:t>废水性漆桶</w:t>
                  </w:r>
                </w:p>
              </w:tc>
              <w:tc>
                <w:tcPr>
                  <w:tcW w:w="911" w:type="pct"/>
                  <w:tcBorders>
                    <w:top w:val="single" w:color="auto" w:sz="4" w:space="0"/>
                    <w:left w:val="single" w:color="auto" w:sz="4" w:space="0"/>
                    <w:bottom w:val="single" w:color="auto" w:sz="4" w:space="0"/>
                    <w:right w:val="single" w:color="auto" w:sz="4" w:space="0"/>
                  </w:tcBorders>
                  <w:shd w:val="clear" w:color="auto" w:fill="auto"/>
                  <w:vAlign w:val="center"/>
                </w:tcPr>
                <w:p w14:paraId="630A42F1">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0.05</w:t>
                  </w:r>
                </w:p>
              </w:tc>
              <w:tc>
                <w:tcPr>
                  <w:tcW w:w="847" w:type="pct"/>
                  <w:tcBorders>
                    <w:top w:val="single" w:color="auto" w:sz="4" w:space="0"/>
                    <w:left w:val="single" w:color="auto" w:sz="4" w:space="0"/>
                    <w:bottom w:val="single" w:color="auto" w:sz="4" w:space="0"/>
                    <w:right w:val="single" w:color="auto" w:sz="4" w:space="0"/>
                  </w:tcBorders>
                  <w:shd w:val="clear" w:color="auto" w:fill="auto"/>
                  <w:vAlign w:val="center"/>
                </w:tcPr>
                <w:p w14:paraId="3C4D05B1">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0.01</w:t>
                  </w:r>
                </w:p>
              </w:tc>
              <w:tc>
                <w:tcPr>
                  <w:tcW w:w="693" w:type="pct"/>
                  <w:tcBorders>
                    <w:top w:val="single" w:color="auto" w:sz="4" w:space="0"/>
                    <w:left w:val="single" w:color="auto" w:sz="4" w:space="0"/>
                    <w:bottom w:val="single" w:color="auto" w:sz="4" w:space="0"/>
                    <w:right w:val="single" w:color="auto" w:sz="4" w:space="0"/>
                  </w:tcBorders>
                  <w:shd w:val="clear" w:color="auto" w:fill="auto"/>
                  <w:vAlign w:val="center"/>
                </w:tcPr>
                <w:p w14:paraId="7EB92E2D">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0.05</w:t>
                  </w:r>
                </w:p>
              </w:tc>
              <w:tc>
                <w:tcPr>
                  <w:tcW w:w="811" w:type="pct"/>
                  <w:tcBorders>
                    <w:top w:val="single" w:color="auto" w:sz="4" w:space="0"/>
                    <w:left w:val="single" w:color="auto" w:sz="4" w:space="0"/>
                    <w:bottom w:val="single" w:color="auto" w:sz="4" w:space="0"/>
                    <w:right w:val="single" w:color="auto" w:sz="4" w:space="0"/>
                  </w:tcBorders>
                  <w:shd w:val="clear" w:color="auto" w:fill="auto"/>
                  <w:vAlign w:val="center"/>
                </w:tcPr>
                <w:p w14:paraId="693A5E09">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0.01</w:t>
                  </w:r>
                </w:p>
              </w:tc>
              <w:tc>
                <w:tcPr>
                  <w:tcW w:w="709" w:type="pct"/>
                  <w:tcBorders>
                    <w:top w:val="single" w:color="auto" w:sz="4" w:space="0"/>
                    <w:left w:val="single" w:color="auto" w:sz="4" w:space="0"/>
                    <w:bottom w:val="single" w:color="auto" w:sz="4" w:space="0"/>
                    <w:right w:val="nil"/>
                  </w:tcBorders>
                  <w:shd w:val="clear" w:color="auto" w:fill="auto"/>
                  <w:vAlign w:val="center"/>
                </w:tcPr>
                <w:p w14:paraId="3362EAD3">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eastAsia"/>
                      <w:b w:val="0"/>
                      <w:color w:val="000000"/>
                      <w:szCs w:val="22"/>
                      <w:lang w:val="en-US" w:eastAsia="zh-CN"/>
                    </w:rPr>
                    <w:t>+</w:t>
                  </w:r>
                  <w:r>
                    <w:rPr>
                      <w:rFonts w:hint="default"/>
                      <w:b w:val="0"/>
                      <w:color w:val="000000"/>
                      <w:szCs w:val="22"/>
                      <w:lang w:val="en-US" w:eastAsia="zh-CN"/>
                    </w:rPr>
                    <w:t>0</w:t>
                  </w:r>
                </w:p>
              </w:tc>
            </w:tr>
            <w:tr w14:paraId="55C929D5">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69" w:type="pct"/>
                  <w:vMerge w:val="continue"/>
                  <w:tcBorders>
                    <w:top w:val="single" w:color="auto" w:sz="4" w:space="0"/>
                    <w:left w:val="nil"/>
                    <w:bottom w:val="single" w:color="auto" w:sz="4" w:space="0"/>
                    <w:right w:val="single" w:color="auto" w:sz="4" w:space="0"/>
                  </w:tcBorders>
                  <w:shd w:val="clear" w:color="auto" w:fill="auto"/>
                  <w:vAlign w:val="center"/>
                </w:tcPr>
                <w:p w14:paraId="59DF5A45">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656" w:type="pct"/>
                  <w:tcBorders>
                    <w:top w:val="single" w:color="auto" w:sz="4" w:space="0"/>
                    <w:left w:val="single" w:color="auto" w:sz="4" w:space="0"/>
                    <w:bottom w:val="single" w:color="auto" w:sz="4" w:space="0"/>
                    <w:right w:val="single" w:color="auto" w:sz="4" w:space="0"/>
                  </w:tcBorders>
                  <w:shd w:val="clear" w:color="auto" w:fill="auto"/>
                  <w:vAlign w:val="center"/>
                </w:tcPr>
                <w:p w14:paraId="4FD67CAE">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eastAsia"/>
                      <w:b w:val="0"/>
                      <w:color w:val="000000"/>
                      <w:szCs w:val="22"/>
                      <w:lang w:val="en-US" w:eastAsia="zh-CN"/>
                    </w:rPr>
                    <w:t>废油性漆桶</w:t>
                  </w:r>
                </w:p>
              </w:tc>
              <w:tc>
                <w:tcPr>
                  <w:tcW w:w="911" w:type="pct"/>
                  <w:tcBorders>
                    <w:top w:val="single" w:color="auto" w:sz="4" w:space="0"/>
                    <w:left w:val="single" w:color="auto" w:sz="4" w:space="0"/>
                    <w:bottom w:val="single" w:color="auto" w:sz="4" w:space="0"/>
                    <w:right w:val="single" w:color="auto" w:sz="4" w:space="0"/>
                  </w:tcBorders>
                  <w:shd w:val="clear" w:color="auto" w:fill="auto"/>
                  <w:vAlign w:val="center"/>
                </w:tcPr>
                <w:p w14:paraId="6B4AD968">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default"/>
                      <w:b w:val="0"/>
                      <w:color w:val="000000"/>
                      <w:szCs w:val="22"/>
                      <w:lang w:val="en-US" w:eastAsia="zh-CN"/>
                    </w:rPr>
                    <w:t>0.02</w:t>
                  </w:r>
                </w:p>
              </w:tc>
              <w:tc>
                <w:tcPr>
                  <w:tcW w:w="847" w:type="pct"/>
                  <w:tcBorders>
                    <w:top w:val="single" w:color="auto" w:sz="4" w:space="0"/>
                    <w:left w:val="single" w:color="auto" w:sz="4" w:space="0"/>
                    <w:bottom w:val="single" w:color="auto" w:sz="4" w:space="0"/>
                    <w:right w:val="single" w:color="auto" w:sz="4" w:space="0"/>
                  </w:tcBorders>
                  <w:shd w:val="clear" w:color="auto" w:fill="auto"/>
                  <w:vAlign w:val="center"/>
                </w:tcPr>
                <w:p w14:paraId="74CF271E">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default"/>
                      <w:b w:val="0"/>
                      <w:color w:val="000000"/>
                      <w:szCs w:val="22"/>
                      <w:lang w:val="en-US" w:eastAsia="zh-CN"/>
                    </w:rPr>
                    <w:t>0.04</w:t>
                  </w:r>
                </w:p>
              </w:tc>
              <w:tc>
                <w:tcPr>
                  <w:tcW w:w="693" w:type="pct"/>
                  <w:tcBorders>
                    <w:top w:val="single" w:color="auto" w:sz="4" w:space="0"/>
                    <w:left w:val="single" w:color="auto" w:sz="4" w:space="0"/>
                    <w:bottom w:val="single" w:color="auto" w:sz="4" w:space="0"/>
                    <w:right w:val="single" w:color="auto" w:sz="4" w:space="0"/>
                  </w:tcBorders>
                  <w:shd w:val="clear" w:color="auto" w:fill="auto"/>
                  <w:vAlign w:val="center"/>
                </w:tcPr>
                <w:p w14:paraId="6201858E">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default"/>
                      <w:b w:val="0"/>
                      <w:color w:val="000000"/>
                      <w:szCs w:val="22"/>
                      <w:lang w:val="en-US" w:eastAsia="zh-CN"/>
                    </w:rPr>
                    <w:t>0.02</w:t>
                  </w:r>
                </w:p>
              </w:tc>
              <w:tc>
                <w:tcPr>
                  <w:tcW w:w="811" w:type="pct"/>
                  <w:tcBorders>
                    <w:top w:val="single" w:color="auto" w:sz="4" w:space="0"/>
                    <w:left w:val="single" w:color="auto" w:sz="4" w:space="0"/>
                    <w:bottom w:val="single" w:color="auto" w:sz="4" w:space="0"/>
                    <w:right w:val="single" w:color="auto" w:sz="4" w:space="0"/>
                  </w:tcBorders>
                  <w:shd w:val="clear" w:color="auto" w:fill="auto"/>
                  <w:vAlign w:val="center"/>
                </w:tcPr>
                <w:p w14:paraId="11017CE8">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default"/>
                      <w:b w:val="0"/>
                      <w:color w:val="000000"/>
                      <w:szCs w:val="22"/>
                      <w:lang w:val="en-US" w:eastAsia="zh-CN"/>
                    </w:rPr>
                    <w:t>0.04</w:t>
                  </w:r>
                </w:p>
              </w:tc>
              <w:tc>
                <w:tcPr>
                  <w:tcW w:w="709" w:type="pct"/>
                  <w:tcBorders>
                    <w:top w:val="single" w:color="auto" w:sz="4" w:space="0"/>
                    <w:left w:val="single" w:color="auto" w:sz="4" w:space="0"/>
                    <w:bottom w:val="single" w:color="auto" w:sz="4" w:space="0"/>
                    <w:right w:val="nil"/>
                  </w:tcBorders>
                  <w:shd w:val="clear" w:color="auto" w:fill="auto"/>
                  <w:vAlign w:val="center"/>
                </w:tcPr>
                <w:p w14:paraId="130B0650">
                  <w:pPr>
                    <w:pStyle w:val="38"/>
                    <w:keepNext w:val="0"/>
                    <w:keepLines w:val="0"/>
                    <w:widowControl/>
                    <w:suppressLineNumbers w:val="0"/>
                    <w:bidi w:val="0"/>
                    <w:spacing w:before="0" w:beforeAutospacing="0" w:after="0" w:afterAutospacing="0"/>
                    <w:ind w:left="0" w:right="0"/>
                    <w:rPr>
                      <w:rFonts w:hint="eastAsia"/>
                      <w:b w:val="0"/>
                      <w:color w:val="000000"/>
                      <w:szCs w:val="22"/>
                      <w:lang w:val="en-US" w:eastAsia="zh-CN"/>
                    </w:rPr>
                  </w:pPr>
                  <w:r>
                    <w:rPr>
                      <w:rFonts w:hint="eastAsia"/>
                      <w:b w:val="0"/>
                      <w:color w:val="000000"/>
                      <w:szCs w:val="22"/>
                      <w:lang w:val="en-US" w:eastAsia="zh-CN"/>
                    </w:rPr>
                    <w:t>+</w:t>
                  </w:r>
                  <w:r>
                    <w:rPr>
                      <w:rFonts w:hint="default"/>
                      <w:b w:val="0"/>
                      <w:color w:val="000000"/>
                      <w:szCs w:val="22"/>
                      <w:lang w:val="en-US" w:eastAsia="zh-CN"/>
                    </w:rPr>
                    <w:t>0.02</w:t>
                  </w:r>
                </w:p>
              </w:tc>
            </w:tr>
            <w:tr w14:paraId="7973BDD6">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jc w:val="center"/>
              </w:trPr>
              <w:tc>
                <w:tcPr>
                  <w:tcW w:w="369" w:type="pct"/>
                  <w:vMerge w:val="continue"/>
                  <w:tcBorders>
                    <w:top w:val="single" w:color="auto" w:sz="4" w:space="0"/>
                    <w:left w:val="nil"/>
                    <w:bottom w:val="single" w:color="auto" w:sz="4" w:space="0"/>
                    <w:right w:val="single" w:color="auto" w:sz="4" w:space="0"/>
                  </w:tcBorders>
                  <w:shd w:val="clear" w:color="auto" w:fill="auto"/>
                  <w:vAlign w:val="center"/>
                </w:tcPr>
                <w:p w14:paraId="783CF3C6">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656" w:type="pct"/>
                  <w:tcBorders>
                    <w:top w:val="single" w:color="auto" w:sz="4" w:space="0"/>
                    <w:left w:val="single" w:color="auto" w:sz="4" w:space="0"/>
                    <w:bottom w:val="single" w:color="auto" w:sz="4" w:space="0"/>
                    <w:right w:val="single" w:color="auto" w:sz="4" w:space="0"/>
                  </w:tcBorders>
                  <w:shd w:val="clear" w:color="auto" w:fill="auto"/>
                  <w:vAlign w:val="center"/>
                </w:tcPr>
                <w:p w14:paraId="537B9C8A">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eastAsia"/>
                      <w:b w:val="0"/>
                      <w:color w:val="000000"/>
                      <w:szCs w:val="22"/>
                      <w:lang w:val="en-US" w:eastAsia="zh-CN"/>
                    </w:rPr>
                    <w:t>废活性炭</w:t>
                  </w:r>
                </w:p>
              </w:tc>
              <w:tc>
                <w:tcPr>
                  <w:tcW w:w="1531" w:type="dxa"/>
                  <w:tcBorders>
                    <w:top w:val="single" w:color="auto" w:sz="4" w:space="0"/>
                    <w:left w:val="single" w:color="auto" w:sz="4" w:space="0"/>
                    <w:bottom w:val="single" w:color="auto" w:sz="4" w:space="0"/>
                    <w:right w:val="single" w:color="auto" w:sz="4" w:space="0"/>
                  </w:tcBorders>
                  <w:shd w:val="clear" w:color="auto" w:fill="auto"/>
                  <w:vAlign w:val="center"/>
                </w:tcPr>
                <w:p w14:paraId="7EB1EFB0">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3.135</w:t>
                  </w:r>
                </w:p>
              </w:tc>
              <w:tc>
                <w:tcPr>
                  <w:tcW w:w="1423" w:type="dxa"/>
                  <w:tcBorders>
                    <w:top w:val="single" w:color="auto" w:sz="4" w:space="0"/>
                    <w:left w:val="single" w:color="auto" w:sz="4" w:space="0"/>
                    <w:bottom w:val="single" w:color="auto" w:sz="4" w:space="0"/>
                    <w:right w:val="single" w:color="auto" w:sz="4" w:space="0"/>
                  </w:tcBorders>
                  <w:shd w:val="clear" w:color="auto" w:fill="auto"/>
                  <w:vAlign w:val="center"/>
                </w:tcPr>
                <w:p w14:paraId="3DBBF74D">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4.95</w:t>
                  </w:r>
                </w:p>
              </w:tc>
              <w:tc>
                <w:tcPr>
                  <w:tcW w:w="1164" w:type="dxa"/>
                  <w:tcBorders>
                    <w:top w:val="single" w:color="auto" w:sz="4" w:space="0"/>
                    <w:left w:val="single" w:color="auto" w:sz="4" w:space="0"/>
                    <w:bottom w:val="single" w:color="auto" w:sz="4" w:space="0"/>
                    <w:right w:val="single" w:color="auto" w:sz="4" w:space="0"/>
                  </w:tcBorders>
                  <w:shd w:val="clear" w:color="auto" w:fill="auto"/>
                  <w:vAlign w:val="center"/>
                </w:tcPr>
                <w:p w14:paraId="48B21C26">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3.135</w:t>
                  </w:r>
                </w:p>
              </w:tc>
              <w:tc>
                <w:tcPr>
                  <w:tcW w:w="1363" w:type="dxa"/>
                  <w:tcBorders>
                    <w:top w:val="single" w:color="auto" w:sz="4" w:space="0"/>
                    <w:left w:val="single" w:color="auto" w:sz="4" w:space="0"/>
                    <w:bottom w:val="single" w:color="auto" w:sz="4" w:space="0"/>
                    <w:right w:val="single" w:color="auto" w:sz="4" w:space="0"/>
                  </w:tcBorders>
                  <w:shd w:val="clear" w:color="auto" w:fill="auto"/>
                  <w:vAlign w:val="center"/>
                </w:tcPr>
                <w:p w14:paraId="77741D70">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4.95</w:t>
                  </w:r>
                </w:p>
              </w:tc>
              <w:tc>
                <w:tcPr>
                  <w:tcW w:w="1191" w:type="dxa"/>
                  <w:tcBorders>
                    <w:top w:val="single" w:color="auto" w:sz="4" w:space="0"/>
                    <w:left w:val="single" w:color="auto" w:sz="4" w:space="0"/>
                    <w:bottom w:val="single" w:color="auto" w:sz="4" w:space="0"/>
                    <w:right w:val="nil"/>
                  </w:tcBorders>
                  <w:shd w:val="clear" w:color="auto" w:fill="auto"/>
                  <w:vAlign w:val="center"/>
                </w:tcPr>
                <w:p w14:paraId="0BB16C50">
                  <w:pPr>
                    <w:pStyle w:val="38"/>
                    <w:keepNext w:val="0"/>
                    <w:keepLines w:val="0"/>
                    <w:widowControl/>
                    <w:suppressLineNumbers w:val="0"/>
                    <w:bidi w:val="0"/>
                    <w:spacing w:before="0" w:beforeAutospacing="0" w:after="0" w:afterAutospacing="0"/>
                    <w:ind w:left="0" w:right="0"/>
                    <w:rPr>
                      <w:rFonts w:hint="default"/>
                      <w:szCs w:val="22"/>
                    </w:rPr>
                  </w:pPr>
                  <w:r>
                    <w:rPr>
                      <w:rFonts w:hint="eastAsia"/>
                      <w:szCs w:val="22"/>
                      <w:lang w:val="en-US" w:eastAsia="zh-CN"/>
                    </w:rPr>
                    <w:t>+</w:t>
                  </w:r>
                  <w:r>
                    <w:rPr>
                      <w:rFonts w:hint="default"/>
                      <w:szCs w:val="22"/>
                      <w:lang w:val="en-US" w:eastAsia="zh-CN"/>
                    </w:rPr>
                    <w:t>1.815</w:t>
                  </w:r>
                </w:p>
              </w:tc>
            </w:tr>
            <w:tr w14:paraId="2150EB10">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5" w:hRule="atLeast"/>
                <w:jc w:val="center"/>
              </w:trPr>
              <w:tc>
                <w:tcPr>
                  <w:tcW w:w="369" w:type="pct"/>
                  <w:vMerge w:val="continue"/>
                  <w:tcBorders>
                    <w:top w:val="single" w:color="auto" w:sz="4" w:space="0"/>
                    <w:left w:val="nil"/>
                    <w:bottom w:val="single" w:color="auto" w:sz="4" w:space="0"/>
                    <w:right w:val="single" w:color="auto" w:sz="4" w:space="0"/>
                  </w:tcBorders>
                  <w:shd w:val="clear" w:color="auto" w:fill="auto"/>
                  <w:vAlign w:val="center"/>
                </w:tcPr>
                <w:p w14:paraId="5F7E3FCA">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656" w:type="pct"/>
                  <w:tcBorders>
                    <w:top w:val="single" w:color="auto" w:sz="4" w:space="0"/>
                    <w:left w:val="single" w:color="auto" w:sz="4" w:space="0"/>
                    <w:bottom w:val="single" w:color="auto" w:sz="4" w:space="0"/>
                    <w:right w:val="single" w:color="auto" w:sz="4" w:space="0"/>
                  </w:tcBorders>
                  <w:shd w:val="clear" w:color="auto" w:fill="auto"/>
                  <w:vAlign w:val="center"/>
                </w:tcPr>
                <w:p w14:paraId="2BCBB730">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eastAsia"/>
                      <w:b w:val="0"/>
                      <w:color w:val="000000"/>
                      <w:szCs w:val="22"/>
                      <w:lang w:val="en-US" w:eastAsia="zh-CN"/>
                    </w:rPr>
                    <w:t>废过滤棉</w:t>
                  </w:r>
                </w:p>
              </w:tc>
              <w:tc>
                <w:tcPr>
                  <w:tcW w:w="911" w:type="pct"/>
                  <w:tcBorders>
                    <w:top w:val="single" w:color="auto" w:sz="4" w:space="0"/>
                    <w:left w:val="single" w:color="auto" w:sz="4" w:space="0"/>
                    <w:bottom w:val="single" w:color="auto" w:sz="4" w:space="0"/>
                    <w:right w:val="single" w:color="auto" w:sz="4" w:space="0"/>
                  </w:tcBorders>
                  <w:shd w:val="clear" w:color="auto" w:fill="auto"/>
                  <w:vAlign w:val="center"/>
                </w:tcPr>
                <w:p w14:paraId="00969284">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0.09</w:t>
                  </w:r>
                </w:p>
              </w:tc>
              <w:tc>
                <w:tcPr>
                  <w:tcW w:w="847" w:type="pct"/>
                  <w:tcBorders>
                    <w:top w:val="single" w:color="auto" w:sz="4" w:space="0"/>
                    <w:left w:val="single" w:color="auto" w:sz="4" w:space="0"/>
                    <w:bottom w:val="single" w:color="auto" w:sz="4" w:space="0"/>
                    <w:right w:val="single" w:color="auto" w:sz="4" w:space="0"/>
                  </w:tcBorders>
                  <w:shd w:val="clear" w:color="auto" w:fill="auto"/>
                  <w:vAlign w:val="center"/>
                </w:tcPr>
                <w:p w14:paraId="5BC41BED">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0.2</w:t>
                  </w:r>
                </w:p>
              </w:tc>
              <w:tc>
                <w:tcPr>
                  <w:tcW w:w="693" w:type="pct"/>
                  <w:tcBorders>
                    <w:top w:val="single" w:color="auto" w:sz="4" w:space="0"/>
                    <w:left w:val="single" w:color="auto" w:sz="4" w:space="0"/>
                    <w:bottom w:val="single" w:color="auto" w:sz="4" w:space="0"/>
                    <w:right w:val="single" w:color="auto" w:sz="4" w:space="0"/>
                  </w:tcBorders>
                  <w:shd w:val="clear" w:color="auto" w:fill="auto"/>
                  <w:vAlign w:val="center"/>
                </w:tcPr>
                <w:p w14:paraId="538D37CE">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0.09</w:t>
                  </w:r>
                </w:p>
              </w:tc>
              <w:tc>
                <w:tcPr>
                  <w:tcW w:w="811" w:type="pct"/>
                  <w:tcBorders>
                    <w:top w:val="single" w:color="auto" w:sz="4" w:space="0"/>
                    <w:left w:val="single" w:color="auto" w:sz="4" w:space="0"/>
                    <w:bottom w:val="single" w:color="auto" w:sz="4" w:space="0"/>
                    <w:right w:val="single" w:color="auto" w:sz="4" w:space="0"/>
                  </w:tcBorders>
                  <w:shd w:val="clear" w:color="auto" w:fill="auto"/>
                  <w:vAlign w:val="center"/>
                </w:tcPr>
                <w:p w14:paraId="0FAAD18C">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0.2</w:t>
                  </w:r>
                </w:p>
              </w:tc>
              <w:tc>
                <w:tcPr>
                  <w:tcW w:w="709" w:type="pct"/>
                  <w:tcBorders>
                    <w:top w:val="single" w:color="auto" w:sz="4" w:space="0"/>
                    <w:left w:val="single" w:color="auto" w:sz="4" w:space="0"/>
                    <w:bottom w:val="single" w:color="auto" w:sz="4" w:space="0"/>
                    <w:right w:val="nil"/>
                  </w:tcBorders>
                  <w:shd w:val="clear" w:color="auto" w:fill="auto"/>
                  <w:vAlign w:val="center"/>
                </w:tcPr>
                <w:p w14:paraId="6F557ECA">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eastAsia"/>
                      <w:b w:val="0"/>
                      <w:color w:val="000000"/>
                      <w:szCs w:val="22"/>
                      <w:lang w:val="en-US" w:eastAsia="zh-CN"/>
                    </w:rPr>
                    <w:t>+</w:t>
                  </w:r>
                  <w:r>
                    <w:rPr>
                      <w:rFonts w:hint="default"/>
                      <w:b w:val="0"/>
                      <w:color w:val="000000"/>
                      <w:szCs w:val="22"/>
                      <w:lang w:val="en-US" w:eastAsia="zh-CN"/>
                    </w:rPr>
                    <w:t>0.11</w:t>
                  </w:r>
                </w:p>
              </w:tc>
            </w:tr>
            <w:tr w14:paraId="2DF969A4">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5" w:hRule="atLeast"/>
                <w:jc w:val="center"/>
              </w:trPr>
              <w:tc>
                <w:tcPr>
                  <w:tcW w:w="369" w:type="pct"/>
                  <w:vMerge w:val="continue"/>
                  <w:tcBorders>
                    <w:top w:val="single" w:color="auto" w:sz="4" w:space="0"/>
                    <w:left w:val="nil"/>
                    <w:bottom w:val="single" w:color="auto" w:sz="4" w:space="0"/>
                    <w:right w:val="single" w:color="auto" w:sz="4" w:space="0"/>
                  </w:tcBorders>
                  <w:shd w:val="clear" w:color="auto" w:fill="auto"/>
                  <w:vAlign w:val="center"/>
                </w:tcPr>
                <w:p w14:paraId="4CEE984E">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656" w:type="pct"/>
                  <w:tcBorders>
                    <w:top w:val="single" w:color="auto" w:sz="4" w:space="0"/>
                    <w:left w:val="single" w:color="auto" w:sz="4" w:space="0"/>
                    <w:bottom w:val="single" w:color="auto" w:sz="4" w:space="0"/>
                    <w:right w:val="single" w:color="auto" w:sz="4" w:space="0"/>
                  </w:tcBorders>
                  <w:shd w:val="clear" w:color="auto" w:fill="auto"/>
                  <w:vAlign w:val="center"/>
                </w:tcPr>
                <w:p w14:paraId="3C3102B5">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eastAsia"/>
                      <w:b w:val="0"/>
                      <w:color w:val="000000"/>
                      <w:szCs w:val="22"/>
                      <w:lang w:val="en-US" w:eastAsia="zh-CN"/>
                    </w:rPr>
                    <w:t>废机油</w:t>
                  </w:r>
                </w:p>
              </w:tc>
              <w:tc>
                <w:tcPr>
                  <w:tcW w:w="911" w:type="pct"/>
                  <w:tcBorders>
                    <w:top w:val="single" w:color="auto" w:sz="4" w:space="0"/>
                    <w:left w:val="single" w:color="auto" w:sz="4" w:space="0"/>
                    <w:bottom w:val="single" w:color="auto" w:sz="4" w:space="0"/>
                    <w:right w:val="single" w:color="auto" w:sz="4" w:space="0"/>
                  </w:tcBorders>
                  <w:shd w:val="clear" w:color="auto" w:fill="auto"/>
                  <w:vAlign w:val="center"/>
                </w:tcPr>
                <w:p w14:paraId="038C10A0">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0.01</w:t>
                  </w:r>
                </w:p>
              </w:tc>
              <w:tc>
                <w:tcPr>
                  <w:tcW w:w="847" w:type="pct"/>
                  <w:tcBorders>
                    <w:top w:val="single" w:color="auto" w:sz="4" w:space="0"/>
                    <w:left w:val="single" w:color="auto" w:sz="4" w:space="0"/>
                    <w:bottom w:val="single" w:color="auto" w:sz="4" w:space="0"/>
                    <w:right w:val="single" w:color="auto" w:sz="4" w:space="0"/>
                  </w:tcBorders>
                  <w:shd w:val="clear" w:color="auto" w:fill="auto"/>
                  <w:vAlign w:val="center"/>
                </w:tcPr>
                <w:p w14:paraId="5BC1696E">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0.01</w:t>
                  </w:r>
                </w:p>
              </w:tc>
              <w:tc>
                <w:tcPr>
                  <w:tcW w:w="693" w:type="pct"/>
                  <w:tcBorders>
                    <w:top w:val="single" w:color="auto" w:sz="4" w:space="0"/>
                    <w:left w:val="single" w:color="auto" w:sz="4" w:space="0"/>
                    <w:bottom w:val="single" w:color="auto" w:sz="4" w:space="0"/>
                    <w:right w:val="single" w:color="auto" w:sz="4" w:space="0"/>
                  </w:tcBorders>
                  <w:shd w:val="clear" w:color="auto" w:fill="auto"/>
                  <w:vAlign w:val="center"/>
                </w:tcPr>
                <w:p w14:paraId="566B69D6">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0.01</w:t>
                  </w:r>
                </w:p>
              </w:tc>
              <w:tc>
                <w:tcPr>
                  <w:tcW w:w="811" w:type="pct"/>
                  <w:tcBorders>
                    <w:top w:val="single" w:color="auto" w:sz="4" w:space="0"/>
                    <w:left w:val="single" w:color="auto" w:sz="4" w:space="0"/>
                    <w:bottom w:val="single" w:color="auto" w:sz="4" w:space="0"/>
                    <w:right w:val="single" w:color="auto" w:sz="4" w:space="0"/>
                  </w:tcBorders>
                  <w:shd w:val="clear" w:color="auto" w:fill="auto"/>
                  <w:vAlign w:val="center"/>
                </w:tcPr>
                <w:p w14:paraId="06BD929B">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0.01</w:t>
                  </w:r>
                </w:p>
              </w:tc>
              <w:tc>
                <w:tcPr>
                  <w:tcW w:w="709" w:type="pct"/>
                  <w:tcBorders>
                    <w:top w:val="single" w:color="auto" w:sz="4" w:space="0"/>
                    <w:left w:val="single" w:color="auto" w:sz="4" w:space="0"/>
                    <w:bottom w:val="single" w:color="auto" w:sz="4" w:space="0"/>
                    <w:right w:val="nil"/>
                  </w:tcBorders>
                  <w:shd w:val="clear" w:color="auto" w:fill="auto"/>
                  <w:vAlign w:val="center"/>
                </w:tcPr>
                <w:p w14:paraId="6B012264">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w:t>
                  </w:r>
                </w:p>
              </w:tc>
            </w:tr>
            <w:tr w14:paraId="538F098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51" w:hRule="atLeast"/>
                <w:jc w:val="center"/>
              </w:trPr>
              <w:tc>
                <w:tcPr>
                  <w:tcW w:w="369" w:type="pct"/>
                  <w:vMerge w:val="continue"/>
                  <w:tcBorders>
                    <w:top w:val="single" w:color="auto" w:sz="4" w:space="0"/>
                    <w:left w:val="nil"/>
                    <w:bottom w:val="single" w:color="000000" w:sz="12" w:space="0"/>
                    <w:right w:val="single" w:color="auto" w:sz="4" w:space="0"/>
                  </w:tcBorders>
                  <w:shd w:val="clear" w:color="auto" w:fill="auto"/>
                  <w:vAlign w:val="center"/>
                </w:tcPr>
                <w:p w14:paraId="441F6500">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656" w:type="pct"/>
                  <w:tcBorders>
                    <w:top w:val="single" w:color="auto" w:sz="4" w:space="0"/>
                    <w:left w:val="single" w:color="auto" w:sz="4" w:space="0"/>
                    <w:bottom w:val="single" w:color="000000" w:sz="12" w:space="0"/>
                    <w:right w:val="single" w:color="auto" w:sz="4" w:space="0"/>
                  </w:tcBorders>
                  <w:shd w:val="clear" w:color="auto" w:fill="auto"/>
                  <w:vAlign w:val="center"/>
                </w:tcPr>
                <w:p w14:paraId="2F85BB5E">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生活垃圾</w:t>
                  </w:r>
                </w:p>
              </w:tc>
              <w:tc>
                <w:tcPr>
                  <w:tcW w:w="911" w:type="pct"/>
                  <w:tcBorders>
                    <w:top w:val="single" w:color="auto" w:sz="4" w:space="0"/>
                    <w:left w:val="single" w:color="auto" w:sz="4" w:space="0"/>
                    <w:bottom w:val="single" w:color="000000" w:sz="12" w:space="0"/>
                    <w:right w:val="single" w:color="auto" w:sz="4" w:space="0"/>
                  </w:tcBorders>
                  <w:shd w:val="clear" w:color="auto" w:fill="auto"/>
                  <w:vAlign w:val="center"/>
                </w:tcPr>
                <w:p w14:paraId="09785A0D">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1.5</w:t>
                  </w:r>
                </w:p>
              </w:tc>
              <w:tc>
                <w:tcPr>
                  <w:tcW w:w="847" w:type="pct"/>
                  <w:tcBorders>
                    <w:top w:val="single" w:color="auto" w:sz="4" w:space="0"/>
                    <w:left w:val="single" w:color="auto" w:sz="4" w:space="0"/>
                    <w:bottom w:val="single" w:color="000000" w:sz="12" w:space="0"/>
                    <w:right w:val="single" w:color="auto" w:sz="4" w:space="0"/>
                  </w:tcBorders>
                  <w:shd w:val="clear" w:color="auto" w:fill="auto"/>
                  <w:vAlign w:val="center"/>
                </w:tcPr>
                <w:p w14:paraId="12446BA5">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1.95</w:t>
                  </w:r>
                </w:p>
              </w:tc>
              <w:tc>
                <w:tcPr>
                  <w:tcW w:w="693" w:type="pct"/>
                  <w:tcBorders>
                    <w:top w:val="single" w:color="auto" w:sz="4" w:space="0"/>
                    <w:left w:val="single" w:color="auto" w:sz="4" w:space="0"/>
                    <w:bottom w:val="single" w:color="000000" w:sz="12" w:space="0"/>
                    <w:right w:val="single" w:color="auto" w:sz="4" w:space="0"/>
                  </w:tcBorders>
                  <w:shd w:val="clear" w:color="auto" w:fill="auto"/>
                  <w:vAlign w:val="center"/>
                </w:tcPr>
                <w:p w14:paraId="164E5D89">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1.5</w:t>
                  </w:r>
                </w:p>
              </w:tc>
              <w:tc>
                <w:tcPr>
                  <w:tcW w:w="811" w:type="pct"/>
                  <w:tcBorders>
                    <w:top w:val="single" w:color="auto" w:sz="4" w:space="0"/>
                    <w:left w:val="single" w:color="auto" w:sz="4" w:space="0"/>
                    <w:bottom w:val="single" w:color="000000" w:sz="12" w:space="0"/>
                    <w:right w:val="single" w:color="auto" w:sz="4" w:space="0"/>
                  </w:tcBorders>
                  <w:shd w:val="clear" w:color="auto" w:fill="auto"/>
                  <w:vAlign w:val="center"/>
                </w:tcPr>
                <w:p w14:paraId="20FE5874">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1.95</w:t>
                  </w:r>
                </w:p>
              </w:tc>
              <w:tc>
                <w:tcPr>
                  <w:tcW w:w="709" w:type="pct"/>
                  <w:tcBorders>
                    <w:top w:val="single" w:color="auto" w:sz="4" w:space="0"/>
                    <w:left w:val="single" w:color="auto" w:sz="4" w:space="0"/>
                    <w:bottom w:val="single" w:color="000000" w:sz="12" w:space="0"/>
                    <w:right w:val="nil"/>
                  </w:tcBorders>
                  <w:shd w:val="clear" w:color="auto" w:fill="auto"/>
                  <w:vAlign w:val="center"/>
                </w:tcPr>
                <w:p w14:paraId="1BC3EEA0">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eastAsia"/>
                      <w:b w:val="0"/>
                      <w:color w:val="000000"/>
                      <w:szCs w:val="22"/>
                      <w:lang w:val="en-US" w:eastAsia="zh-CN"/>
                    </w:rPr>
                    <w:t>+</w:t>
                  </w:r>
                  <w:r>
                    <w:rPr>
                      <w:rFonts w:hint="default"/>
                      <w:b w:val="0"/>
                      <w:color w:val="000000"/>
                      <w:szCs w:val="22"/>
                      <w:lang w:val="en-US" w:eastAsia="zh-CN"/>
                    </w:rPr>
                    <w:t>0.45</w:t>
                  </w:r>
                </w:p>
              </w:tc>
            </w:tr>
          </w:tbl>
          <w:p w14:paraId="6F49FE86">
            <w:pPr>
              <w:pStyle w:val="4"/>
              <w:suppressLineNumbers w:val="0"/>
              <w:tabs>
                <w:tab w:val="left" w:pos="420"/>
                <w:tab w:val="clear" w:pos="0"/>
              </w:tabs>
              <w:bidi w:val="0"/>
              <w:spacing w:before="0" w:beforeAutospacing="0" w:after="0" w:afterAutospacing="0"/>
              <w:ind w:left="0" w:right="0"/>
              <w:rPr>
                <w:rFonts w:hint="eastAsia"/>
                <w:color w:val="000000"/>
                <w:lang w:val="en-US" w:eastAsia="zh-CN"/>
              </w:rPr>
            </w:pPr>
            <w:r>
              <w:rPr>
                <w:rFonts w:hint="eastAsia"/>
                <w:color w:val="000000"/>
                <w:lang w:val="en-US" w:eastAsia="zh-CN"/>
              </w:rPr>
              <w:t>现有项目搬迁方案</w:t>
            </w:r>
          </w:p>
          <w:p w14:paraId="275C7BA7">
            <w:pPr>
              <w:keepNext w:val="0"/>
              <w:keepLines w:val="0"/>
              <w:suppressLineNumbers w:val="0"/>
              <w:spacing w:before="0" w:beforeAutospacing="0" w:after="0" w:afterAutospacing="0"/>
              <w:ind w:left="0" w:right="0" w:firstLine="480" w:firstLineChars="200"/>
              <w:rPr>
                <w:rFonts w:hint="eastAsia"/>
                <w:lang w:val="en-US" w:eastAsia="zh-CN"/>
              </w:rPr>
            </w:pPr>
            <w:r>
              <w:rPr>
                <w:rFonts w:hint="eastAsia"/>
                <w:lang w:val="en-US" w:eastAsia="zh-CN"/>
              </w:rPr>
              <w:t>现有项目位于福建省福州市福清融侨经济技术开发区（租赁东光精密钟表（福清）有限公司5号厂房2层），本次迁建将现有项目所有生产设备，搬至福建省福州市福清融侨经济技术开发区（</w:t>
            </w:r>
            <w:r>
              <w:rPr>
                <w:rFonts w:hint="eastAsia" w:cs="宋体"/>
                <w:b w:val="0"/>
                <w:bCs w:val="0"/>
                <w:iCs w:val="0"/>
                <w:color w:val="auto"/>
                <w:lang w:eastAsia="zh-CN"/>
              </w:rPr>
              <w:t>福建省福州市福清市阳下街道玉岭村147号车间2三楼</w:t>
            </w:r>
            <w:r>
              <w:rPr>
                <w:rFonts w:hint="eastAsia"/>
                <w:lang w:val="en-US" w:eastAsia="zh-CN"/>
              </w:rPr>
              <w:t>）</w:t>
            </w:r>
            <w:r>
              <w:rPr>
                <w:rFonts w:hint="eastAsia"/>
                <w:color w:val="auto"/>
                <w:lang w:val="en-US" w:eastAsia="zh-CN"/>
              </w:rPr>
              <w:t>。其中现有项目环保设施的废气处理设施为</w:t>
            </w:r>
            <w:r>
              <w:rPr>
                <w:rFonts w:hint="eastAsia"/>
                <w:color w:val="auto"/>
              </w:rPr>
              <w:t>过滤棉+活性炭吸附装置</w:t>
            </w:r>
            <w:r>
              <w:rPr>
                <w:rFonts w:hint="eastAsia"/>
                <w:color w:val="auto"/>
                <w:lang w:val="en-US" w:eastAsia="zh-CN"/>
              </w:rPr>
              <w:t>，现有项目停产后，搬至本项目位置，作为生产线1#的废气治理设施，新购置2套“</w:t>
            </w:r>
            <w:r>
              <w:rPr>
                <w:rFonts w:hint="eastAsia"/>
                <w:color w:val="auto"/>
              </w:rPr>
              <w:t>过滤棉+活性炭吸附装置</w:t>
            </w:r>
            <w:r>
              <w:rPr>
                <w:rFonts w:hint="eastAsia"/>
                <w:color w:val="auto"/>
                <w:lang w:val="en-US" w:eastAsia="zh-CN"/>
              </w:rPr>
              <w:t>2#”3#分别作为生产线2#</w:t>
            </w:r>
            <w:r>
              <w:rPr>
                <w:rFonts w:hint="eastAsia" w:cs="Times New Roman"/>
                <w:color w:val="auto"/>
                <w:kern w:val="0"/>
                <w:sz w:val="24"/>
                <w:szCs w:val="24"/>
                <w:lang w:val="en-US" w:eastAsia="zh-CN" w:bidi="ar-SA"/>
              </w:rPr>
              <w:t>、生产线3#</w:t>
            </w:r>
            <w:r>
              <w:rPr>
                <w:rFonts w:hint="eastAsia"/>
                <w:color w:val="auto"/>
                <w:lang w:val="en-US" w:eastAsia="zh-CN"/>
              </w:rPr>
              <w:t>的废气治理设施。具体搬迁方案如下：</w:t>
            </w:r>
          </w:p>
          <w:p w14:paraId="0B24B39B">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（1）对现有车间布局、设备状况、库存量等进行全面评估。</w:t>
            </w:r>
          </w:p>
          <w:p w14:paraId="12825C78">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（2）对新场地进行实地考察，包括面积、承重、基础设施等。</w:t>
            </w:r>
          </w:p>
          <w:p w14:paraId="19A69630">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（3）选择合适的物流公司或租赁必要的运输工具，规划运输路线。</w:t>
            </w:r>
          </w:p>
          <w:p w14:paraId="0D30147D">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（4）根据本次环评设计的车间平面布置图，让生产设备合理布局于车间内，减少噪声对外界影响，保证密闭负压车间能做到环评设计的废气集气效率。</w:t>
            </w:r>
          </w:p>
          <w:p w14:paraId="4A126AFC">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（5）将现有项目旧设备全部搬至新厂址，在新场地内完成新购置设备的安装，并进行必要的调试，确保正常运行。</w:t>
            </w:r>
          </w:p>
          <w:p w14:paraId="37F1ACFD">
            <w:pPr>
              <w:pStyle w:val="4"/>
              <w:suppressLineNumbers w:val="0"/>
              <w:tabs>
                <w:tab w:val="left" w:pos="420"/>
                <w:tab w:val="clear" w:pos="0"/>
              </w:tabs>
              <w:bidi w:val="0"/>
              <w:spacing w:before="0" w:beforeAutospacing="0" w:after="0" w:afterAutospacing="0"/>
              <w:ind w:left="0" w:right="0"/>
              <w:rPr>
                <w:rFonts w:hint="eastAsia"/>
                <w:color w:val="000000"/>
                <w:lang w:val="en-US" w:eastAsia="zh-CN"/>
              </w:rPr>
            </w:pPr>
            <w:r>
              <w:rPr>
                <w:rFonts w:hint="eastAsia"/>
                <w:color w:val="000000"/>
                <w:lang w:val="en-US" w:eastAsia="zh-CN"/>
              </w:rPr>
              <w:t>现有项目退役期环境影响</w:t>
            </w:r>
          </w:p>
          <w:p w14:paraId="563D107E">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（1）生产线退役环境影响分析</w:t>
            </w:r>
          </w:p>
          <w:p w14:paraId="63BECFE3">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项目退役后，生产线将完全停止生产，因此将不再产生废水、废气</w:t>
            </w:r>
            <w:r>
              <w:rPr>
                <w:rFonts w:hint="eastAsia"/>
                <w:lang w:val="en-US" w:eastAsia="zh-CN"/>
              </w:rPr>
              <w:t>、</w:t>
            </w:r>
            <w:r>
              <w:rPr>
                <w:rFonts w:hint="default"/>
                <w:lang w:val="en-US" w:eastAsia="zh-CN"/>
              </w:rPr>
              <w:t>噪声、</w:t>
            </w:r>
            <w:r>
              <w:rPr>
                <w:rFonts w:hint="eastAsia"/>
                <w:lang w:val="en-US" w:eastAsia="zh-CN"/>
              </w:rPr>
              <w:t>固体废物</w:t>
            </w:r>
            <w:r>
              <w:rPr>
                <w:rFonts w:hint="default"/>
                <w:lang w:val="en-US" w:eastAsia="zh-CN"/>
              </w:rPr>
              <w:t>等环境污染物。对尚未用完的原料必须进行妥善处理，不得随意堆放</w:t>
            </w:r>
            <w:r>
              <w:rPr>
                <w:rFonts w:hint="eastAsia"/>
                <w:lang w:val="en-US" w:eastAsia="zh-CN"/>
              </w:rPr>
              <w:t>，可将未用完的原料进行密封保存，妥善安全地转移至新厂址</w:t>
            </w:r>
            <w:r>
              <w:rPr>
                <w:rFonts w:hint="default"/>
                <w:lang w:val="en-US" w:eastAsia="zh-CN"/>
              </w:rPr>
              <w:t>；危险</w:t>
            </w:r>
            <w:r>
              <w:rPr>
                <w:rFonts w:hint="eastAsia"/>
                <w:lang w:val="en-US" w:eastAsia="zh-CN"/>
              </w:rPr>
              <w:t>废物</w:t>
            </w:r>
            <w:r>
              <w:rPr>
                <w:rFonts w:hint="default"/>
                <w:lang w:val="en-US" w:eastAsia="zh-CN"/>
              </w:rPr>
              <w:t>必须妥善处置，</w:t>
            </w:r>
            <w:r>
              <w:rPr>
                <w:rFonts w:hint="eastAsia"/>
                <w:lang w:val="en-US" w:eastAsia="zh-CN"/>
              </w:rPr>
              <w:t>委托有资质的单位处置完毕，</w:t>
            </w:r>
            <w:r>
              <w:rPr>
                <w:rFonts w:hint="default"/>
                <w:lang w:val="en-US" w:eastAsia="zh-CN"/>
              </w:rPr>
              <w:t>避免因流失而造成环境污染和人身安全事故。</w:t>
            </w:r>
          </w:p>
          <w:p w14:paraId="5C459EA7">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（2）设备退役环境影响分析</w:t>
            </w:r>
            <w:r>
              <w:rPr>
                <w:rFonts w:hint="eastAsia"/>
                <w:lang w:val="en-US" w:eastAsia="zh-CN"/>
              </w:rPr>
              <w:t>及污染防治措施</w:t>
            </w:r>
          </w:p>
          <w:p w14:paraId="07CE7EDC">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企业退役后，其设备处置应遵循以下两方面原则：</w:t>
            </w:r>
          </w:p>
          <w:p w14:paraId="0E4D1D83">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①在退役时，尚不属于行业淘汰范围的</w:t>
            </w:r>
            <w:r>
              <w:rPr>
                <w:rFonts w:hint="eastAsia"/>
                <w:lang w:val="en-US" w:eastAsia="zh-CN"/>
              </w:rPr>
              <w:t>且</w:t>
            </w:r>
            <w:r>
              <w:rPr>
                <w:rFonts w:hint="default"/>
                <w:lang w:val="en-US" w:eastAsia="zh-CN"/>
              </w:rPr>
              <w:t>尚符合当时国家产业政策和地方政策的设备，可出售给相应企业；</w:t>
            </w:r>
          </w:p>
          <w:p w14:paraId="54508385">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②在退役时，属于行业淘汰范围、不符合当时国家产业政策和地方政策中的一种，即应予以报废，设备可按废品出售给回收单位。</w:t>
            </w:r>
          </w:p>
          <w:p w14:paraId="2AA35201">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（3）原料退役环境影响分析</w:t>
            </w:r>
          </w:p>
          <w:p w14:paraId="729FE598">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遗留的原料、包装桶等经整理后可退原厂家，要求操作及管理人员应根据相关要求操作，防止原料</w:t>
            </w:r>
            <w:r>
              <w:rPr>
                <w:rFonts w:hint="eastAsia"/>
                <w:lang w:val="en-US" w:eastAsia="zh-CN"/>
              </w:rPr>
              <w:t>泄漏</w:t>
            </w:r>
            <w:r>
              <w:rPr>
                <w:rFonts w:hint="default"/>
                <w:lang w:val="en-US" w:eastAsia="zh-CN"/>
              </w:rPr>
              <w:t>。</w:t>
            </w:r>
          </w:p>
          <w:p w14:paraId="25A17A6B">
            <w:pPr>
              <w:keepNext w:val="0"/>
              <w:keepLines w:val="0"/>
              <w:suppressLineNumbers w:val="0"/>
              <w:bidi w:val="0"/>
              <w:spacing w:before="0" w:beforeAutospacing="0" w:after="0" w:afterAutospacing="0"/>
              <w:ind w:left="0" w:right="0"/>
              <w:rPr>
                <w:rFonts w:hint="default" w:ascii="Times New Roman" w:hAnsi="Times New Roman" w:cs="Times New Roman"/>
                <w:color w:val="auto"/>
                <w:vertAlign w:val="baseline"/>
                <w:lang w:val="en-US" w:eastAsia="zh-CN"/>
              </w:rPr>
            </w:pPr>
            <w:r>
              <w:rPr>
                <w:rFonts w:hint="default"/>
                <w:lang w:val="en-US" w:eastAsia="zh-CN"/>
              </w:rPr>
              <w:t>项目退役后，不再产生废气、</w:t>
            </w:r>
            <w:r>
              <w:rPr>
                <w:rFonts w:hint="eastAsia"/>
                <w:lang w:val="en-US" w:eastAsia="zh-CN"/>
              </w:rPr>
              <w:t>废水</w:t>
            </w:r>
            <w:r>
              <w:rPr>
                <w:rFonts w:hint="default"/>
                <w:lang w:val="en-US" w:eastAsia="zh-CN"/>
              </w:rPr>
              <w:t>、噪声和固体废物对环境的不利影响，不会遗留潜在的环境影响问题，不会造成新的环境污染危害，项目退役期对环境影响较小。</w:t>
            </w:r>
          </w:p>
        </w:tc>
      </w:tr>
    </w:tbl>
    <w:p w14:paraId="05F68908">
      <w:pPr>
        <w:jc w:val="center"/>
        <w:rPr>
          <w:rFonts w:ascii="Times New Roman" w:hAnsi="Times New Roman" w:eastAsia="黑体"/>
          <w:snapToGrid w:val="0"/>
          <w:color w:val="auto"/>
          <w:sz w:val="36"/>
          <w:szCs w:val="36"/>
        </w:rPr>
        <w:sectPr>
          <w:pgSz w:w="11906" w:h="16838"/>
          <w:pgMar w:top="1418"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1D0437F9">
      <w:pPr>
        <w:pStyle w:val="2"/>
        <w:tabs>
          <w:tab w:val="left" w:pos="420"/>
          <w:tab w:val="clear" w:pos="715"/>
        </w:tabs>
        <w:bidi w:val="0"/>
      </w:pPr>
      <w:bookmarkStart w:id="20" w:name="_Toc7854"/>
      <w:bookmarkStart w:id="21" w:name="_Toc29608"/>
      <w:r>
        <w:t>区域环境质量现状、环境保护目标及评价标准</w:t>
      </w:r>
      <w:bookmarkEnd w:id="20"/>
      <w:bookmarkEnd w:id="21"/>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0"/>
        <w:gridCol w:w="8610"/>
      </w:tblGrid>
      <w:tr w14:paraId="6BE365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5" w:hRule="atLeast"/>
          <w:jc w:val="center"/>
        </w:trPr>
        <w:tc>
          <w:tcPr>
            <w:tcW w:w="800" w:type="dxa"/>
            <w:noWrap w:val="0"/>
            <w:vAlign w:val="center"/>
          </w:tcPr>
          <w:p w14:paraId="308BFA28">
            <w:pPr>
              <w:pStyle w:val="40"/>
              <w:keepNext w:val="0"/>
              <w:keepLines w:val="0"/>
              <w:suppressLineNumbers w:val="0"/>
              <w:bidi w:val="0"/>
              <w:spacing w:before="0" w:beforeAutospacing="0" w:after="0" w:afterAutospacing="0"/>
              <w:ind w:left="0" w:right="0"/>
              <w:rPr>
                <w:rFonts w:hint="eastAsia"/>
              </w:rPr>
            </w:pPr>
            <w:r>
              <w:rPr>
                <w:rFonts w:hint="eastAsia"/>
              </w:rPr>
              <w:t>区域</w:t>
            </w:r>
          </w:p>
          <w:p w14:paraId="7FF632BC">
            <w:pPr>
              <w:pStyle w:val="40"/>
              <w:keepNext w:val="0"/>
              <w:keepLines w:val="0"/>
              <w:suppressLineNumbers w:val="0"/>
              <w:bidi w:val="0"/>
              <w:spacing w:before="0" w:beforeAutospacing="0" w:after="0" w:afterAutospacing="0"/>
              <w:ind w:left="0" w:right="0"/>
              <w:rPr>
                <w:rFonts w:hint="eastAsia"/>
              </w:rPr>
            </w:pPr>
            <w:r>
              <w:rPr>
                <w:rFonts w:hint="eastAsia"/>
              </w:rPr>
              <w:t>环境</w:t>
            </w:r>
          </w:p>
          <w:p w14:paraId="00E6EF28">
            <w:pPr>
              <w:pStyle w:val="40"/>
              <w:keepNext w:val="0"/>
              <w:keepLines w:val="0"/>
              <w:suppressLineNumbers w:val="0"/>
              <w:bidi w:val="0"/>
              <w:spacing w:before="0" w:beforeAutospacing="0" w:after="0" w:afterAutospacing="0"/>
              <w:ind w:left="0" w:right="0"/>
              <w:rPr>
                <w:rFonts w:hint="eastAsia"/>
              </w:rPr>
            </w:pPr>
            <w:r>
              <w:rPr>
                <w:rFonts w:hint="eastAsia"/>
              </w:rPr>
              <w:t>质量</w:t>
            </w:r>
          </w:p>
          <w:p w14:paraId="13F0EE46">
            <w:pPr>
              <w:pStyle w:val="40"/>
              <w:keepNext w:val="0"/>
              <w:keepLines w:val="0"/>
              <w:suppressLineNumbers w:val="0"/>
              <w:bidi w:val="0"/>
              <w:spacing w:before="0" w:beforeAutospacing="0" w:after="0" w:afterAutospacing="0"/>
              <w:ind w:left="0" w:right="0"/>
              <w:rPr>
                <w:rFonts w:hint="eastAsia"/>
              </w:rPr>
            </w:pPr>
            <w:r>
              <w:rPr>
                <w:rFonts w:hint="eastAsia"/>
              </w:rPr>
              <w:t>现状</w:t>
            </w:r>
          </w:p>
        </w:tc>
        <w:tc>
          <w:tcPr>
            <w:tcW w:w="8190" w:type="dxa"/>
            <w:noWrap w:val="0"/>
            <w:vAlign w:val="center"/>
          </w:tcPr>
          <w:p w14:paraId="468F78B1">
            <w:pPr>
              <w:pStyle w:val="3"/>
              <w:keepNext w:val="0"/>
              <w:keepLines w:val="0"/>
              <w:suppressLineNumbers w:val="0"/>
              <w:bidi w:val="0"/>
              <w:spacing w:before="0" w:beforeAutospacing="0" w:after="0" w:afterAutospacing="0"/>
              <w:ind w:left="0" w:right="0"/>
              <w:rPr>
                <w:rFonts w:hint="default"/>
              </w:rPr>
            </w:pPr>
            <w:r>
              <w:rPr>
                <w:rFonts w:hint="eastAsia"/>
                <w:lang w:val="en-US" w:eastAsia="zh-CN"/>
              </w:rPr>
              <w:t>大气</w:t>
            </w:r>
            <w:r>
              <w:rPr>
                <w:rFonts w:hint="default"/>
                <w:lang w:val="en-US" w:eastAsia="zh-CN"/>
              </w:rPr>
              <w:t>环境</w:t>
            </w:r>
            <w:r>
              <w:rPr>
                <w:rFonts w:hint="default"/>
              </w:rPr>
              <w:t>质量现状</w:t>
            </w:r>
          </w:p>
          <w:p w14:paraId="09A8C42C">
            <w:pPr>
              <w:pStyle w:val="4"/>
              <w:suppressLineNumbers w:val="0"/>
              <w:bidi w:val="0"/>
              <w:spacing w:before="0" w:beforeAutospacing="0" w:after="0" w:afterAutospacing="0"/>
              <w:ind w:left="0" w:right="0"/>
              <w:rPr>
                <w:rFonts w:hint="eastAsia"/>
                <w:lang w:val="en-US" w:eastAsia="zh-CN"/>
              </w:rPr>
            </w:pPr>
            <w:r>
              <w:rPr>
                <w:rFonts w:hint="default"/>
                <w:lang w:val="en-US" w:eastAsia="zh-CN"/>
              </w:rPr>
              <w:t>环境空气质量功能区划</w:t>
            </w:r>
          </w:p>
          <w:p w14:paraId="70676887">
            <w:pPr>
              <w:keepNext w:val="0"/>
              <w:keepLines w:val="0"/>
              <w:suppressLineNumbers w:val="0"/>
              <w:bidi w:val="0"/>
              <w:spacing w:before="0" w:beforeAutospacing="0" w:after="0" w:afterAutospacing="0"/>
              <w:ind w:left="0" w:right="0"/>
              <w:rPr>
                <w:rFonts w:hint="eastAsia"/>
              </w:rPr>
            </w:pPr>
            <w:bookmarkStart w:id="22" w:name="_Toc338850492"/>
            <w:bookmarkStart w:id="23" w:name="_Toc339964236"/>
            <w:r>
              <w:rPr>
                <w:rFonts w:hint="eastAsia"/>
              </w:rPr>
              <w:t>本评价区域处于福清市融侨经济开发区</w:t>
            </w:r>
            <w:r>
              <w:rPr>
                <w:rFonts w:hint="eastAsia"/>
                <w:lang w:eastAsia="zh-CN"/>
              </w:rPr>
              <w:t>，</w:t>
            </w:r>
            <w:r>
              <w:rPr>
                <w:rFonts w:hint="eastAsia"/>
              </w:rPr>
              <w:t>根据福州市人民政府榕政综</w:t>
            </w:r>
            <w:r>
              <w:rPr>
                <w:rFonts w:hint="eastAsia"/>
                <w:lang w:eastAsia="zh-CN"/>
              </w:rPr>
              <w:t>〔2014〕30号</w:t>
            </w:r>
            <w:r>
              <w:rPr>
                <w:rFonts w:hint="eastAsia"/>
              </w:rPr>
              <w:t>文件正式批准实施《福州市环境空气质量功能区划</w:t>
            </w:r>
            <w:r>
              <w:rPr>
                <w:rFonts w:hint="eastAsia"/>
                <w:lang w:eastAsia="zh-CN"/>
              </w:rPr>
              <w:t>（</w:t>
            </w:r>
            <w:r>
              <w:rPr>
                <w:rFonts w:hint="eastAsia"/>
              </w:rPr>
              <w:t>报批稿</w:t>
            </w:r>
            <w:r>
              <w:rPr>
                <w:rFonts w:hint="eastAsia"/>
                <w:lang w:eastAsia="zh-CN"/>
              </w:rPr>
              <w:t>）</w:t>
            </w:r>
            <w:r>
              <w:rPr>
                <w:rFonts w:hint="eastAsia"/>
              </w:rPr>
              <w:t>》的规定，项目所在区域环境空气功能规划为二类区，环境空气质量执行《环境空气质量标准》</w:t>
            </w:r>
            <w:r>
              <w:rPr>
                <w:rFonts w:hint="eastAsia"/>
                <w:lang w:eastAsia="zh-CN"/>
              </w:rPr>
              <w:t>（</w:t>
            </w:r>
            <w:r>
              <w:rPr>
                <w:rFonts w:hint="eastAsia"/>
              </w:rPr>
              <w:t>GB3095-2012</w:t>
            </w:r>
            <w:r>
              <w:rPr>
                <w:rFonts w:hint="eastAsia"/>
                <w:lang w:eastAsia="zh-CN"/>
              </w:rPr>
              <w:t>）</w:t>
            </w:r>
            <w:r>
              <w:rPr>
                <w:rFonts w:hint="eastAsia"/>
              </w:rPr>
              <w:t>及其修改单中的二级标准。非甲烷总烃参照执行《大气污染物综合排放标准详解》</w:t>
            </w:r>
            <w:r>
              <w:rPr>
                <w:rFonts w:hint="eastAsia"/>
                <w:lang w:eastAsia="zh-CN"/>
              </w:rPr>
              <w:t>（</w:t>
            </w:r>
            <w:r>
              <w:rPr>
                <w:rFonts w:hint="eastAsia"/>
              </w:rPr>
              <w:t>国家</w:t>
            </w:r>
            <w:r>
              <w:rPr>
                <w:rFonts w:hint="eastAsia"/>
                <w:lang w:eastAsia="zh-CN"/>
              </w:rPr>
              <w:t>生态环境局</w:t>
            </w:r>
            <w:r>
              <w:rPr>
                <w:rFonts w:hint="eastAsia"/>
              </w:rPr>
              <w:t>科技标准司</w:t>
            </w:r>
            <w:r>
              <w:rPr>
                <w:rFonts w:hint="eastAsia"/>
                <w:lang w:eastAsia="zh-CN"/>
              </w:rPr>
              <w:t>）</w:t>
            </w:r>
            <w:r>
              <w:rPr>
                <w:rFonts w:hint="eastAsia"/>
              </w:rPr>
              <w:t>中规定的标准限值，具体详见表3.1-1。</w:t>
            </w:r>
          </w:p>
          <w:p w14:paraId="2CAD37CD">
            <w:pPr>
              <w:pStyle w:val="39"/>
              <w:keepNext w:val="0"/>
              <w:keepLines w:val="0"/>
              <w:suppressLineNumbers w:val="0"/>
              <w:bidi w:val="0"/>
              <w:spacing w:before="0" w:beforeAutospacing="0" w:after="0" w:afterAutospacing="0"/>
              <w:ind w:left="0" w:right="0"/>
              <w:rPr>
                <w:rFonts w:hint="default"/>
              </w:rPr>
            </w:pPr>
            <w:r>
              <w:rPr>
                <w:rFonts w:hint="default"/>
              </w:rPr>
              <w:t>表3.1-1  本项目环境空气标准一览表</w:t>
            </w:r>
          </w:p>
          <w:tbl>
            <w:tblPr>
              <w:tblStyle w:val="29"/>
              <w:tblW w:w="4998"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1430"/>
              <w:gridCol w:w="1964"/>
              <w:gridCol w:w="1409"/>
              <w:gridCol w:w="3588"/>
            </w:tblGrid>
            <w:tr w14:paraId="38C7F56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69" w:hRule="atLeast"/>
                <w:jc w:val="center"/>
              </w:trPr>
              <w:tc>
                <w:tcPr>
                  <w:tcW w:w="852" w:type="pct"/>
                  <w:noWrap w:val="0"/>
                  <w:vAlign w:val="center"/>
                </w:tcPr>
                <w:p w14:paraId="22BD7DE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污染物名称</w:t>
                  </w:r>
                </w:p>
              </w:tc>
              <w:tc>
                <w:tcPr>
                  <w:tcW w:w="1170" w:type="pct"/>
                  <w:noWrap w:val="0"/>
                  <w:vAlign w:val="center"/>
                </w:tcPr>
                <w:p w14:paraId="04EBDC7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取值时间</w:t>
                  </w:r>
                </w:p>
              </w:tc>
              <w:tc>
                <w:tcPr>
                  <w:tcW w:w="839" w:type="pct"/>
                  <w:noWrap w:val="0"/>
                  <w:vAlign w:val="center"/>
                </w:tcPr>
                <w:p w14:paraId="1F9DA60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浓度限值</w:t>
                  </w:r>
                </w:p>
              </w:tc>
              <w:tc>
                <w:tcPr>
                  <w:tcW w:w="2137" w:type="pct"/>
                  <w:noWrap w:val="0"/>
                  <w:vAlign w:val="center"/>
                </w:tcPr>
                <w:p w14:paraId="2CDB900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标准来源</w:t>
                  </w:r>
                </w:p>
              </w:tc>
            </w:tr>
            <w:tr w14:paraId="5242CBD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69" w:hRule="atLeast"/>
                <w:jc w:val="center"/>
              </w:trPr>
              <w:tc>
                <w:tcPr>
                  <w:tcW w:w="852" w:type="pct"/>
                  <w:vMerge w:val="restart"/>
                  <w:noWrap w:val="0"/>
                  <w:vAlign w:val="center"/>
                </w:tcPr>
                <w:p w14:paraId="520A6C1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PM10</w:t>
                  </w:r>
                </w:p>
              </w:tc>
              <w:tc>
                <w:tcPr>
                  <w:tcW w:w="1170" w:type="pct"/>
                  <w:noWrap w:val="0"/>
                  <w:vAlign w:val="center"/>
                </w:tcPr>
                <w:p w14:paraId="30CEA90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年平均</w:t>
                  </w:r>
                </w:p>
              </w:tc>
              <w:tc>
                <w:tcPr>
                  <w:tcW w:w="839" w:type="pct"/>
                  <w:noWrap w:val="0"/>
                  <w:vAlign w:val="center"/>
                </w:tcPr>
                <w:p w14:paraId="0283600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70μg/m</w:t>
                  </w:r>
                  <w:r>
                    <w:rPr>
                      <w:rFonts w:hint="eastAsia"/>
                      <w:szCs w:val="22"/>
                      <w:vertAlign w:val="superscript"/>
                    </w:rPr>
                    <w:t>3</w:t>
                  </w:r>
                </w:p>
              </w:tc>
              <w:tc>
                <w:tcPr>
                  <w:tcW w:w="2137" w:type="pct"/>
                  <w:vMerge w:val="restart"/>
                  <w:noWrap w:val="0"/>
                  <w:vAlign w:val="center"/>
                </w:tcPr>
                <w:p w14:paraId="00F5A61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《环境空气质量标准》</w:t>
                  </w:r>
                  <w:r>
                    <w:rPr>
                      <w:rFonts w:hint="eastAsia"/>
                      <w:szCs w:val="22"/>
                      <w:lang w:eastAsia="zh-CN"/>
                    </w:rPr>
                    <w:t>（</w:t>
                  </w:r>
                  <w:r>
                    <w:rPr>
                      <w:rFonts w:hint="eastAsia"/>
                      <w:szCs w:val="22"/>
                    </w:rPr>
                    <w:t>GB3095-2012</w:t>
                  </w:r>
                  <w:r>
                    <w:rPr>
                      <w:rFonts w:hint="eastAsia"/>
                      <w:szCs w:val="22"/>
                      <w:lang w:eastAsia="zh-CN"/>
                    </w:rPr>
                    <w:t>）</w:t>
                  </w:r>
                  <w:r>
                    <w:rPr>
                      <w:rFonts w:hint="eastAsia"/>
                      <w:szCs w:val="22"/>
                    </w:rPr>
                    <w:t>及其修改</w:t>
                  </w:r>
                </w:p>
                <w:p w14:paraId="2CD0B54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单中的二级标准</w:t>
                  </w:r>
                </w:p>
              </w:tc>
            </w:tr>
            <w:tr w14:paraId="5D6F294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69" w:hRule="atLeast"/>
                <w:jc w:val="center"/>
              </w:trPr>
              <w:tc>
                <w:tcPr>
                  <w:tcW w:w="852" w:type="pct"/>
                  <w:vMerge w:val="continue"/>
                  <w:noWrap w:val="0"/>
                  <w:vAlign w:val="center"/>
                </w:tcPr>
                <w:p w14:paraId="7E54A899">
                  <w:pPr>
                    <w:pStyle w:val="38"/>
                    <w:keepNext w:val="0"/>
                    <w:keepLines w:val="0"/>
                    <w:widowControl/>
                    <w:suppressLineNumbers w:val="0"/>
                    <w:bidi w:val="0"/>
                    <w:spacing w:before="0" w:beforeAutospacing="0" w:after="0" w:afterAutospacing="0"/>
                    <w:ind w:left="0" w:right="0"/>
                    <w:rPr>
                      <w:rFonts w:hint="eastAsia"/>
                      <w:szCs w:val="22"/>
                    </w:rPr>
                  </w:pPr>
                </w:p>
              </w:tc>
              <w:tc>
                <w:tcPr>
                  <w:tcW w:w="1170" w:type="pct"/>
                  <w:noWrap w:val="0"/>
                  <w:vAlign w:val="center"/>
                </w:tcPr>
                <w:p w14:paraId="4E51133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24小时平均</w:t>
                  </w:r>
                </w:p>
              </w:tc>
              <w:tc>
                <w:tcPr>
                  <w:tcW w:w="839" w:type="pct"/>
                  <w:noWrap w:val="0"/>
                  <w:vAlign w:val="center"/>
                </w:tcPr>
                <w:p w14:paraId="7C4D154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150μg/m</w:t>
                  </w:r>
                  <w:r>
                    <w:rPr>
                      <w:rFonts w:hint="eastAsia"/>
                      <w:szCs w:val="22"/>
                      <w:vertAlign w:val="superscript"/>
                    </w:rPr>
                    <w:t>3</w:t>
                  </w:r>
                </w:p>
              </w:tc>
              <w:tc>
                <w:tcPr>
                  <w:tcW w:w="2137" w:type="pct"/>
                  <w:vMerge w:val="continue"/>
                  <w:noWrap w:val="0"/>
                  <w:vAlign w:val="center"/>
                </w:tcPr>
                <w:p w14:paraId="3C8D1632">
                  <w:pPr>
                    <w:pStyle w:val="38"/>
                    <w:keepNext w:val="0"/>
                    <w:keepLines w:val="0"/>
                    <w:widowControl/>
                    <w:suppressLineNumbers w:val="0"/>
                    <w:bidi w:val="0"/>
                    <w:spacing w:before="0" w:beforeAutospacing="0" w:after="0" w:afterAutospacing="0"/>
                    <w:ind w:left="0" w:right="0"/>
                    <w:rPr>
                      <w:rFonts w:hint="eastAsia"/>
                      <w:szCs w:val="22"/>
                    </w:rPr>
                  </w:pPr>
                </w:p>
              </w:tc>
            </w:tr>
            <w:tr w14:paraId="3304032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69" w:hRule="atLeast"/>
                <w:jc w:val="center"/>
              </w:trPr>
              <w:tc>
                <w:tcPr>
                  <w:tcW w:w="852" w:type="pct"/>
                  <w:vMerge w:val="restart"/>
                  <w:noWrap w:val="0"/>
                  <w:vAlign w:val="center"/>
                </w:tcPr>
                <w:p w14:paraId="2ECDB61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PM2.5</w:t>
                  </w:r>
                </w:p>
              </w:tc>
              <w:tc>
                <w:tcPr>
                  <w:tcW w:w="1170" w:type="pct"/>
                  <w:noWrap w:val="0"/>
                  <w:vAlign w:val="center"/>
                </w:tcPr>
                <w:p w14:paraId="099A291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年平均</w:t>
                  </w:r>
                </w:p>
              </w:tc>
              <w:tc>
                <w:tcPr>
                  <w:tcW w:w="839" w:type="pct"/>
                  <w:noWrap w:val="0"/>
                  <w:vAlign w:val="center"/>
                </w:tcPr>
                <w:p w14:paraId="69653E6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35μg/m</w:t>
                  </w:r>
                  <w:r>
                    <w:rPr>
                      <w:rFonts w:hint="eastAsia"/>
                      <w:szCs w:val="22"/>
                      <w:vertAlign w:val="superscript"/>
                    </w:rPr>
                    <w:t>3</w:t>
                  </w:r>
                </w:p>
              </w:tc>
              <w:tc>
                <w:tcPr>
                  <w:tcW w:w="2137" w:type="pct"/>
                  <w:vMerge w:val="continue"/>
                  <w:noWrap w:val="0"/>
                  <w:vAlign w:val="center"/>
                </w:tcPr>
                <w:p w14:paraId="79DEDE73">
                  <w:pPr>
                    <w:pStyle w:val="38"/>
                    <w:keepNext w:val="0"/>
                    <w:keepLines w:val="0"/>
                    <w:widowControl/>
                    <w:suppressLineNumbers w:val="0"/>
                    <w:bidi w:val="0"/>
                    <w:spacing w:before="0" w:beforeAutospacing="0" w:after="0" w:afterAutospacing="0"/>
                    <w:ind w:left="0" w:right="0"/>
                    <w:rPr>
                      <w:rFonts w:hint="eastAsia"/>
                      <w:szCs w:val="22"/>
                    </w:rPr>
                  </w:pPr>
                </w:p>
              </w:tc>
            </w:tr>
            <w:tr w14:paraId="3EE47E2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69" w:hRule="atLeast"/>
                <w:jc w:val="center"/>
              </w:trPr>
              <w:tc>
                <w:tcPr>
                  <w:tcW w:w="852" w:type="pct"/>
                  <w:vMerge w:val="continue"/>
                  <w:noWrap w:val="0"/>
                  <w:vAlign w:val="center"/>
                </w:tcPr>
                <w:p w14:paraId="41E3DC98">
                  <w:pPr>
                    <w:pStyle w:val="38"/>
                    <w:keepNext w:val="0"/>
                    <w:keepLines w:val="0"/>
                    <w:widowControl/>
                    <w:suppressLineNumbers w:val="0"/>
                    <w:bidi w:val="0"/>
                    <w:spacing w:before="0" w:beforeAutospacing="0" w:after="0" w:afterAutospacing="0"/>
                    <w:ind w:left="0" w:right="0"/>
                    <w:rPr>
                      <w:rFonts w:hint="eastAsia"/>
                      <w:szCs w:val="22"/>
                    </w:rPr>
                  </w:pPr>
                </w:p>
              </w:tc>
              <w:tc>
                <w:tcPr>
                  <w:tcW w:w="1170" w:type="pct"/>
                  <w:noWrap w:val="0"/>
                  <w:vAlign w:val="center"/>
                </w:tcPr>
                <w:p w14:paraId="6F01D49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24小时平均</w:t>
                  </w:r>
                </w:p>
              </w:tc>
              <w:tc>
                <w:tcPr>
                  <w:tcW w:w="839" w:type="pct"/>
                  <w:noWrap w:val="0"/>
                  <w:vAlign w:val="center"/>
                </w:tcPr>
                <w:p w14:paraId="1F47E16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75μg/m</w:t>
                  </w:r>
                  <w:r>
                    <w:rPr>
                      <w:rFonts w:hint="eastAsia"/>
                      <w:szCs w:val="22"/>
                      <w:vertAlign w:val="superscript"/>
                    </w:rPr>
                    <w:t>3</w:t>
                  </w:r>
                </w:p>
              </w:tc>
              <w:tc>
                <w:tcPr>
                  <w:tcW w:w="2137" w:type="pct"/>
                  <w:vMerge w:val="continue"/>
                  <w:noWrap w:val="0"/>
                  <w:vAlign w:val="center"/>
                </w:tcPr>
                <w:p w14:paraId="059C01A1">
                  <w:pPr>
                    <w:pStyle w:val="38"/>
                    <w:keepNext w:val="0"/>
                    <w:keepLines w:val="0"/>
                    <w:widowControl/>
                    <w:suppressLineNumbers w:val="0"/>
                    <w:bidi w:val="0"/>
                    <w:spacing w:before="0" w:beforeAutospacing="0" w:after="0" w:afterAutospacing="0"/>
                    <w:ind w:left="0" w:right="0"/>
                    <w:rPr>
                      <w:rFonts w:hint="eastAsia"/>
                      <w:szCs w:val="22"/>
                    </w:rPr>
                  </w:pPr>
                </w:p>
              </w:tc>
            </w:tr>
            <w:tr w14:paraId="62740F5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69" w:hRule="atLeast"/>
                <w:jc w:val="center"/>
              </w:trPr>
              <w:tc>
                <w:tcPr>
                  <w:tcW w:w="852" w:type="pct"/>
                  <w:vMerge w:val="restart"/>
                  <w:noWrap w:val="0"/>
                  <w:vAlign w:val="center"/>
                </w:tcPr>
                <w:p w14:paraId="678FAC7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SO2</w:t>
                  </w:r>
                </w:p>
              </w:tc>
              <w:tc>
                <w:tcPr>
                  <w:tcW w:w="1170" w:type="pct"/>
                  <w:noWrap w:val="0"/>
                  <w:vAlign w:val="center"/>
                </w:tcPr>
                <w:p w14:paraId="2C7DE22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年平均</w:t>
                  </w:r>
                </w:p>
              </w:tc>
              <w:tc>
                <w:tcPr>
                  <w:tcW w:w="839" w:type="pct"/>
                  <w:noWrap w:val="0"/>
                  <w:vAlign w:val="center"/>
                </w:tcPr>
                <w:p w14:paraId="139519F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60μg/m</w:t>
                  </w:r>
                  <w:r>
                    <w:rPr>
                      <w:rFonts w:hint="eastAsia"/>
                      <w:szCs w:val="22"/>
                      <w:vertAlign w:val="superscript"/>
                    </w:rPr>
                    <w:t>3</w:t>
                  </w:r>
                </w:p>
              </w:tc>
              <w:tc>
                <w:tcPr>
                  <w:tcW w:w="2137" w:type="pct"/>
                  <w:vMerge w:val="continue"/>
                  <w:noWrap w:val="0"/>
                  <w:vAlign w:val="center"/>
                </w:tcPr>
                <w:p w14:paraId="470DBD64">
                  <w:pPr>
                    <w:pStyle w:val="38"/>
                    <w:keepNext w:val="0"/>
                    <w:keepLines w:val="0"/>
                    <w:widowControl/>
                    <w:suppressLineNumbers w:val="0"/>
                    <w:bidi w:val="0"/>
                    <w:spacing w:before="0" w:beforeAutospacing="0" w:after="0" w:afterAutospacing="0"/>
                    <w:ind w:left="0" w:right="0"/>
                    <w:rPr>
                      <w:rFonts w:hint="eastAsia"/>
                      <w:szCs w:val="22"/>
                    </w:rPr>
                  </w:pPr>
                </w:p>
              </w:tc>
            </w:tr>
            <w:tr w14:paraId="653CBA9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69" w:hRule="atLeast"/>
                <w:jc w:val="center"/>
              </w:trPr>
              <w:tc>
                <w:tcPr>
                  <w:tcW w:w="852" w:type="pct"/>
                  <w:vMerge w:val="continue"/>
                  <w:noWrap w:val="0"/>
                  <w:vAlign w:val="center"/>
                </w:tcPr>
                <w:p w14:paraId="62CD2135">
                  <w:pPr>
                    <w:pStyle w:val="38"/>
                    <w:keepNext w:val="0"/>
                    <w:keepLines w:val="0"/>
                    <w:widowControl/>
                    <w:suppressLineNumbers w:val="0"/>
                    <w:bidi w:val="0"/>
                    <w:spacing w:before="0" w:beforeAutospacing="0" w:after="0" w:afterAutospacing="0"/>
                    <w:ind w:left="0" w:right="0"/>
                    <w:rPr>
                      <w:rFonts w:hint="eastAsia"/>
                      <w:szCs w:val="22"/>
                    </w:rPr>
                  </w:pPr>
                </w:p>
              </w:tc>
              <w:tc>
                <w:tcPr>
                  <w:tcW w:w="1170" w:type="pct"/>
                  <w:noWrap w:val="0"/>
                  <w:vAlign w:val="center"/>
                </w:tcPr>
                <w:p w14:paraId="0C4A77C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24小时平均</w:t>
                  </w:r>
                </w:p>
              </w:tc>
              <w:tc>
                <w:tcPr>
                  <w:tcW w:w="839" w:type="pct"/>
                  <w:noWrap w:val="0"/>
                  <w:vAlign w:val="center"/>
                </w:tcPr>
                <w:p w14:paraId="5A1B2BB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150μg/m</w:t>
                  </w:r>
                  <w:r>
                    <w:rPr>
                      <w:rFonts w:hint="eastAsia"/>
                      <w:szCs w:val="22"/>
                      <w:vertAlign w:val="superscript"/>
                    </w:rPr>
                    <w:t>3</w:t>
                  </w:r>
                </w:p>
              </w:tc>
              <w:tc>
                <w:tcPr>
                  <w:tcW w:w="2137" w:type="pct"/>
                  <w:vMerge w:val="continue"/>
                  <w:noWrap w:val="0"/>
                  <w:vAlign w:val="center"/>
                </w:tcPr>
                <w:p w14:paraId="7AA0FE2D">
                  <w:pPr>
                    <w:pStyle w:val="38"/>
                    <w:keepNext w:val="0"/>
                    <w:keepLines w:val="0"/>
                    <w:widowControl/>
                    <w:suppressLineNumbers w:val="0"/>
                    <w:bidi w:val="0"/>
                    <w:spacing w:before="0" w:beforeAutospacing="0" w:after="0" w:afterAutospacing="0"/>
                    <w:ind w:left="0" w:right="0"/>
                    <w:rPr>
                      <w:rFonts w:hint="eastAsia"/>
                      <w:szCs w:val="22"/>
                    </w:rPr>
                  </w:pPr>
                </w:p>
              </w:tc>
            </w:tr>
            <w:tr w14:paraId="460D601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69" w:hRule="atLeast"/>
                <w:jc w:val="center"/>
              </w:trPr>
              <w:tc>
                <w:tcPr>
                  <w:tcW w:w="852" w:type="pct"/>
                  <w:vMerge w:val="continue"/>
                  <w:noWrap w:val="0"/>
                  <w:vAlign w:val="center"/>
                </w:tcPr>
                <w:p w14:paraId="6F835B8F">
                  <w:pPr>
                    <w:pStyle w:val="38"/>
                    <w:keepNext w:val="0"/>
                    <w:keepLines w:val="0"/>
                    <w:widowControl/>
                    <w:suppressLineNumbers w:val="0"/>
                    <w:bidi w:val="0"/>
                    <w:spacing w:before="0" w:beforeAutospacing="0" w:after="0" w:afterAutospacing="0"/>
                    <w:ind w:left="0" w:right="0"/>
                    <w:rPr>
                      <w:rFonts w:hint="eastAsia"/>
                      <w:szCs w:val="22"/>
                    </w:rPr>
                  </w:pPr>
                </w:p>
              </w:tc>
              <w:tc>
                <w:tcPr>
                  <w:tcW w:w="1170" w:type="pct"/>
                  <w:noWrap w:val="0"/>
                  <w:vAlign w:val="center"/>
                </w:tcPr>
                <w:p w14:paraId="2A1712A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1小时平均</w:t>
                  </w:r>
                </w:p>
              </w:tc>
              <w:tc>
                <w:tcPr>
                  <w:tcW w:w="839" w:type="pct"/>
                  <w:noWrap w:val="0"/>
                  <w:vAlign w:val="center"/>
                </w:tcPr>
                <w:p w14:paraId="2631777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500μg/m</w:t>
                  </w:r>
                  <w:r>
                    <w:rPr>
                      <w:rFonts w:hint="eastAsia"/>
                      <w:szCs w:val="22"/>
                      <w:vertAlign w:val="superscript"/>
                    </w:rPr>
                    <w:t>3</w:t>
                  </w:r>
                </w:p>
              </w:tc>
              <w:tc>
                <w:tcPr>
                  <w:tcW w:w="2137" w:type="pct"/>
                  <w:vMerge w:val="continue"/>
                  <w:noWrap w:val="0"/>
                  <w:vAlign w:val="center"/>
                </w:tcPr>
                <w:p w14:paraId="24843977">
                  <w:pPr>
                    <w:pStyle w:val="38"/>
                    <w:keepNext w:val="0"/>
                    <w:keepLines w:val="0"/>
                    <w:widowControl/>
                    <w:suppressLineNumbers w:val="0"/>
                    <w:bidi w:val="0"/>
                    <w:spacing w:before="0" w:beforeAutospacing="0" w:after="0" w:afterAutospacing="0"/>
                    <w:ind w:left="0" w:right="0"/>
                    <w:rPr>
                      <w:rFonts w:hint="eastAsia"/>
                      <w:szCs w:val="22"/>
                    </w:rPr>
                  </w:pPr>
                </w:p>
              </w:tc>
            </w:tr>
            <w:tr w14:paraId="716ED98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69" w:hRule="atLeast"/>
                <w:jc w:val="center"/>
              </w:trPr>
              <w:tc>
                <w:tcPr>
                  <w:tcW w:w="852" w:type="pct"/>
                  <w:vMerge w:val="restart"/>
                  <w:noWrap w:val="0"/>
                  <w:vAlign w:val="center"/>
                </w:tcPr>
                <w:p w14:paraId="66E8699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NO2</w:t>
                  </w:r>
                </w:p>
              </w:tc>
              <w:tc>
                <w:tcPr>
                  <w:tcW w:w="1170" w:type="pct"/>
                  <w:noWrap w:val="0"/>
                  <w:vAlign w:val="center"/>
                </w:tcPr>
                <w:p w14:paraId="371E73A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年平均</w:t>
                  </w:r>
                </w:p>
              </w:tc>
              <w:tc>
                <w:tcPr>
                  <w:tcW w:w="839" w:type="pct"/>
                  <w:noWrap w:val="0"/>
                  <w:vAlign w:val="center"/>
                </w:tcPr>
                <w:p w14:paraId="4C9D32C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40μg/m</w:t>
                  </w:r>
                  <w:r>
                    <w:rPr>
                      <w:rFonts w:hint="eastAsia"/>
                      <w:szCs w:val="22"/>
                      <w:vertAlign w:val="superscript"/>
                    </w:rPr>
                    <w:t>3</w:t>
                  </w:r>
                </w:p>
              </w:tc>
              <w:tc>
                <w:tcPr>
                  <w:tcW w:w="2137" w:type="pct"/>
                  <w:vMerge w:val="continue"/>
                  <w:noWrap w:val="0"/>
                  <w:vAlign w:val="center"/>
                </w:tcPr>
                <w:p w14:paraId="4E11B9C4">
                  <w:pPr>
                    <w:pStyle w:val="38"/>
                    <w:keepNext w:val="0"/>
                    <w:keepLines w:val="0"/>
                    <w:widowControl/>
                    <w:suppressLineNumbers w:val="0"/>
                    <w:bidi w:val="0"/>
                    <w:spacing w:before="0" w:beforeAutospacing="0" w:after="0" w:afterAutospacing="0"/>
                    <w:ind w:left="0" w:right="0"/>
                    <w:rPr>
                      <w:rFonts w:hint="eastAsia"/>
                      <w:szCs w:val="22"/>
                    </w:rPr>
                  </w:pPr>
                </w:p>
              </w:tc>
            </w:tr>
            <w:tr w14:paraId="0267E43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69" w:hRule="atLeast"/>
                <w:jc w:val="center"/>
              </w:trPr>
              <w:tc>
                <w:tcPr>
                  <w:tcW w:w="852" w:type="pct"/>
                  <w:vMerge w:val="continue"/>
                  <w:noWrap w:val="0"/>
                  <w:vAlign w:val="center"/>
                </w:tcPr>
                <w:p w14:paraId="57B9FA39">
                  <w:pPr>
                    <w:pStyle w:val="38"/>
                    <w:keepNext w:val="0"/>
                    <w:keepLines w:val="0"/>
                    <w:widowControl/>
                    <w:suppressLineNumbers w:val="0"/>
                    <w:bidi w:val="0"/>
                    <w:spacing w:before="0" w:beforeAutospacing="0" w:after="0" w:afterAutospacing="0"/>
                    <w:ind w:left="0" w:right="0"/>
                    <w:rPr>
                      <w:rFonts w:hint="eastAsia"/>
                      <w:szCs w:val="22"/>
                    </w:rPr>
                  </w:pPr>
                </w:p>
              </w:tc>
              <w:tc>
                <w:tcPr>
                  <w:tcW w:w="1170" w:type="pct"/>
                  <w:noWrap w:val="0"/>
                  <w:vAlign w:val="center"/>
                </w:tcPr>
                <w:p w14:paraId="1E19998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24小时平均</w:t>
                  </w:r>
                </w:p>
              </w:tc>
              <w:tc>
                <w:tcPr>
                  <w:tcW w:w="839" w:type="pct"/>
                  <w:noWrap w:val="0"/>
                  <w:vAlign w:val="center"/>
                </w:tcPr>
                <w:p w14:paraId="67EA65B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80μg/m</w:t>
                  </w:r>
                  <w:r>
                    <w:rPr>
                      <w:rFonts w:hint="eastAsia"/>
                      <w:szCs w:val="22"/>
                      <w:vertAlign w:val="superscript"/>
                    </w:rPr>
                    <w:t>3</w:t>
                  </w:r>
                </w:p>
              </w:tc>
              <w:tc>
                <w:tcPr>
                  <w:tcW w:w="2137" w:type="pct"/>
                  <w:vMerge w:val="continue"/>
                  <w:noWrap w:val="0"/>
                  <w:vAlign w:val="center"/>
                </w:tcPr>
                <w:p w14:paraId="6693FBAA">
                  <w:pPr>
                    <w:pStyle w:val="38"/>
                    <w:keepNext w:val="0"/>
                    <w:keepLines w:val="0"/>
                    <w:widowControl/>
                    <w:suppressLineNumbers w:val="0"/>
                    <w:bidi w:val="0"/>
                    <w:spacing w:before="0" w:beforeAutospacing="0" w:after="0" w:afterAutospacing="0"/>
                    <w:ind w:left="0" w:right="0"/>
                    <w:rPr>
                      <w:rFonts w:hint="eastAsia"/>
                      <w:szCs w:val="22"/>
                    </w:rPr>
                  </w:pPr>
                </w:p>
              </w:tc>
            </w:tr>
            <w:tr w14:paraId="0B7F9F7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69" w:hRule="atLeast"/>
                <w:jc w:val="center"/>
              </w:trPr>
              <w:tc>
                <w:tcPr>
                  <w:tcW w:w="852" w:type="pct"/>
                  <w:vMerge w:val="continue"/>
                  <w:noWrap w:val="0"/>
                  <w:vAlign w:val="center"/>
                </w:tcPr>
                <w:p w14:paraId="60D4A720">
                  <w:pPr>
                    <w:pStyle w:val="38"/>
                    <w:keepNext w:val="0"/>
                    <w:keepLines w:val="0"/>
                    <w:widowControl/>
                    <w:suppressLineNumbers w:val="0"/>
                    <w:bidi w:val="0"/>
                    <w:spacing w:before="0" w:beforeAutospacing="0" w:after="0" w:afterAutospacing="0"/>
                    <w:ind w:left="0" w:right="0"/>
                    <w:rPr>
                      <w:rFonts w:hint="eastAsia"/>
                      <w:szCs w:val="22"/>
                    </w:rPr>
                  </w:pPr>
                </w:p>
              </w:tc>
              <w:tc>
                <w:tcPr>
                  <w:tcW w:w="1170" w:type="pct"/>
                  <w:noWrap w:val="0"/>
                  <w:vAlign w:val="center"/>
                </w:tcPr>
                <w:p w14:paraId="1FDC180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1小时平均</w:t>
                  </w:r>
                </w:p>
              </w:tc>
              <w:tc>
                <w:tcPr>
                  <w:tcW w:w="839" w:type="pct"/>
                  <w:noWrap w:val="0"/>
                  <w:vAlign w:val="center"/>
                </w:tcPr>
                <w:p w14:paraId="1F2B073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200μg/m</w:t>
                  </w:r>
                  <w:r>
                    <w:rPr>
                      <w:rFonts w:hint="eastAsia"/>
                      <w:szCs w:val="22"/>
                      <w:vertAlign w:val="superscript"/>
                    </w:rPr>
                    <w:t>3</w:t>
                  </w:r>
                </w:p>
              </w:tc>
              <w:tc>
                <w:tcPr>
                  <w:tcW w:w="2137" w:type="pct"/>
                  <w:vMerge w:val="continue"/>
                  <w:noWrap w:val="0"/>
                  <w:vAlign w:val="center"/>
                </w:tcPr>
                <w:p w14:paraId="1F3EF4AC">
                  <w:pPr>
                    <w:pStyle w:val="38"/>
                    <w:keepNext w:val="0"/>
                    <w:keepLines w:val="0"/>
                    <w:widowControl/>
                    <w:suppressLineNumbers w:val="0"/>
                    <w:bidi w:val="0"/>
                    <w:spacing w:before="0" w:beforeAutospacing="0" w:after="0" w:afterAutospacing="0"/>
                    <w:ind w:left="0" w:right="0"/>
                    <w:rPr>
                      <w:rFonts w:hint="eastAsia"/>
                      <w:szCs w:val="22"/>
                    </w:rPr>
                  </w:pPr>
                </w:p>
              </w:tc>
            </w:tr>
            <w:tr w14:paraId="24DE357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69" w:hRule="atLeast"/>
                <w:jc w:val="center"/>
              </w:trPr>
              <w:tc>
                <w:tcPr>
                  <w:tcW w:w="852" w:type="pct"/>
                  <w:vMerge w:val="restart"/>
                  <w:noWrap w:val="0"/>
                  <w:vAlign w:val="center"/>
                </w:tcPr>
                <w:p w14:paraId="767E819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CO</w:t>
                  </w:r>
                </w:p>
              </w:tc>
              <w:tc>
                <w:tcPr>
                  <w:tcW w:w="1170" w:type="pct"/>
                  <w:noWrap w:val="0"/>
                  <w:vAlign w:val="center"/>
                </w:tcPr>
                <w:p w14:paraId="43C4854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24小时平均</w:t>
                  </w:r>
                </w:p>
              </w:tc>
              <w:tc>
                <w:tcPr>
                  <w:tcW w:w="839" w:type="pct"/>
                  <w:noWrap w:val="0"/>
                  <w:vAlign w:val="center"/>
                </w:tcPr>
                <w:p w14:paraId="668CB6D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4mg/m</w:t>
                  </w:r>
                  <w:r>
                    <w:rPr>
                      <w:rFonts w:hint="eastAsia"/>
                      <w:szCs w:val="22"/>
                      <w:vertAlign w:val="superscript"/>
                    </w:rPr>
                    <w:t>3</w:t>
                  </w:r>
                </w:p>
              </w:tc>
              <w:tc>
                <w:tcPr>
                  <w:tcW w:w="2137" w:type="pct"/>
                  <w:vMerge w:val="continue"/>
                  <w:noWrap w:val="0"/>
                  <w:vAlign w:val="center"/>
                </w:tcPr>
                <w:p w14:paraId="597A2733">
                  <w:pPr>
                    <w:pStyle w:val="38"/>
                    <w:keepNext w:val="0"/>
                    <w:keepLines w:val="0"/>
                    <w:widowControl/>
                    <w:suppressLineNumbers w:val="0"/>
                    <w:bidi w:val="0"/>
                    <w:spacing w:before="0" w:beforeAutospacing="0" w:after="0" w:afterAutospacing="0"/>
                    <w:ind w:left="0" w:right="0"/>
                    <w:rPr>
                      <w:rFonts w:hint="eastAsia"/>
                      <w:szCs w:val="22"/>
                    </w:rPr>
                  </w:pPr>
                </w:p>
              </w:tc>
            </w:tr>
            <w:tr w14:paraId="223925B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69" w:hRule="atLeast"/>
                <w:jc w:val="center"/>
              </w:trPr>
              <w:tc>
                <w:tcPr>
                  <w:tcW w:w="852" w:type="pct"/>
                  <w:vMerge w:val="continue"/>
                  <w:noWrap w:val="0"/>
                  <w:vAlign w:val="center"/>
                </w:tcPr>
                <w:p w14:paraId="0C190F4F">
                  <w:pPr>
                    <w:pStyle w:val="38"/>
                    <w:keepNext w:val="0"/>
                    <w:keepLines w:val="0"/>
                    <w:widowControl/>
                    <w:suppressLineNumbers w:val="0"/>
                    <w:bidi w:val="0"/>
                    <w:spacing w:before="0" w:beforeAutospacing="0" w:after="0" w:afterAutospacing="0"/>
                    <w:ind w:left="0" w:right="0"/>
                    <w:rPr>
                      <w:rFonts w:hint="eastAsia"/>
                      <w:szCs w:val="22"/>
                    </w:rPr>
                  </w:pPr>
                </w:p>
              </w:tc>
              <w:tc>
                <w:tcPr>
                  <w:tcW w:w="1170" w:type="pct"/>
                  <w:noWrap w:val="0"/>
                  <w:vAlign w:val="center"/>
                </w:tcPr>
                <w:p w14:paraId="5A10E36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1小时平均</w:t>
                  </w:r>
                </w:p>
              </w:tc>
              <w:tc>
                <w:tcPr>
                  <w:tcW w:w="839" w:type="pct"/>
                  <w:noWrap w:val="0"/>
                  <w:vAlign w:val="center"/>
                </w:tcPr>
                <w:p w14:paraId="05CD575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10mg/m</w:t>
                  </w:r>
                  <w:r>
                    <w:rPr>
                      <w:rFonts w:hint="eastAsia"/>
                      <w:szCs w:val="22"/>
                      <w:vertAlign w:val="superscript"/>
                    </w:rPr>
                    <w:t>3</w:t>
                  </w:r>
                </w:p>
              </w:tc>
              <w:tc>
                <w:tcPr>
                  <w:tcW w:w="2137" w:type="pct"/>
                  <w:vMerge w:val="continue"/>
                  <w:noWrap w:val="0"/>
                  <w:vAlign w:val="center"/>
                </w:tcPr>
                <w:p w14:paraId="0C892A87">
                  <w:pPr>
                    <w:pStyle w:val="38"/>
                    <w:keepNext w:val="0"/>
                    <w:keepLines w:val="0"/>
                    <w:widowControl/>
                    <w:suppressLineNumbers w:val="0"/>
                    <w:bidi w:val="0"/>
                    <w:spacing w:before="0" w:beforeAutospacing="0" w:after="0" w:afterAutospacing="0"/>
                    <w:ind w:left="0" w:right="0"/>
                    <w:rPr>
                      <w:rFonts w:hint="eastAsia"/>
                      <w:szCs w:val="22"/>
                    </w:rPr>
                  </w:pPr>
                </w:p>
              </w:tc>
            </w:tr>
            <w:tr w14:paraId="3AB1419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69" w:hRule="atLeast"/>
                <w:jc w:val="center"/>
              </w:trPr>
              <w:tc>
                <w:tcPr>
                  <w:tcW w:w="852" w:type="pct"/>
                  <w:vMerge w:val="restart"/>
                  <w:noWrap w:val="0"/>
                  <w:vAlign w:val="center"/>
                </w:tcPr>
                <w:p w14:paraId="1B5F34A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O3</w:t>
                  </w:r>
                </w:p>
              </w:tc>
              <w:tc>
                <w:tcPr>
                  <w:tcW w:w="1170" w:type="pct"/>
                  <w:noWrap w:val="0"/>
                  <w:vAlign w:val="center"/>
                </w:tcPr>
                <w:p w14:paraId="49FA42B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日最大8小时平均</w:t>
                  </w:r>
                </w:p>
              </w:tc>
              <w:tc>
                <w:tcPr>
                  <w:tcW w:w="839" w:type="pct"/>
                  <w:noWrap w:val="0"/>
                  <w:vAlign w:val="center"/>
                </w:tcPr>
                <w:p w14:paraId="6A22DC1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160μg/m</w:t>
                  </w:r>
                  <w:r>
                    <w:rPr>
                      <w:rFonts w:hint="eastAsia"/>
                      <w:szCs w:val="22"/>
                      <w:vertAlign w:val="superscript"/>
                    </w:rPr>
                    <w:t>3</w:t>
                  </w:r>
                </w:p>
              </w:tc>
              <w:tc>
                <w:tcPr>
                  <w:tcW w:w="2137" w:type="pct"/>
                  <w:vMerge w:val="continue"/>
                  <w:noWrap w:val="0"/>
                  <w:vAlign w:val="center"/>
                </w:tcPr>
                <w:p w14:paraId="10146A56">
                  <w:pPr>
                    <w:pStyle w:val="38"/>
                    <w:keepNext w:val="0"/>
                    <w:keepLines w:val="0"/>
                    <w:widowControl/>
                    <w:suppressLineNumbers w:val="0"/>
                    <w:bidi w:val="0"/>
                    <w:spacing w:before="0" w:beforeAutospacing="0" w:after="0" w:afterAutospacing="0"/>
                    <w:ind w:left="0" w:right="0"/>
                    <w:rPr>
                      <w:rFonts w:hint="eastAsia"/>
                      <w:szCs w:val="22"/>
                    </w:rPr>
                  </w:pPr>
                </w:p>
              </w:tc>
            </w:tr>
            <w:tr w14:paraId="657A552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69" w:hRule="atLeast"/>
                <w:jc w:val="center"/>
              </w:trPr>
              <w:tc>
                <w:tcPr>
                  <w:tcW w:w="852" w:type="pct"/>
                  <w:vMerge w:val="continue"/>
                  <w:noWrap w:val="0"/>
                  <w:vAlign w:val="center"/>
                </w:tcPr>
                <w:p w14:paraId="126833CB">
                  <w:pPr>
                    <w:pStyle w:val="38"/>
                    <w:keepNext w:val="0"/>
                    <w:keepLines w:val="0"/>
                    <w:widowControl/>
                    <w:suppressLineNumbers w:val="0"/>
                    <w:bidi w:val="0"/>
                    <w:spacing w:before="0" w:beforeAutospacing="0" w:after="0" w:afterAutospacing="0"/>
                    <w:ind w:left="0" w:right="0"/>
                    <w:rPr>
                      <w:rFonts w:hint="eastAsia"/>
                      <w:szCs w:val="22"/>
                    </w:rPr>
                  </w:pPr>
                </w:p>
              </w:tc>
              <w:tc>
                <w:tcPr>
                  <w:tcW w:w="1170" w:type="pct"/>
                  <w:noWrap w:val="0"/>
                  <w:vAlign w:val="center"/>
                </w:tcPr>
                <w:p w14:paraId="184BC9B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1小时平均</w:t>
                  </w:r>
                </w:p>
              </w:tc>
              <w:tc>
                <w:tcPr>
                  <w:tcW w:w="839" w:type="pct"/>
                  <w:noWrap w:val="0"/>
                  <w:vAlign w:val="center"/>
                </w:tcPr>
                <w:p w14:paraId="469EAA6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200μg/m</w:t>
                  </w:r>
                  <w:r>
                    <w:rPr>
                      <w:rFonts w:hint="eastAsia"/>
                      <w:szCs w:val="22"/>
                      <w:vertAlign w:val="superscript"/>
                    </w:rPr>
                    <w:t>3</w:t>
                  </w:r>
                </w:p>
              </w:tc>
              <w:tc>
                <w:tcPr>
                  <w:tcW w:w="2137" w:type="pct"/>
                  <w:vMerge w:val="continue"/>
                  <w:noWrap w:val="0"/>
                  <w:vAlign w:val="center"/>
                </w:tcPr>
                <w:p w14:paraId="4A432A2B">
                  <w:pPr>
                    <w:pStyle w:val="38"/>
                    <w:keepNext w:val="0"/>
                    <w:keepLines w:val="0"/>
                    <w:widowControl/>
                    <w:suppressLineNumbers w:val="0"/>
                    <w:bidi w:val="0"/>
                    <w:spacing w:before="0" w:beforeAutospacing="0" w:after="0" w:afterAutospacing="0"/>
                    <w:ind w:left="0" w:right="0"/>
                    <w:rPr>
                      <w:rFonts w:hint="eastAsia"/>
                      <w:szCs w:val="22"/>
                    </w:rPr>
                  </w:pPr>
                </w:p>
              </w:tc>
            </w:tr>
            <w:tr w14:paraId="55AF8AB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69" w:hRule="atLeast"/>
                <w:jc w:val="center"/>
              </w:trPr>
              <w:tc>
                <w:tcPr>
                  <w:tcW w:w="852" w:type="pct"/>
                  <w:noWrap w:val="0"/>
                  <w:vAlign w:val="center"/>
                </w:tcPr>
                <w:p w14:paraId="6447575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非甲烷总烃</w:t>
                  </w:r>
                </w:p>
              </w:tc>
              <w:tc>
                <w:tcPr>
                  <w:tcW w:w="1170" w:type="pct"/>
                  <w:noWrap w:val="0"/>
                  <w:vAlign w:val="center"/>
                </w:tcPr>
                <w:p w14:paraId="26AF46B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1小时均值</w:t>
                  </w:r>
                </w:p>
              </w:tc>
              <w:tc>
                <w:tcPr>
                  <w:tcW w:w="839" w:type="pct"/>
                  <w:noWrap w:val="0"/>
                  <w:vAlign w:val="center"/>
                </w:tcPr>
                <w:p w14:paraId="24E7BBE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2.0mg/m</w:t>
                  </w:r>
                  <w:r>
                    <w:rPr>
                      <w:rFonts w:hint="eastAsia"/>
                      <w:szCs w:val="22"/>
                      <w:vertAlign w:val="superscript"/>
                    </w:rPr>
                    <w:t>3</w:t>
                  </w:r>
                </w:p>
              </w:tc>
              <w:tc>
                <w:tcPr>
                  <w:tcW w:w="2137" w:type="pct"/>
                  <w:noWrap w:val="0"/>
                  <w:vAlign w:val="center"/>
                </w:tcPr>
                <w:p w14:paraId="43FD8584">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rPr>
                    <w:t>《大气污染物综合排放标准详解》</w:t>
                  </w:r>
                  <w:r>
                    <w:rPr>
                      <w:rFonts w:hint="eastAsia"/>
                      <w:szCs w:val="22"/>
                      <w:lang w:eastAsia="zh-CN"/>
                    </w:rPr>
                    <w:t>（</w:t>
                  </w:r>
                  <w:r>
                    <w:rPr>
                      <w:rFonts w:hint="eastAsia"/>
                      <w:szCs w:val="22"/>
                    </w:rPr>
                    <w:t>GB16297-1996</w:t>
                  </w:r>
                  <w:r>
                    <w:rPr>
                      <w:rFonts w:hint="eastAsia"/>
                      <w:szCs w:val="22"/>
                      <w:lang w:eastAsia="zh-CN"/>
                    </w:rPr>
                    <w:t>）</w:t>
                  </w:r>
                </w:p>
              </w:tc>
            </w:tr>
            <w:bookmarkEnd w:id="22"/>
            <w:bookmarkEnd w:id="23"/>
          </w:tbl>
          <w:p w14:paraId="7C494389">
            <w:pPr>
              <w:pStyle w:val="4"/>
              <w:suppressLineNumbers w:val="0"/>
              <w:bidi w:val="0"/>
              <w:spacing w:before="0" w:beforeAutospacing="0" w:after="0" w:afterAutospacing="0"/>
              <w:ind w:left="0" w:right="0"/>
              <w:rPr>
                <w:rFonts w:hint="eastAsia"/>
              </w:rPr>
            </w:pPr>
            <w:r>
              <w:rPr>
                <w:rFonts w:hint="eastAsia"/>
              </w:rPr>
              <w:t>区域大气环境质量现状</w:t>
            </w:r>
          </w:p>
          <w:p w14:paraId="00154BDD">
            <w:pPr>
              <w:keepNext w:val="0"/>
              <w:keepLines w:val="0"/>
              <w:suppressLineNumbers w:val="0"/>
              <w:bidi w:val="0"/>
              <w:spacing w:before="0" w:beforeAutospacing="0" w:after="0" w:afterAutospacing="0"/>
              <w:ind w:left="0" w:right="0"/>
              <w:rPr>
                <w:rFonts w:hint="eastAsia"/>
              </w:rPr>
            </w:pPr>
            <w:r>
              <w:rPr>
                <w:rFonts w:hint="eastAsia"/>
                <w:lang w:eastAsia="zh-CN"/>
              </w:rPr>
              <w:t>（</w:t>
            </w:r>
            <w:r>
              <w:rPr>
                <w:rFonts w:hint="eastAsia"/>
              </w:rPr>
              <w:t>1</w:t>
            </w:r>
            <w:r>
              <w:rPr>
                <w:rFonts w:hint="eastAsia"/>
                <w:lang w:eastAsia="zh-CN"/>
              </w:rPr>
              <w:t>）</w:t>
            </w:r>
            <w:r>
              <w:rPr>
                <w:rFonts w:hint="eastAsia"/>
              </w:rPr>
              <w:t>项目所在区域环境质量现状</w:t>
            </w:r>
          </w:p>
          <w:p w14:paraId="7B22453E">
            <w:pPr>
              <w:keepNext w:val="0"/>
              <w:keepLines w:val="0"/>
              <w:suppressLineNumbers w:val="0"/>
              <w:bidi w:val="0"/>
              <w:spacing w:before="0" w:beforeAutospacing="0" w:after="0" w:afterAutospacing="0"/>
              <w:ind w:left="0" w:right="0"/>
              <w:rPr>
                <w:rFonts w:hint="default"/>
                <w:lang w:eastAsia="zh-CN"/>
              </w:rPr>
            </w:pPr>
            <w:r>
              <w:rPr>
                <w:rFonts w:hint="eastAsia"/>
                <w:lang w:val="en-US" w:eastAsia="zh-CN"/>
              </w:rPr>
              <w:t>1）</w:t>
            </w:r>
            <w:r>
              <w:rPr>
                <w:rFonts w:hint="eastAsia"/>
              </w:rPr>
              <w:t>常规污染因子</w:t>
            </w:r>
          </w:p>
          <w:p w14:paraId="24D033BA">
            <w:pPr>
              <w:keepNext w:val="0"/>
              <w:keepLines w:val="0"/>
              <w:widowControl w:val="0"/>
              <w:suppressLineNumbers w:val="0"/>
              <w:tabs>
                <w:tab w:val="left" w:pos="0"/>
              </w:tabs>
              <w:autoSpaceDE w:val="0"/>
              <w:autoSpaceDN w:val="0"/>
              <w:bidi w:val="0"/>
              <w:spacing w:before="0" w:beforeAutospacing="0" w:after="0" w:afterAutospacing="0" w:line="360" w:lineRule="auto"/>
              <w:ind w:left="0" w:right="0" w:firstLine="480" w:firstLineChars="200"/>
              <w:jc w:val="both"/>
              <w:rPr>
                <w:rFonts w:hint="eastAsia" w:ascii="Times New Roman" w:hAnsi="Times New Roman" w:eastAsia="宋体" w:cs="宋体"/>
                <w:color w:val="auto"/>
                <w:kern w:val="0"/>
                <w:sz w:val="24"/>
                <w:szCs w:val="20"/>
                <w:highlight w:val="none"/>
                <w:lang w:val="en-US" w:eastAsia="zh-CN" w:bidi="ar-SA"/>
              </w:rPr>
            </w:pPr>
            <w:r>
              <w:rPr>
                <w:rFonts w:hint="eastAsia" w:ascii="Times New Roman" w:hAnsi="Times New Roman" w:eastAsia="宋体" w:cs="宋体"/>
                <w:color w:val="auto"/>
                <w:kern w:val="0"/>
                <w:sz w:val="24"/>
                <w:szCs w:val="20"/>
                <w:highlight w:val="none"/>
                <w:lang w:val="en-US" w:eastAsia="zh-CN" w:bidi="ar-SA"/>
              </w:rPr>
              <w:t>城市环境空气质量达标情况评价指标为SO</w:t>
            </w:r>
            <w:r>
              <w:rPr>
                <w:rFonts w:hint="eastAsia" w:ascii="Times New Roman" w:hAnsi="Times New Roman" w:eastAsia="宋体" w:cs="宋体"/>
                <w:color w:val="auto"/>
                <w:kern w:val="0"/>
                <w:sz w:val="24"/>
                <w:szCs w:val="20"/>
                <w:highlight w:val="none"/>
                <w:vertAlign w:val="subscript"/>
                <w:lang w:val="en-US" w:eastAsia="zh-CN" w:bidi="ar-SA"/>
              </w:rPr>
              <w:t>2</w:t>
            </w:r>
            <w:r>
              <w:rPr>
                <w:rFonts w:hint="eastAsia" w:ascii="Times New Roman" w:hAnsi="Times New Roman" w:eastAsia="宋体" w:cs="宋体"/>
                <w:color w:val="auto"/>
                <w:kern w:val="0"/>
                <w:sz w:val="24"/>
                <w:szCs w:val="20"/>
                <w:highlight w:val="none"/>
                <w:lang w:val="en-US" w:eastAsia="zh-CN" w:bidi="ar-SA"/>
              </w:rPr>
              <w:t>、NO</w:t>
            </w:r>
            <w:r>
              <w:rPr>
                <w:rFonts w:hint="eastAsia" w:ascii="Times New Roman" w:hAnsi="Times New Roman" w:eastAsia="宋体" w:cs="宋体"/>
                <w:color w:val="auto"/>
                <w:kern w:val="0"/>
                <w:sz w:val="24"/>
                <w:szCs w:val="20"/>
                <w:highlight w:val="none"/>
                <w:vertAlign w:val="subscript"/>
                <w:lang w:val="en-US" w:eastAsia="zh-CN" w:bidi="ar-SA"/>
              </w:rPr>
              <w:t>2</w:t>
            </w:r>
            <w:r>
              <w:rPr>
                <w:rFonts w:hint="eastAsia" w:ascii="Times New Roman" w:hAnsi="Times New Roman" w:eastAsia="宋体" w:cs="宋体"/>
                <w:color w:val="auto"/>
                <w:kern w:val="0"/>
                <w:sz w:val="24"/>
                <w:szCs w:val="20"/>
                <w:highlight w:val="none"/>
                <w:lang w:val="en-US" w:eastAsia="zh-CN" w:bidi="ar-SA"/>
              </w:rPr>
              <w:t>、PM</w:t>
            </w:r>
            <w:r>
              <w:rPr>
                <w:rFonts w:hint="eastAsia" w:ascii="Times New Roman" w:hAnsi="Times New Roman" w:eastAsia="宋体" w:cs="宋体"/>
                <w:color w:val="auto"/>
                <w:kern w:val="0"/>
                <w:sz w:val="24"/>
                <w:szCs w:val="20"/>
                <w:highlight w:val="none"/>
                <w:vertAlign w:val="subscript"/>
                <w:lang w:val="en-US" w:eastAsia="zh-CN" w:bidi="ar-SA"/>
              </w:rPr>
              <w:t>10</w:t>
            </w:r>
            <w:r>
              <w:rPr>
                <w:rFonts w:hint="eastAsia" w:ascii="Times New Roman" w:hAnsi="Times New Roman" w:eastAsia="宋体" w:cs="宋体"/>
                <w:color w:val="auto"/>
                <w:kern w:val="0"/>
                <w:sz w:val="24"/>
                <w:szCs w:val="20"/>
                <w:highlight w:val="none"/>
                <w:lang w:val="en-US" w:eastAsia="zh-CN" w:bidi="ar-SA"/>
              </w:rPr>
              <w:t>、PM</w:t>
            </w:r>
            <w:r>
              <w:rPr>
                <w:rFonts w:hint="eastAsia" w:ascii="Times New Roman" w:hAnsi="Times New Roman" w:eastAsia="宋体" w:cs="宋体"/>
                <w:color w:val="auto"/>
                <w:kern w:val="0"/>
                <w:sz w:val="24"/>
                <w:szCs w:val="20"/>
                <w:highlight w:val="none"/>
                <w:vertAlign w:val="subscript"/>
                <w:lang w:val="en-US" w:eastAsia="zh-CN" w:bidi="ar-SA"/>
              </w:rPr>
              <w:t>2.5</w:t>
            </w:r>
            <w:r>
              <w:rPr>
                <w:rFonts w:hint="eastAsia" w:ascii="Times New Roman" w:hAnsi="Times New Roman" w:eastAsia="宋体" w:cs="宋体"/>
                <w:color w:val="auto"/>
                <w:kern w:val="0"/>
                <w:sz w:val="24"/>
                <w:szCs w:val="20"/>
                <w:highlight w:val="none"/>
                <w:lang w:val="en-US" w:eastAsia="zh-CN" w:bidi="ar-SA"/>
              </w:rPr>
              <w:t>、CO和O</w:t>
            </w:r>
            <w:r>
              <w:rPr>
                <w:rFonts w:hint="eastAsia" w:ascii="Times New Roman" w:hAnsi="Times New Roman" w:eastAsia="宋体" w:cs="宋体"/>
                <w:color w:val="auto"/>
                <w:kern w:val="0"/>
                <w:sz w:val="24"/>
                <w:szCs w:val="20"/>
                <w:highlight w:val="none"/>
                <w:vertAlign w:val="subscript"/>
                <w:lang w:val="en-US" w:eastAsia="zh-CN" w:bidi="ar-SA"/>
              </w:rPr>
              <w:t>3</w:t>
            </w:r>
            <w:r>
              <w:rPr>
                <w:rFonts w:hint="eastAsia" w:ascii="Times New Roman" w:hAnsi="Times New Roman" w:eastAsia="宋体" w:cs="宋体"/>
                <w:color w:val="auto"/>
                <w:kern w:val="0"/>
                <w:sz w:val="24"/>
                <w:szCs w:val="20"/>
                <w:highlight w:val="none"/>
                <w:lang w:val="en-US" w:eastAsia="zh-CN" w:bidi="ar-SA"/>
              </w:rPr>
              <w:t>，六项污染物全部达标即为城市环境空气质量达标。根据福建省生态环境厅发布的</w:t>
            </w:r>
            <w:r>
              <w:rPr>
                <w:rFonts w:hint="eastAsia" w:cs="宋体"/>
                <w:color w:val="auto"/>
                <w:kern w:val="0"/>
                <w:sz w:val="24"/>
                <w:szCs w:val="20"/>
                <w:highlight w:val="none"/>
                <w:lang w:val="en-US" w:eastAsia="zh-CN" w:bidi="ar-SA"/>
              </w:rPr>
              <w:t>“</w:t>
            </w:r>
            <w:r>
              <w:rPr>
                <w:rFonts w:hint="eastAsia" w:ascii="Times New Roman" w:hAnsi="Times New Roman" w:eastAsia="宋体" w:cs="宋体"/>
                <w:color w:val="auto"/>
                <w:kern w:val="0"/>
                <w:sz w:val="24"/>
                <w:szCs w:val="20"/>
                <w:highlight w:val="none"/>
                <w:lang w:val="en-US" w:eastAsia="zh-CN" w:bidi="ar-SA"/>
              </w:rPr>
              <w:t>2024年12月福建省城市环境空气质量状况</w:t>
            </w:r>
            <w:r>
              <w:rPr>
                <w:rFonts w:hint="eastAsia" w:cs="宋体"/>
                <w:color w:val="auto"/>
                <w:kern w:val="0"/>
                <w:sz w:val="24"/>
                <w:szCs w:val="20"/>
                <w:highlight w:val="none"/>
                <w:lang w:val="en-US" w:eastAsia="zh-CN" w:bidi="ar-SA"/>
              </w:rPr>
              <w:t>”</w:t>
            </w:r>
            <w:r>
              <w:rPr>
                <w:rFonts w:hint="eastAsia" w:ascii="Times New Roman" w:hAnsi="Times New Roman" w:eastAsia="宋体" w:cs="宋体"/>
                <w:color w:val="auto"/>
                <w:kern w:val="0"/>
                <w:sz w:val="24"/>
                <w:szCs w:val="20"/>
                <w:highlight w:val="none"/>
                <w:lang w:val="en-US" w:eastAsia="zh-CN" w:bidi="ar-SA"/>
              </w:rPr>
              <w:t>显示（https://sthjt.fujian.gov.cn/ztzl/hjzl/dqzl/hjkqzlyb/202502/t20250208_6712419.htm），2024年1—12月，福清</w:t>
            </w:r>
            <w:r>
              <w:rPr>
                <w:rFonts w:hint="eastAsia" w:cs="宋体"/>
                <w:color w:val="auto"/>
                <w:kern w:val="0"/>
                <w:sz w:val="24"/>
                <w:szCs w:val="20"/>
                <w:highlight w:val="none"/>
                <w:lang w:val="en-US" w:eastAsia="zh-CN" w:bidi="ar-SA"/>
              </w:rPr>
              <w:t>市</w:t>
            </w:r>
            <w:r>
              <w:rPr>
                <w:rFonts w:hint="eastAsia" w:ascii="Times New Roman" w:hAnsi="Times New Roman" w:eastAsia="宋体" w:cs="宋体"/>
                <w:color w:val="auto"/>
                <w:kern w:val="0"/>
                <w:sz w:val="24"/>
                <w:szCs w:val="20"/>
                <w:highlight w:val="none"/>
                <w:lang w:val="en-US" w:eastAsia="zh-CN" w:bidi="ar-SA"/>
              </w:rPr>
              <w:t>环境空气质量综合指数2.17。由此可知，福州市城区环境空气质量总体达到二级标准，福清市属于达标区域；见表3.1-2。</w:t>
            </w:r>
          </w:p>
          <w:p w14:paraId="0D7F988B">
            <w:pPr>
              <w:pStyle w:val="39"/>
              <w:keepNext w:val="0"/>
              <w:keepLines w:val="0"/>
              <w:suppressLineNumbers w:val="0"/>
              <w:bidi w:val="0"/>
              <w:spacing w:before="0" w:beforeAutospacing="0" w:after="0" w:afterAutospacing="0"/>
              <w:ind w:left="0" w:right="0"/>
              <w:rPr>
                <w:rFonts w:hint="eastAsia"/>
              </w:rPr>
            </w:pPr>
            <w:r>
              <w:rPr>
                <w:rFonts w:hint="eastAsia"/>
              </w:rPr>
              <w:t>表3.</w:t>
            </w:r>
            <w:r>
              <w:rPr>
                <w:rFonts w:hint="eastAsia"/>
                <w:lang w:val="en-US" w:eastAsia="zh-CN"/>
              </w:rPr>
              <w:t>1</w:t>
            </w:r>
            <w:r>
              <w:rPr>
                <w:rFonts w:hint="eastAsia"/>
              </w:rPr>
              <w:t>-</w:t>
            </w:r>
            <w:r>
              <w:rPr>
                <w:rFonts w:hint="eastAsia"/>
                <w:lang w:val="en-US" w:eastAsia="zh-CN"/>
              </w:rPr>
              <w:t>2</w:t>
            </w:r>
            <w:r>
              <w:rPr>
                <w:rFonts w:hint="eastAsia"/>
              </w:rPr>
              <w:t xml:space="preserve"> 福清市202</w:t>
            </w:r>
            <w:r>
              <w:rPr>
                <w:rFonts w:hint="eastAsia"/>
                <w:lang w:val="en-US" w:eastAsia="zh-CN"/>
              </w:rPr>
              <w:t>2</w:t>
            </w:r>
            <w:r>
              <w:rPr>
                <w:rFonts w:hint="eastAsia"/>
              </w:rPr>
              <w:t>年1月份~202</w:t>
            </w:r>
            <w:r>
              <w:rPr>
                <w:rFonts w:hint="eastAsia"/>
                <w:lang w:val="en-US" w:eastAsia="zh-CN"/>
              </w:rPr>
              <w:t>2</w:t>
            </w:r>
            <w:r>
              <w:rPr>
                <w:rFonts w:hint="eastAsia"/>
              </w:rPr>
              <w:t>年12月份环境空气质量统计</w:t>
            </w:r>
          </w:p>
          <w:tbl>
            <w:tblPr>
              <w:tblStyle w:val="29"/>
              <w:tblW w:w="4269" w:type="pct"/>
              <w:jc w:val="center"/>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306"/>
              <w:gridCol w:w="1065"/>
              <w:gridCol w:w="1198"/>
              <w:gridCol w:w="1198"/>
              <w:gridCol w:w="1198"/>
              <w:gridCol w:w="1202"/>
            </w:tblGrid>
            <w:tr w14:paraId="114A5B05">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07" w:type="dxa"/>
                  <w:noWrap w:val="0"/>
                  <w:tcMar>
                    <w:top w:w="15" w:type="dxa"/>
                    <w:left w:w="15" w:type="dxa"/>
                    <w:right w:w="15" w:type="dxa"/>
                  </w:tcMar>
                  <w:vAlign w:val="center"/>
                </w:tcPr>
                <w:p w14:paraId="1F672707">
                  <w:pPr>
                    <w:pStyle w:val="38"/>
                    <w:keepNext w:val="0"/>
                    <w:keepLines w:val="0"/>
                    <w:widowControl/>
                    <w:suppressLineNumbers w:val="0"/>
                    <w:bidi w:val="0"/>
                    <w:spacing w:before="0" w:beforeAutospacing="0" w:after="0" w:afterAutospacing="0"/>
                    <w:ind w:left="0" w:right="0"/>
                    <w:rPr>
                      <w:rFonts w:hint="default"/>
                      <w:szCs w:val="22"/>
                    </w:rPr>
                  </w:pPr>
                  <w:r>
                    <w:rPr>
                      <w:rFonts w:hint="eastAsia"/>
                      <w:szCs w:val="22"/>
                    </w:rPr>
                    <w:t>设区市</w:t>
                  </w:r>
                </w:p>
              </w:tc>
              <w:tc>
                <w:tcPr>
                  <w:tcW w:w="1065" w:type="dxa"/>
                  <w:noWrap w:val="0"/>
                  <w:tcMar>
                    <w:top w:w="15" w:type="dxa"/>
                    <w:left w:w="15" w:type="dxa"/>
                    <w:right w:w="15" w:type="dxa"/>
                  </w:tcMar>
                  <w:vAlign w:val="center"/>
                </w:tcPr>
                <w:p w14:paraId="0359F94A">
                  <w:pPr>
                    <w:pStyle w:val="38"/>
                    <w:keepNext w:val="0"/>
                    <w:keepLines w:val="0"/>
                    <w:widowControl/>
                    <w:suppressLineNumbers w:val="0"/>
                    <w:bidi w:val="0"/>
                    <w:spacing w:before="0" w:beforeAutospacing="0" w:after="0" w:afterAutospacing="0"/>
                    <w:ind w:left="0" w:right="0"/>
                    <w:rPr>
                      <w:rFonts w:hint="default"/>
                      <w:szCs w:val="22"/>
                    </w:rPr>
                  </w:pPr>
                  <w:r>
                    <w:rPr>
                      <w:rFonts w:hint="eastAsia"/>
                      <w:szCs w:val="22"/>
                    </w:rPr>
                    <w:t>县级城市</w:t>
                  </w:r>
                </w:p>
              </w:tc>
              <w:tc>
                <w:tcPr>
                  <w:tcW w:w="1198" w:type="dxa"/>
                  <w:noWrap w:val="0"/>
                  <w:tcMar>
                    <w:top w:w="15" w:type="dxa"/>
                    <w:left w:w="15" w:type="dxa"/>
                    <w:right w:w="15" w:type="dxa"/>
                  </w:tcMar>
                  <w:vAlign w:val="center"/>
                </w:tcPr>
                <w:p w14:paraId="11252D79">
                  <w:pPr>
                    <w:pStyle w:val="38"/>
                    <w:keepNext w:val="0"/>
                    <w:keepLines w:val="0"/>
                    <w:widowControl/>
                    <w:suppressLineNumbers w:val="0"/>
                    <w:bidi w:val="0"/>
                    <w:spacing w:before="0" w:beforeAutospacing="0" w:after="0" w:afterAutospacing="0"/>
                    <w:ind w:left="0" w:right="0"/>
                    <w:rPr>
                      <w:rFonts w:hint="default"/>
                      <w:szCs w:val="22"/>
                    </w:rPr>
                  </w:pPr>
                  <w:r>
                    <w:rPr>
                      <w:rFonts w:hint="eastAsia"/>
                      <w:szCs w:val="22"/>
                    </w:rPr>
                    <w:t>优良天数比例（%）</w:t>
                  </w:r>
                </w:p>
              </w:tc>
              <w:tc>
                <w:tcPr>
                  <w:tcW w:w="1198" w:type="dxa"/>
                  <w:noWrap w:val="0"/>
                  <w:tcMar>
                    <w:top w:w="15" w:type="dxa"/>
                    <w:left w:w="15" w:type="dxa"/>
                    <w:right w:w="15" w:type="dxa"/>
                  </w:tcMar>
                  <w:vAlign w:val="center"/>
                </w:tcPr>
                <w:p w14:paraId="1E2CA708">
                  <w:pPr>
                    <w:pStyle w:val="38"/>
                    <w:keepNext w:val="0"/>
                    <w:keepLines w:val="0"/>
                    <w:widowControl/>
                    <w:suppressLineNumbers w:val="0"/>
                    <w:bidi w:val="0"/>
                    <w:spacing w:before="0" w:beforeAutospacing="0" w:after="0" w:afterAutospacing="0"/>
                    <w:ind w:left="0" w:right="0"/>
                    <w:rPr>
                      <w:rFonts w:hint="default"/>
                      <w:szCs w:val="22"/>
                    </w:rPr>
                  </w:pPr>
                  <w:r>
                    <w:rPr>
                      <w:rFonts w:hint="eastAsia"/>
                      <w:szCs w:val="22"/>
                    </w:rPr>
                    <w:t>综合指数</w:t>
                  </w:r>
                </w:p>
              </w:tc>
              <w:tc>
                <w:tcPr>
                  <w:tcW w:w="1198" w:type="dxa"/>
                  <w:noWrap w:val="0"/>
                  <w:tcMar>
                    <w:top w:w="15" w:type="dxa"/>
                    <w:left w:w="15" w:type="dxa"/>
                    <w:right w:w="15" w:type="dxa"/>
                  </w:tcMar>
                  <w:vAlign w:val="center"/>
                </w:tcPr>
                <w:p w14:paraId="58387D9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PM</w:t>
                  </w:r>
                  <w:r>
                    <w:rPr>
                      <w:rFonts w:hint="eastAsia"/>
                      <w:szCs w:val="22"/>
                      <w:vertAlign w:val="subscript"/>
                    </w:rPr>
                    <w:t>2.5</w:t>
                  </w:r>
                </w:p>
                <w:p w14:paraId="2604CA74">
                  <w:pPr>
                    <w:pStyle w:val="38"/>
                    <w:keepNext w:val="0"/>
                    <w:keepLines w:val="0"/>
                    <w:widowControl/>
                    <w:suppressLineNumbers w:val="0"/>
                    <w:bidi w:val="0"/>
                    <w:spacing w:before="0" w:beforeAutospacing="0" w:after="0" w:afterAutospacing="0"/>
                    <w:ind w:left="0" w:right="0"/>
                    <w:rPr>
                      <w:rFonts w:hint="default"/>
                      <w:szCs w:val="22"/>
                    </w:rPr>
                  </w:pPr>
                  <w:r>
                    <w:rPr>
                      <w:rFonts w:hint="eastAsia"/>
                      <w:szCs w:val="22"/>
                    </w:rPr>
                    <w:t>（</w:t>
                  </w:r>
                  <w:r>
                    <w:rPr>
                      <w:rFonts w:hint="default" w:ascii="Times New Roman" w:hAnsi="Times New Roman" w:cs="Times New Roman"/>
                      <w:szCs w:val="22"/>
                    </w:rPr>
                    <w:t>μ</w:t>
                  </w:r>
                  <w:r>
                    <w:rPr>
                      <w:rFonts w:hint="eastAsia"/>
                      <w:szCs w:val="22"/>
                    </w:rPr>
                    <w:t>g/m</w:t>
                  </w:r>
                  <w:r>
                    <w:rPr>
                      <w:rFonts w:hint="eastAsia"/>
                      <w:szCs w:val="22"/>
                      <w:vertAlign w:val="superscript"/>
                    </w:rPr>
                    <w:t>3</w:t>
                  </w:r>
                  <w:r>
                    <w:rPr>
                      <w:rFonts w:hint="eastAsia"/>
                      <w:szCs w:val="22"/>
                    </w:rPr>
                    <w:t>）</w:t>
                  </w:r>
                </w:p>
              </w:tc>
              <w:tc>
                <w:tcPr>
                  <w:tcW w:w="1202" w:type="dxa"/>
                  <w:noWrap w:val="0"/>
                  <w:tcMar>
                    <w:top w:w="15" w:type="dxa"/>
                    <w:left w:w="15" w:type="dxa"/>
                    <w:right w:w="15" w:type="dxa"/>
                  </w:tcMar>
                  <w:vAlign w:val="center"/>
                </w:tcPr>
                <w:p w14:paraId="06F40DCC">
                  <w:pPr>
                    <w:pStyle w:val="38"/>
                    <w:keepNext w:val="0"/>
                    <w:keepLines w:val="0"/>
                    <w:widowControl/>
                    <w:suppressLineNumbers w:val="0"/>
                    <w:bidi w:val="0"/>
                    <w:spacing w:before="0" w:beforeAutospacing="0" w:after="0" w:afterAutospacing="0"/>
                    <w:ind w:left="0" w:right="0"/>
                    <w:rPr>
                      <w:rFonts w:hint="default"/>
                      <w:szCs w:val="22"/>
                    </w:rPr>
                  </w:pPr>
                  <w:r>
                    <w:rPr>
                      <w:rFonts w:hint="eastAsia"/>
                      <w:szCs w:val="22"/>
                    </w:rPr>
                    <w:t>首要污染物</w:t>
                  </w:r>
                </w:p>
              </w:tc>
            </w:tr>
            <w:tr w14:paraId="17114838">
              <w:tblPrEx>
                <w:tblBorders>
                  <w:top w:val="single" w:color="000000" w:sz="18" w:space="0"/>
                  <w:left w:val="none" w:color="auto" w:sz="0" w:space="0"/>
                  <w:bottom w:val="single" w:color="000000" w:sz="1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307" w:type="dxa"/>
                  <w:noWrap w:val="0"/>
                  <w:tcMar>
                    <w:top w:w="15" w:type="dxa"/>
                    <w:left w:w="15" w:type="dxa"/>
                    <w:right w:w="15" w:type="dxa"/>
                  </w:tcMar>
                  <w:vAlign w:val="center"/>
                </w:tcPr>
                <w:p w14:paraId="0D2C17F2">
                  <w:pPr>
                    <w:pStyle w:val="38"/>
                    <w:keepNext w:val="0"/>
                    <w:keepLines w:val="0"/>
                    <w:widowControl/>
                    <w:suppressLineNumbers w:val="0"/>
                    <w:bidi w:val="0"/>
                    <w:spacing w:before="0" w:beforeAutospacing="0" w:after="0" w:afterAutospacing="0"/>
                    <w:ind w:left="0" w:right="0"/>
                    <w:rPr>
                      <w:rFonts w:hint="default"/>
                      <w:szCs w:val="22"/>
                    </w:rPr>
                  </w:pPr>
                  <w:r>
                    <w:rPr>
                      <w:rFonts w:hint="eastAsia"/>
                      <w:szCs w:val="22"/>
                      <w:lang w:val="en-US" w:eastAsia="zh-CN"/>
                    </w:rPr>
                    <w:t>福州市</w:t>
                  </w:r>
                </w:p>
              </w:tc>
              <w:tc>
                <w:tcPr>
                  <w:tcW w:w="1065" w:type="dxa"/>
                  <w:noWrap w:val="0"/>
                  <w:tcMar>
                    <w:top w:w="15" w:type="dxa"/>
                    <w:left w:w="15" w:type="dxa"/>
                    <w:right w:w="15" w:type="dxa"/>
                  </w:tcMar>
                  <w:vAlign w:val="center"/>
                </w:tcPr>
                <w:p w14:paraId="7019DBE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福清市</w:t>
                  </w:r>
                </w:p>
              </w:tc>
              <w:tc>
                <w:tcPr>
                  <w:tcW w:w="1198" w:type="dxa"/>
                  <w:noWrap w:val="0"/>
                  <w:tcMar>
                    <w:top w:w="15" w:type="dxa"/>
                    <w:left w:w="15" w:type="dxa"/>
                    <w:right w:w="15" w:type="dxa"/>
                  </w:tcMar>
                  <w:vAlign w:val="center"/>
                </w:tcPr>
                <w:p w14:paraId="283B4699">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99.7</w:t>
                  </w:r>
                </w:p>
              </w:tc>
              <w:tc>
                <w:tcPr>
                  <w:tcW w:w="1198" w:type="dxa"/>
                  <w:noWrap w:val="0"/>
                  <w:tcMar>
                    <w:top w:w="15" w:type="dxa"/>
                    <w:left w:w="15" w:type="dxa"/>
                    <w:right w:w="15" w:type="dxa"/>
                  </w:tcMar>
                  <w:vAlign w:val="center"/>
                </w:tcPr>
                <w:p w14:paraId="3B79A84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2.17</w:t>
                  </w:r>
                </w:p>
              </w:tc>
              <w:tc>
                <w:tcPr>
                  <w:tcW w:w="1198" w:type="dxa"/>
                  <w:noWrap w:val="0"/>
                  <w:tcMar>
                    <w:top w:w="15" w:type="dxa"/>
                    <w:left w:w="15" w:type="dxa"/>
                    <w:right w:w="15" w:type="dxa"/>
                  </w:tcMar>
                  <w:vAlign w:val="center"/>
                </w:tcPr>
                <w:p w14:paraId="3ABAFCE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17</w:t>
                  </w:r>
                </w:p>
              </w:tc>
              <w:tc>
                <w:tcPr>
                  <w:tcW w:w="1202" w:type="dxa"/>
                  <w:noWrap w:val="0"/>
                  <w:tcMar>
                    <w:top w:w="15" w:type="dxa"/>
                    <w:left w:w="15" w:type="dxa"/>
                    <w:right w:w="15" w:type="dxa"/>
                  </w:tcMar>
                  <w:vAlign w:val="center"/>
                </w:tcPr>
                <w:p w14:paraId="6E1D524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臭氧</w:t>
                  </w:r>
                </w:p>
              </w:tc>
            </w:tr>
          </w:tbl>
          <w:p w14:paraId="5BD30840">
            <w:pPr>
              <w:keepNext w:val="0"/>
              <w:keepLines w:val="0"/>
              <w:suppressLineNumbers w:val="0"/>
              <w:bidi w:val="0"/>
              <w:spacing w:before="0" w:beforeAutospacing="0" w:after="0" w:afterAutospacing="0"/>
              <w:ind w:left="0" w:right="0"/>
              <w:rPr>
                <w:rFonts w:hint="default"/>
              </w:rPr>
            </w:pPr>
            <w:r>
              <w:rPr>
                <w:rFonts w:hint="default"/>
              </w:rPr>
              <w:t>①引用数据的有效性分析</w:t>
            </w:r>
          </w:p>
          <w:p w14:paraId="5209F928">
            <w:pPr>
              <w:keepNext w:val="0"/>
              <w:keepLines w:val="0"/>
              <w:suppressLineNumbers w:val="0"/>
              <w:bidi w:val="0"/>
              <w:spacing w:before="0" w:beforeAutospacing="0" w:after="0" w:afterAutospacing="0"/>
              <w:ind w:left="0" w:right="0"/>
              <w:rPr>
                <w:rFonts w:hint="eastAsia"/>
              </w:rPr>
            </w:pPr>
            <w:r>
              <w:rPr>
                <w:rFonts w:hint="default"/>
              </w:rPr>
              <w:t>根据《环境影响评价技术导则 大气环境》</w:t>
            </w:r>
            <w:r>
              <w:rPr>
                <w:rFonts w:hint="eastAsia"/>
                <w:lang w:eastAsia="zh-CN"/>
              </w:rPr>
              <w:t>（</w:t>
            </w:r>
            <w:r>
              <w:rPr>
                <w:rFonts w:hint="default"/>
              </w:rPr>
              <w:t>HJ2.2-2018</w:t>
            </w:r>
            <w:r>
              <w:rPr>
                <w:rFonts w:hint="eastAsia"/>
                <w:lang w:eastAsia="zh-CN"/>
              </w:rPr>
              <w:t>）</w:t>
            </w:r>
            <w:r>
              <w:rPr>
                <w:rFonts w:hint="default"/>
              </w:rPr>
              <w:t>的6.2.1.1要求：</w:t>
            </w:r>
            <w:r>
              <w:rPr>
                <w:rFonts w:hint="eastAsia"/>
                <w:lang w:eastAsia="zh-CN"/>
              </w:rPr>
              <w:t>“</w:t>
            </w:r>
            <w:r>
              <w:rPr>
                <w:rFonts w:hint="default"/>
              </w:rPr>
              <w:t>项目所在区域达标判定，大气环境质量现状调查应优先采用国家或地方生态环境主管部门发布的评价基准年环境质量公告或环境质量报告中的数据或结论</w:t>
            </w:r>
            <w:r>
              <w:rPr>
                <w:rFonts w:hint="eastAsia"/>
                <w:lang w:eastAsia="zh-CN"/>
              </w:rPr>
              <w:t>”</w:t>
            </w:r>
            <w:r>
              <w:rPr>
                <w:rFonts w:hint="default"/>
              </w:rPr>
              <w:t>，</w:t>
            </w:r>
            <w:r>
              <w:rPr>
                <w:rFonts w:hint="eastAsia"/>
                <w:lang w:eastAsia="zh-CN"/>
              </w:rPr>
              <w:t>本次</w:t>
            </w:r>
            <w:r>
              <w:rPr>
                <w:rFonts w:hint="default"/>
              </w:rPr>
              <w:t>评价选取福清市人民政府发布的环境空气质量现状信息，符合《环境影响评价技术导则 大气环境》</w:t>
            </w:r>
            <w:r>
              <w:rPr>
                <w:rFonts w:hint="eastAsia"/>
                <w:lang w:eastAsia="zh-CN"/>
              </w:rPr>
              <w:t>（</w:t>
            </w:r>
            <w:r>
              <w:rPr>
                <w:rFonts w:hint="default"/>
              </w:rPr>
              <w:t>HJ2.2-2018</w:t>
            </w:r>
            <w:r>
              <w:rPr>
                <w:rFonts w:hint="eastAsia"/>
                <w:lang w:eastAsia="zh-CN"/>
              </w:rPr>
              <w:t>）</w:t>
            </w:r>
            <w:r>
              <w:rPr>
                <w:rFonts w:hint="default"/>
              </w:rPr>
              <w:t>的要求，环境现状监测数据可行。</w:t>
            </w:r>
          </w:p>
          <w:p w14:paraId="43A41DF7">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2）</w:t>
            </w:r>
            <w:r>
              <w:rPr>
                <w:rFonts w:hint="eastAsia"/>
              </w:rPr>
              <w:t>特征污染因子</w:t>
            </w:r>
          </w:p>
          <w:p w14:paraId="75F6BE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根据《关于</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建设项目环境影响报告表</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内容、格式及编制技术指南常见问题解答》（生态环境部环境工程评估中心）：</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技术指南中提到‘排放国家、地方环境空气质量标准中有标准限值要求的特征污染物’，其中环境空气质量标准指《环境空气质量标准》</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GB3095</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和地方的环境空气质量标准，不包括《环境影响评价技术导则 大气环境》</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HJ2.2-2018</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附录D、《工业企业设计卫生标准》</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TJ36-97</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、《前苏联居住区标准》</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CH245-71</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、《环境影响评价技术导则 制药建设项目》</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HJ611-2011</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、《大气污染物综合排放标准详解》等导则或参考资料。排放的特征污染物需要在国家、地方环境空气质量标准中有限值要求才涉及现状监测</w:t>
            </w:r>
            <w:r>
              <w:rPr>
                <w:rFonts w:hint="eastAsia" w:cs="Times New Roman"/>
                <w:color w:val="auto"/>
                <w:kern w:val="2"/>
                <w:sz w:val="24"/>
                <w:szCs w:val="24"/>
                <w:highlight w:val="none"/>
                <w:lang w:val="en-US" w:eastAsia="zh-CN" w:bidi="ar-SA"/>
              </w:rPr>
              <w:t>且</w:t>
            </w:r>
            <w:r>
              <w:rPr>
                <w:rFonts w:hint="eastAsia" w:ascii="Times New Roman" w:hAnsi="Times New Roman" w:eastAsia="宋体" w:cs="Times New Roman"/>
                <w:color w:val="auto"/>
                <w:kern w:val="2"/>
                <w:sz w:val="24"/>
                <w:szCs w:val="24"/>
                <w:highlight w:val="none"/>
                <w:lang w:val="en-US" w:eastAsia="zh-CN" w:bidi="ar-SA"/>
              </w:rPr>
              <w:t>优先引用现有监测数据</w:t>
            </w:r>
            <w:r>
              <w:rPr>
                <w:rFonts w:hint="eastAsia"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w:t>
            </w:r>
          </w:p>
          <w:p w14:paraId="5B56E55A">
            <w:pPr>
              <w:keepNext w:val="0"/>
              <w:keepLines w:val="0"/>
              <w:suppressLineNumbers w:val="0"/>
              <w:adjustRightInd w:val="0"/>
              <w:spacing w:before="0" w:beforeAutospacing="0" w:after="0" w:afterAutospacing="0" w:line="360" w:lineRule="auto"/>
              <w:ind w:left="0" w:right="0" w:firstLine="480" w:firstLineChars="200"/>
              <w:contextualSpacing/>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本项目排放的其他污染物为非甲烷总烃</w:t>
            </w:r>
            <w:r>
              <w:rPr>
                <w:rFonts w:hint="eastAsia" w:cs="Times New Roman"/>
                <w:color w:val="auto"/>
                <w:sz w:val="24"/>
                <w:highlight w:val="none"/>
                <w:lang w:eastAsia="zh-CN"/>
              </w:rPr>
              <w:t>、</w:t>
            </w:r>
            <w:r>
              <w:rPr>
                <w:rFonts w:hint="eastAsia" w:cs="Times New Roman"/>
                <w:color w:val="auto"/>
                <w:sz w:val="24"/>
                <w:highlight w:val="none"/>
                <w:lang w:val="en-US" w:eastAsia="zh-CN"/>
              </w:rPr>
              <w:t>颗粒物</w:t>
            </w:r>
            <w:r>
              <w:rPr>
                <w:rFonts w:hint="eastAsia"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其中非甲烷总烃</w:t>
            </w:r>
            <w:r>
              <w:rPr>
                <w:rFonts w:hint="eastAsia" w:ascii="Times New Roman" w:hAnsi="Times New Roman" w:eastAsia="宋体" w:cs="Times New Roman"/>
                <w:color w:val="auto"/>
                <w:sz w:val="24"/>
                <w:highlight w:val="none"/>
              </w:rPr>
              <w:t>不属于《环境空气质量标准》</w:t>
            </w:r>
            <w:r>
              <w:rPr>
                <w:rFonts w:hint="eastAsia" w:cs="Times New Roman"/>
                <w:color w:val="auto"/>
                <w:sz w:val="24"/>
                <w:highlight w:val="none"/>
                <w:lang w:eastAsia="zh-CN"/>
              </w:rPr>
              <w:t>（</w:t>
            </w:r>
            <w:r>
              <w:rPr>
                <w:rFonts w:hint="eastAsia" w:ascii="Times New Roman" w:hAnsi="Times New Roman" w:eastAsia="宋体" w:cs="Times New Roman"/>
                <w:color w:val="auto"/>
                <w:sz w:val="24"/>
                <w:highlight w:val="none"/>
              </w:rPr>
              <w:t>GB3095-2012</w:t>
            </w:r>
            <w:r>
              <w:rPr>
                <w:rFonts w:hint="eastAsia" w:cs="Times New Roman"/>
                <w:color w:val="auto"/>
                <w:sz w:val="24"/>
                <w:highlight w:val="none"/>
                <w:lang w:eastAsia="zh-CN"/>
              </w:rPr>
              <w:t>）</w:t>
            </w:r>
            <w:r>
              <w:rPr>
                <w:rFonts w:hint="eastAsia" w:ascii="Times New Roman" w:hAnsi="Times New Roman" w:eastAsia="宋体" w:cs="Times New Roman"/>
                <w:color w:val="auto"/>
                <w:sz w:val="24"/>
                <w:highlight w:val="none"/>
              </w:rPr>
              <w:t>和</w:t>
            </w:r>
            <w:r>
              <w:rPr>
                <w:rFonts w:hint="eastAsia" w:cs="Times New Roman"/>
                <w:color w:val="auto"/>
                <w:sz w:val="24"/>
                <w:highlight w:val="none"/>
                <w:lang w:eastAsia="zh-CN"/>
              </w:rPr>
              <w:t>地方</w:t>
            </w:r>
            <w:r>
              <w:rPr>
                <w:rFonts w:hint="eastAsia" w:ascii="Times New Roman" w:hAnsi="Times New Roman" w:eastAsia="宋体" w:cs="Times New Roman"/>
                <w:color w:val="auto"/>
                <w:sz w:val="24"/>
                <w:highlight w:val="none"/>
              </w:rPr>
              <w:t>环境空气质量中有标准限值要求的污染物，因此</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不</w:t>
            </w:r>
            <w:r>
              <w:rPr>
                <w:rFonts w:hint="eastAsia" w:ascii="Times New Roman" w:hAnsi="Times New Roman" w:eastAsia="宋体" w:cs="Times New Roman"/>
                <w:color w:val="auto"/>
                <w:sz w:val="24"/>
                <w:highlight w:val="none"/>
                <w:lang w:val="en-US" w:eastAsia="zh-CN"/>
              </w:rPr>
              <w:t>对非甲烷总烃</w:t>
            </w:r>
            <w:r>
              <w:rPr>
                <w:rFonts w:hint="eastAsia" w:ascii="Times New Roman" w:hAnsi="Times New Roman" w:eastAsia="宋体" w:cs="Times New Roman"/>
                <w:color w:val="auto"/>
                <w:sz w:val="24"/>
                <w:highlight w:val="none"/>
              </w:rPr>
              <w:t>进行特征污染物现状检测评价。</w:t>
            </w:r>
          </w:p>
          <w:p w14:paraId="0E0B9F1F">
            <w:pPr>
              <w:keepNext w:val="0"/>
              <w:keepLines w:val="0"/>
              <w:pageBreakBefore w:val="0"/>
              <w:widowControl/>
              <w:suppressLineNumbers w:val="0"/>
              <w:kinsoku/>
              <w:wordWrap/>
              <w:overflowPunct/>
              <w:topLinePunct w:val="0"/>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为了解项目所在区域环境空气中颗粒物情况</w:t>
            </w:r>
            <w:r>
              <w:rPr>
                <w:rFonts w:hint="eastAsia" w:cs="Times New Roman"/>
                <w:color w:val="auto"/>
                <w:kern w:val="0"/>
                <w:sz w:val="24"/>
                <w:szCs w:val="24"/>
                <w:lang w:val="en-US" w:eastAsia="zh-CN" w:bidi="ar"/>
              </w:rPr>
              <w:t>，</w:t>
            </w:r>
            <w:r>
              <w:rPr>
                <w:rFonts w:hint="eastAsia"/>
                <w:b w:val="0"/>
                <w:bCs w:val="0"/>
                <w:iCs w:val="0"/>
              </w:rPr>
              <w:t>引用《福州市闽侯振兴炜业机械有限公司年加工工业连接器300万件、6KV以下工业线缆200万件</w:t>
            </w:r>
            <w:r>
              <w:rPr>
                <w:rFonts w:hint="eastAsia" w:ascii="Times New Roman" w:hAnsi="Times New Roman" w:eastAsia="宋体" w:cs="Times New Roman"/>
                <w:b w:val="0"/>
                <w:bCs w:val="0"/>
                <w:iCs w:val="0"/>
                <w:color w:val="000000"/>
                <w:szCs w:val="21"/>
                <w:highlight w:val="none"/>
                <w:lang w:val="en-US" w:eastAsia="zh-CN"/>
              </w:rPr>
              <w:t>环境影响评价报告表</w:t>
            </w:r>
            <w:r>
              <w:rPr>
                <w:rFonts w:hint="eastAsia"/>
                <w:b w:val="0"/>
                <w:bCs w:val="0"/>
                <w:iCs w:val="0"/>
              </w:rPr>
              <w:t>》中的颗粒物监测数据</w:t>
            </w:r>
            <w:r>
              <w:rPr>
                <w:rFonts w:hint="eastAsia"/>
                <w:b w:val="0"/>
                <w:bCs w:val="0"/>
                <w:iCs w:val="0"/>
                <w:lang w:eastAsia="zh-CN"/>
              </w:rPr>
              <w:t>，</w:t>
            </w:r>
            <w:r>
              <w:rPr>
                <w:rFonts w:hint="eastAsia"/>
                <w:b w:val="0"/>
                <w:bCs w:val="0"/>
                <w:iCs w:val="0"/>
                <w:lang w:val="en-US" w:eastAsia="zh-CN"/>
              </w:rPr>
              <w:t>检测单位为</w:t>
            </w:r>
            <w:r>
              <w:rPr>
                <w:rFonts w:hint="eastAsia" w:cs="Times New Roman"/>
                <w:color w:val="auto"/>
                <w:kern w:val="0"/>
                <w:sz w:val="24"/>
                <w:szCs w:val="24"/>
                <w:lang w:val="en-US" w:eastAsia="zh-CN" w:bidi="ar"/>
              </w:rPr>
              <w:t>福建华远检测有限公司</w:t>
            </w:r>
            <w:r>
              <w:rPr>
                <w:rFonts w:hint="eastAsia" w:ascii="Times New Roman" w:hAnsi="Times New Roman" w:eastAsia="宋体" w:cs="Times New Roman"/>
                <w:color w:val="auto"/>
                <w:kern w:val="0"/>
                <w:sz w:val="24"/>
                <w:szCs w:val="24"/>
                <w:lang w:val="en-US" w:eastAsia="zh-CN" w:bidi="ar"/>
              </w:rPr>
              <w:t>于2025年10月30日~2025年11月02日对其进行监测，监测结果见表</w:t>
            </w:r>
            <w:r>
              <w:rPr>
                <w:rFonts w:hint="eastAsia" w:ascii="Times New Roman" w:hAnsi="Times New Roman" w:eastAsia="宋体" w:cs="Times New Roman"/>
                <w:color w:val="auto"/>
                <w:kern w:val="0"/>
                <w:sz w:val="24"/>
                <w:szCs w:val="24"/>
                <w:highlight w:val="none"/>
                <w:lang w:val="en-US" w:eastAsia="zh-CN" w:bidi="ar"/>
              </w:rPr>
              <w:t>3.1-4</w:t>
            </w:r>
            <w:r>
              <w:rPr>
                <w:rFonts w:hint="eastAsia" w:ascii="Times New Roman" w:hAnsi="Times New Roman" w:eastAsia="宋体" w:cs="Times New Roman"/>
                <w:color w:val="auto"/>
                <w:kern w:val="0"/>
                <w:sz w:val="24"/>
                <w:szCs w:val="24"/>
                <w:lang w:val="en-US" w:eastAsia="zh-CN" w:bidi="ar"/>
              </w:rPr>
              <w:t>，检测报告见</w:t>
            </w:r>
            <w:r>
              <w:rPr>
                <w:rFonts w:hint="eastAsia" w:ascii="Times New Roman" w:hAnsi="Times New Roman" w:eastAsia="宋体" w:cs="Times New Roman"/>
                <w:color w:val="auto"/>
                <w:kern w:val="0"/>
                <w:sz w:val="24"/>
                <w:szCs w:val="24"/>
                <w:lang w:val="en-US" w:eastAsia="zh-CN" w:bidi="ar"/>
              </w:rPr>
              <w:fldChar w:fldCharType="begin"/>
            </w:r>
            <w:r>
              <w:rPr>
                <w:rFonts w:hint="eastAsia" w:ascii="Times New Roman" w:hAnsi="Times New Roman" w:eastAsia="宋体" w:cs="Times New Roman"/>
                <w:color w:val="auto"/>
                <w:kern w:val="0"/>
                <w:sz w:val="24"/>
                <w:szCs w:val="24"/>
                <w:lang w:val="en-US" w:eastAsia="zh-CN" w:bidi="ar"/>
              </w:rPr>
              <w:instrText xml:space="preserve"> REF _Ref22411 \h </w:instrText>
            </w:r>
            <w:r>
              <w:rPr>
                <w:rFonts w:hint="eastAsia" w:ascii="Times New Roman" w:hAnsi="Times New Roman" w:eastAsia="宋体" w:cs="Times New Roman"/>
                <w:color w:val="auto"/>
                <w:kern w:val="0"/>
                <w:sz w:val="24"/>
                <w:szCs w:val="24"/>
                <w:lang w:val="en-US" w:eastAsia="zh-CN" w:bidi="ar"/>
              </w:rPr>
              <w:fldChar w:fldCharType="separate"/>
            </w:r>
            <w:r>
              <w:rPr>
                <w:rFonts w:hint="eastAsia"/>
              </w:rPr>
              <w:t>附件 15</w:t>
            </w:r>
            <w:r>
              <w:rPr>
                <w:rFonts w:hint="eastAsia" w:ascii="Times New Roman" w:hAnsi="Times New Roman" w:eastAsia="宋体" w:cs="Times New Roman"/>
                <w:color w:val="auto"/>
                <w:kern w:val="0"/>
                <w:sz w:val="24"/>
                <w:szCs w:val="24"/>
                <w:lang w:val="en-US" w:eastAsia="zh-CN" w:bidi="ar"/>
              </w:rPr>
              <w:fldChar w:fldCharType="end"/>
            </w:r>
            <w:r>
              <w:rPr>
                <w:rFonts w:hint="eastAsia" w:ascii="Times New Roman" w:hAnsi="Times New Roman" w:eastAsia="宋体" w:cs="Times New Roman"/>
                <w:color w:val="auto"/>
                <w:kern w:val="0"/>
                <w:sz w:val="24"/>
                <w:szCs w:val="24"/>
                <w:lang w:val="en-US" w:eastAsia="zh-CN" w:bidi="ar"/>
              </w:rPr>
              <w:t>。</w:t>
            </w:r>
          </w:p>
          <w:p w14:paraId="15D8472F">
            <w:pPr>
              <w:pStyle w:val="15"/>
              <w:keepNext w:val="0"/>
              <w:keepLines w:val="0"/>
              <w:suppressLineNumbers w:val="0"/>
              <w:bidi w:val="0"/>
              <w:spacing w:before="0" w:beforeAutospacing="0" w:after="0" w:afterAutospacing="0"/>
              <w:ind w:left="0" w:right="0"/>
              <w:rPr>
                <w:rFonts w:hint="eastAsia"/>
                <w:lang w:val="en-US" w:eastAsia="zh-CN"/>
              </w:rPr>
            </w:pPr>
            <w:r>
              <w:rPr>
                <w:sz w:val="24"/>
              </w:rPr>
              <mc:AlternateContent>
                <mc:Choice Requires="wps">
                  <w:drawing>
                    <wp:anchor distT="0" distB="0" distL="114300" distR="114300" simplePos="0" relativeHeight="251668480" behindDoc="0" locked="0" layoutInCell="1" allowOverlap="1">
                      <wp:simplePos x="0" y="0"/>
                      <wp:positionH relativeFrom="column">
                        <wp:posOffset>2159000</wp:posOffset>
                      </wp:positionH>
                      <wp:positionV relativeFrom="paragraph">
                        <wp:posOffset>1661160</wp:posOffset>
                      </wp:positionV>
                      <wp:extent cx="767080" cy="247650"/>
                      <wp:effectExtent l="4445" t="4445" r="9525" b="14605"/>
                      <wp:wrapNone/>
                      <wp:docPr id="26" name="文本框 26"/>
                      <wp:cNvGraphicFramePr/>
                      <a:graphic xmlns:a="http://schemas.openxmlformats.org/drawingml/2006/main">
                        <a:graphicData uri="http://schemas.microsoft.com/office/word/2010/wordprocessingShape">
                          <wps:wsp>
                            <wps:cNvSpPr txBox="1"/>
                            <wps:spPr>
                              <a:xfrm>
                                <a:off x="3735705" y="3876040"/>
                                <a:ext cx="767080" cy="2476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5AE93C9">
                                  <w:pPr>
                                    <w:pStyle w:val="38"/>
                                    <w:bidi w:val="0"/>
                                    <w:rPr>
                                      <w:rFonts w:hint="default"/>
                                      <w:lang w:val="en-US" w:eastAsia="zh-CN"/>
                                    </w:rPr>
                                  </w:pPr>
                                  <w:r>
                                    <w:rPr>
                                      <w:rFonts w:hint="eastAsia"/>
                                      <w:lang w:val="en-US" w:eastAsia="zh-CN"/>
                                    </w:rPr>
                                    <w:t>1369m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0pt;margin-top:130.8pt;height:19.5pt;width:60.4pt;z-index:251668480;mso-width-relative:page;mso-height-relative:page;" fillcolor="#FFFFFF [3201]" filled="t" stroked="t" coordsize="21600,21600" o:gfxdata="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JKBRfVAAAACwEAAA8AAAAAAAAAAQAgAAAAIgAAAGRycy9kb3ducmV2LnhtbFBLAQIUABQA&#10;AAAIAIdO4kBiXJUoZQIAAMQEAAAOAAAAAAAAAAEAIAAAACQBAABkcnMvZTJvRG9jLnhtbFBLBQYA&#10;AAAABgAGAFkBAAD7BQAAAAA=&#10;">
                      <v:fill on="t" focussize="0,0"/>
                      <v:stroke weight="0.5pt" color="#000000 [3204]" joinstyle="round"/>
                      <v:imagedata o:title=""/>
                      <o:lock v:ext="edit" aspectratio="f"/>
                      <v:textbox>
                        <w:txbxContent>
                          <w:p w14:paraId="05AE93C9">
                            <w:pPr>
                              <w:pStyle w:val="38"/>
                              <w:bidi w:val="0"/>
                              <w:rPr>
                                <w:rFonts w:hint="default"/>
                                <w:lang w:val="en-US" w:eastAsia="zh-CN"/>
                              </w:rPr>
                            </w:pPr>
                            <w:r>
                              <w:rPr>
                                <w:rFonts w:hint="eastAsia"/>
                                <w:lang w:val="en-US" w:eastAsia="zh-CN"/>
                              </w:rPr>
                              <w:t>1369m</w:t>
                            </w:r>
                          </w:p>
                        </w:txbxContent>
                      </v:textbox>
                    </v:shape>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225425</wp:posOffset>
                      </wp:positionH>
                      <wp:positionV relativeFrom="paragraph">
                        <wp:posOffset>189865</wp:posOffset>
                      </wp:positionV>
                      <wp:extent cx="4601210" cy="3286760"/>
                      <wp:effectExtent l="0" t="0" r="8890" b="8890"/>
                      <wp:wrapNone/>
                      <wp:docPr id="25" name="直接箭头连接符 25"/>
                      <wp:cNvGraphicFramePr/>
                      <a:graphic xmlns:a="http://schemas.openxmlformats.org/drawingml/2006/main">
                        <a:graphicData uri="http://schemas.microsoft.com/office/word/2010/wordprocessingShape">
                          <wps:wsp>
                            <wps:cNvCnPr>
                              <a:endCxn id="24" idx="4"/>
                            </wps:cNvCnPr>
                            <wps:spPr>
                              <a:xfrm flipH="1">
                                <a:off x="1727835" y="2468245"/>
                                <a:ext cx="4601210" cy="3286760"/>
                              </a:xfrm>
                              <a:prstGeom prst="straightConnector1">
                                <a:avLst/>
                              </a:prstGeom>
                              <a:ln>
                                <a:solidFill>
                                  <a:srgbClr val="FF00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7.75pt;margin-top:14.95pt;height:258.8pt;width:362.3pt;z-index:251667456;mso-width-relative:page;mso-height-relative:page;" filled="f" stroked="t" coordsize="21600,21600" o:gfxdata="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fR/tg1QAAAAkBAAAPAAAAAAAAAAEAIAAAACIAAABkcnMvZG93bnJldi54bWxQSwECFAAU&#10;AAAACACHTuJA9I472S0CAAAnBAAADgAAAAAAAAABACAAAAAkAQAAZHJzL2Uyb0RvYy54bWxQSwUG&#10;AAAAAAYABgBZAQAAwwUAAAAA&#10;">
                      <v:fill on="f" focussize="0,0"/>
                      <v:stroke weight="2pt" color="#FF0000 [3204]" joinstyle="round" startarrow="open" endarrow="open"/>
                      <v:imagedata o:title=""/>
                      <o:lock v:ext="edit" aspectratio="f"/>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413385</wp:posOffset>
                      </wp:positionH>
                      <wp:positionV relativeFrom="paragraph">
                        <wp:posOffset>1925955</wp:posOffset>
                      </wp:positionV>
                      <wp:extent cx="835660" cy="338455"/>
                      <wp:effectExtent l="200660" t="12700" r="30480" b="1229995"/>
                      <wp:wrapNone/>
                      <wp:docPr id="24" name="矩形标注 24"/>
                      <wp:cNvGraphicFramePr/>
                      <a:graphic xmlns:a="http://schemas.openxmlformats.org/drawingml/2006/main">
                        <a:graphicData uri="http://schemas.microsoft.com/office/word/2010/wordprocessingShape">
                          <wps:wsp>
                            <wps:cNvSpPr/>
                            <wps:spPr>
                              <a:xfrm>
                                <a:off x="1757045" y="4193540"/>
                                <a:ext cx="835660" cy="338455"/>
                              </a:xfrm>
                              <a:prstGeom prst="wedgeRectCallout">
                                <a:avLst>
                                  <a:gd name="adj1" fmla="val -72492"/>
                                  <a:gd name="adj2" fmla="val 408161"/>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C223590">
                                  <w:pPr>
                                    <w:pStyle w:val="38"/>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2.55pt;margin-top:151.65pt;height:26.65pt;width:65.8pt;z-index:251666432;v-text-anchor:middle;mso-width-relative:page;mso-height-relative:page;" fillcolor="#FFFFFF [3212]" filled="t" stroked="t" coordsize="21600,21600" o:gfxdata="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mL4yk9gAAAAKAQAADwAAAAAAAAABACAAAAAiAAAAZHJz&#10;L2Rvd25yZXYueG1sUEsBAhQAFAAAAAgAh07iQCFi2ImvAgAAWgUAAA4AAAAAAAAAAQAgAAAAJwEA&#10;AGRycy9lMm9Eb2MueG1sUEsFBgAAAAAGAAYAWQEAAEgGAAAAAA==&#10;" adj="-4858,98963">
                      <v:fill on="t" focussize="0,0"/>
                      <v:stroke weight="2pt" color="#FF0000 [2404]" joinstyle="round"/>
                      <v:imagedata o:title=""/>
                      <o:lock v:ext="edit" aspectratio="f"/>
                      <v:textbox>
                        <w:txbxContent>
                          <w:p w14:paraId="1C223590">
                            <w:pPr>
                              <w:pStyle w:val="38"/>
                              <w:bidi w:val="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p>
                        </w:txbxContent>
                      </v:textbox>
                    </v:shape>
                  </w:pict>
                </mc:Fallback>
              </mc:AlternateContent>
            </w:r>
            <w:r>
              <w:drawing>
                <wp:inline distT="0" distB="0" distL="114300" distR="114300">
                  <wp:extent cx="5053965" cy="3594100"/>
                  <wp:effectExtent l="0" t="0" r="13335" b="6350"/>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24"/>
                          <a:stretch>
                            <a:fillRect/>
                          </a:stretch>
                        </pic:blipFill>
                        <pic:spPr>
                          <a:xfrm>
                            <a:off x="0" y="0"/>
                            <a:ext cx="5053965" cy="3594100"/>
                          </a:xfrm>
                          <a:prstGeom prst="rect">
                            <a:avLst/>
                          </a:prstGeom>
                          <a:noFill/>
                          <a:ln>
                            <a:noFill/>
                          </a:ln>
                        </pic:spPr>
                      </pic:pic>
                    </a:graphicData>
                  </a:graphic>
                </wp:inline>
              </w:drawing>
            </w:r>
          </w:p>
          <w:p w14:paraId="75036A24">
            <w:pPr>
              <w:pStyle w:val="39"/>
              <w:keepNext w:val="0"/>
              <w:keepLines w:val="0"/>
              <w:suppressLineNumbers w:val="0"/>
              <w:bidi w:val="0"/>
              <w:spacing w:before="0" w:beforeAutospacing="0" w:after="0" w:afterAutospacing="0"/>
              <w:ind w:left="0" w:right="0"/>
              <w:rPr>
                <w:rFonts w:hint="eastAsia"/>
              </w:rPr>
            </w:pPr>
            <w:r>
              <w:rPr>
                <w:rFonts w:hint="eastAsia"/>
              </w:rPr>
              <w:t xml:space="preserve">图3.1-1  </w:t>
            </w:r>
            <w:r>
              <w:rPr>
                <w:rFonts w:hint="eastAsia"/>
                <w:lang w:val="zh-CN"/>
              </w:rPr>
              <w:t>监测</w:t>
            </w:r>
            <w:r>
              <w:rPr>
                <w:rFonts w:hint="eastAsia"/>
              </w:rPr>
              <w:t>点</w:t>
            </w:r>
            <w:r>
              <w:rPr>
                <w:rFonts w:hint="eastAsia"/>
                <w:lang w:val="zh-CN"/>
              </w:rPr>
              <w:t>位布置图</w:t>
            </w:r>
          </w:p>
          <w:p w14:paraId="00D5BAD4">
            <w:pPr>
              <w:keepNext/>
              <w:keepLines/>
              <w:pageBreakBefore w:val="0"/>
              <w:widowControl w:val="0"/>
              <w:numPr>
                <w:ilvl w:val="7"/>
                <w:numId w:val="0"/>
              </w:numPr>
              <w:suppressLineNumbers w:val="0"/>
              <w:tabs>
                <w:tab w:val="left" w:pos="0"/>
                <w:tab w:val="left" w:pos="420"/>
              </w:tabs>
              <w:kinsoku/>
              <w:wordWrap/>
              <w:overflowPunct/>
              <w:topLinePunct w:val="0"/>
              <w:autoSpaceDE/>
              <w:autoSpaceDN/>
              <w:bidi w:val="0"/>
              <w:adjustRightInd/>
              <w:snapToGrid/>
              <w:spacing w:before="0" w:beforeAutospacing="0" w:after="0" w:afterAutospacing="0" w:line="240" w:lineRule="auto"/>
              <w:ind w:left="630" w:leftChars="0" w:right="0" w:firstLine="0" w:firstLineChars="0"/>
              <w:jc w:val="center"/>
              <w:textAlignment w:val="auto"/>
              <w:rPr>
                <w:rFonts w:hint="default" w:ascii="Times New Roman" w:hAnsi="Times New Roman" w:eastAsia="宋体" w:cs="Times New Roman"/>
                <w:b/>
                <w:bCs/>
                <w:color w:val="auto"/>
                <w:kern w:val="2"/>
                <w:sz w:val="24"/>
                <w:szCs w:val="21"/>
                <w:highlight w:val="none"/>
                <w:lang w:val="en-US" w:eastAsia="zh-CN" w:bidi="ar-SA"/>
              </w:rPr>
            </w:pPr>
            <w:r>
              <w:rPr>
                <w:rFonts w:hint="eastAsia" w:ascii="Times New Roman" w:hAnsi="Times New Roman" w:eastAsia="宋体" w:cs="宋体"/>
                <w:b/>
                <w:bCs/>
                <w:color w:val="auto"/>
                <w:kern w:val="2"/>
                <w:sz w:val="24"/>
                <w:szCs w:val="21"/>
                <w:lang w:val="en-US" w:eastAsia="zh-CN" w:bidi="ar-SA"/>
              </w:rPr>
              <w:t>表3.1-</w:t>
            </w:r>
            <w:r>
              <w:rPr>
                <w:rFonts w:hint="eastAsia" w:cs="宋体"/>
                <w:b/>
                <w:bCs/>
                <w:color w:val="auto"/>
                <w:kern w:val="2"/>
                <w:sz w:val="24"/>
                <w:szCs w:val="21"/>
                <w:lang w:val="en-US" w:eastAsia="zh-CN" w:bidi="ar-SA"/>
              </w:rPr>
              <w:t>3</w:t>
            </w:r>
            <w:r>
              <w:rPr>
                <w:rFonts w:hint="eastAsia" w:ascii="Times New Roman" w:hAnsi="Times New Roman" w:eastAsia="宋体" w:cs="Times New Roman"/>
                <w:b/>
                <w:bCs/>
                <w:color w:val="auto"/>
                <w:kern w:val="2"/>
                <w:sz w:val="24"/>
                <w:szCs w:val="21"/>
                <w:highlight w:val="none"/>
                <w:lang w:val="en-US" w:eastAsia="zh-CN" w:bidi="ar-SA"/>
              </w:rPr>
              <w:t>颗粒物现状情况一览表</w:t>
            </w:r>
          </w:p>
          <w:tbl>
            <w:tblPr>
              <w:tblStyle w:val="29"/>
              <w:tblW w:w="498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57"/>
              <w:gridCol w:w="1656"/>
              <w:gridCol w:w="2682"/>
              <w:gridCol w:w="1658"/>
              <w:gridCol w:w="1191"/>
            </w:tblGrid>
            <w:tr w14:paraId="4B7E38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9" w:hRule="atLeast"/>
                <w:tblHeader/>
                <w:jc w:val="center"/>
              </w:trPr>
              <w:tc>
                <w:tcPr>
                  <w:tcW w:w="693" w:type="pct"/>
                  <w:tcBorders>
                    <w:top w:val="single" w:color="auto" w:sz="12" w:space="0"/>
                    <w:bottom w:val="single" w:color="auto" w:sz="12" w:space="0"/>
                  </w:tcBorders>
                  <w:noWrap w:val="0"/>
                  <w:vAlign w:val="center"/>
                </w:tcPr>
                <w:p w14:paraId="2E9D31C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检测点位</w:t>
                  </w:r>
                </w:p>
              </w:tc>
              <w:tc>
                <w:tcPr>
                  <w:tcW w:w="992" w:type="pct"/>
                  <w:tcBorders>
                    <w:top w:val="single" w:color="auto" w:sz="12" w:space="0"/>
                    <w:bottom w:val="single" w:color="auto" w:sz="12" w:space="0"/>
                  </w:tcBorders>
                  <w:noWrap w:val="0"/>
                  <w:vAlign w:val="center"/>
                </w:tcPr>
                <w:p w14:paraId="707DEDC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检测项目</w:t>
                  </w:r>
                </w:p>
              </w:tc>
              <w:tc>
                <w:tcPr>
                  <w:tcW w:w="1606" w:type="pct"/>
                  <w:tcBorders>
                    <w:top w:val="single" w:color="auto" w:sz="12" w:space="0"/>
                    <w:bottom w:val="single" w:color="auto" w:sz="12" w:space="0"/>
                  </w:tcBorders>
                  <w:noWrap w:val="0"/>
                  <w:vAlign w:val="center"/>
                </w:tcPr>
                <w:p w14:paraId="15FD595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采样日期</w:t>
                  </w:r>
                </w:p>
              </w:tc>
              <w:tc>
                <w:tcPr>
                  <w:tcW w:w="993" w:type="pct"/>
                  <w:tcBorders>
                    <w:top w:val="single" w:color="auto" w:sz="12" w:space="0"/>
                    <w:bottom w:val="single" w:color="auto" w:sz="12" w:space="0"/>
                  </w:tcBorders>
                  <w:noWrap w:val="0"/>
                  <w:vAlign w:val="center"/>
                </w:tcPr>
                <w:p w14:paraId="6C666EA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检测结果</w:t>
                  </w:r>
                </w:p>
              </w:tc>
              <w:tc>
                <w:tcPr>
                  <w:tcW w:w="713" w:type="pct"/>
                  <w:tcBorders>
                    <w:top w:val="single" w:color="auto" w:sz="12" w:space="0"/>
                    <w:bottom w:val="single" w:color="auto" w:sz="12" w:space="0"/>
                    <w:right w:val="nil"/>
                  </w:tcBorders>
                  <w:noWrap w:val="0"/>
                  <w:vAlign w:val="center"/>
                </w:tcPr>
                <w:p w14:paraId="477B0C10">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eastAsia="zh-CN"/>
                    </w:rPr>
                    <w:t>单位</w:t>
                  </w:r>
                </w:p>
              </w:tc>
            </w:tr>
            <w:tr w14:paraId="564764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693" w:type="pct"/>
                  <w:vMerge w:val="restart"/>
                  <w:tcBorders>
                    <w:top w:val="single" w:color="auto" w:sz="12" w:space="0"/>
                    <w:left w:val="nil"/>
                  </w:tcBorders>
                  <w:noWrap w:val="0"/>
                  <w:vAlign w:val="center"/>
                </w:tcPr>
                <w:p w14:paraId="1F0C654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厂区下风向居民点点位Q1</w:t>
                  </w:r>
                </w:p>
              </w:tc>
              <w:tc>
                <w:tcPr>
                  <w:tcW w:w="992" w:type="pct"/>
                  <w:vMerge w:val="restart"/>
                  <w:tcBorders>
                    <w:top w:val="single" w:color="auto" w:sz="12" w:space="0"/>
                  </w:tcBorders>
                  <w:noWrap w:val="0"/>
                  <w:vAlign w:val="center"/>
                </w:tcPr>
                <w:p w14:paraId="5111DF5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总悬浮颗粒物（TSP）</w:t>
                  </w:r>
                </w:p>
              </w:tc>
              <w:tc>
                <w:tcPr>
                  <w:tcW w:w="1606" w:type="pct"/>
                  <w:tcBorders>
                    <w:top w:val="single" w:color="auto" w:sz="12" w:space="0"/>
                  </w:tcBorders>
                  <w:noWrap w:val="0"/>
                  <w:vAlign w:val="center"/>
                </w:tcPr>
                <w:p w14:paraId="54D675D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eastAsia="zh-CN"/>
                    </w:rPr>
                    <w:t>2025年</w:t>
                  </w:r>
                  <w:r>
                    <w:rPr>
                      <w:rFonts w:hint="eastAsia"/>
                      <w:szCs w:val="22"/>
                      <w:lang w:val="en-US" w:eastAsia="zh-CN"/>
                    </w:rPr>
                    <w:t>10月30</w:t>
                  </w:r>
                  <w:r>
                    <w:rPr>
                      <w:rFonts w:hint="eastAsia"/>
                      <w:szCs w:val="22"/>
                    </w:rPr>
                    <w:t>日~</w:t>
                  </w:r>
                  <w:r>
                    <w:rPr>
                      <w:rFonts w:hint="eastAsia"/>
                      <w:szCs w:val="22"/>
                      <w:lang w:val="en-US" w:eastAsia="zh-CN"/>
                    </w:rPr>
                    <w:t>31</w:t>
                  </w:r>
                  <w:r>
                    <w:rPr>
                      <w:rFonts w:hint="eastAsia"/>
                      <w:szCs w:val="22"/>
                    </w:rPr>
                    <w:t>日</w:t>
                  </w:r>
                </w:p>
              </w:tc>
              <w:tc>
                <w:tcPr>
                  <w:tcW w:w="993" w:type="pct"/>
                  <w:tcBorders>
                    <w:top w:val="single" w:color="auto" w:sz="12" w:space="0"/>
                  </w:tcBorders>
                  <w:noWrap w:val="0"/>
                  <w:vAlign w:val="center"/>
                </w:tcPr>
                <w:p w14:paraId="1894AC5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0.105</w:t>
                  </w:r>
                </w:p>
              </w:tc>
              <w:tc>
                <w:tcPr>
                  <w:tcW w:w="713" w:type="pct"/>
                  <w:tcBorders>
                    <w:top w:val="single" w:color="auto" w:sz="12" w:space="0"/>
                    <w:right w:val="nil"/>
                  </w:tcBorders>
                  <w:noWrap w:val="0"/>
                  <w:vAlign w:val="center"/>
                </w:tcPr>
                <w:p w14:paraId="7A7C4C7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mg/m</w:t>
                  </w:r>
                  <w:r>
                    <w:rPr>
                      <w:rFonts w:hint="eastAsia"/>
                      <w:szCs w:val="22"/>
                      <w:vertAlign w:val="superscript"/>
                    </w:rPr>
                    <w:t>3</w:t>
                  </w:r>
                </w:p>
              </w:tc>
            </w:tr>
            <w:tr w14:paraId="421D99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693" w:type="pct"/>
                  <w:vMerge w:val="continue"/>
                  <w:tcBorders>
                    <w:left w:val="nil"/>
                  </w:tcBorders>
                  <w:noWrap w:val="0"/>
                  <w:vAlign w:val="center"/>
                </w:tcPr>
                <w:p w14:paraId="495904DA">
                  <w:pPr>
                    <w:pStyle w:val="38"/>
                    <w:keepNext w:val="0"/>
                    <w:keepLines w:val="0"/>
                    <w:widowControl/>
                    <w:suppressLineNumbers w:val="0"/>
                    <w:bidi w:val="0"/>
                    <w:spacing w:before="0" w:beforeAutospacing="0" w:after="0" w:afterAutospacing="0"/>
                    <w:ind w:left="0" w:right="0"/>
                    <w:rPr>
                      <w:rFonts w:hint="eastAsia"/>
                      <w:szCs w:val="22"/>
                    </w:rPr>
                  </w:pPr>
                </w:p>
              </w:tc>
              <w:tc>
                <w:tcPr>
                  <w:tcW w:w="992" w:type="pct"/>
                  <w:vMerge w:val="continue"/>
                  <w:noWrap w:val="0"/>
                  <w:vAlign w:val="center"/>
                </w:tcPr>
                <w:p w14:paraId="4D0565C0">
                  <w:pPr>
                    <w:pStyle w:val="38"/>
                    <w:keepNext w:val="0"/>
                    <w:keepLines w:val="0"/>
                    <w:widowControl/>
                    <w:suppressLineNumbers w:val="0"/>
                    <w:bidi w:val="0"/>
                    <w:spacing w:before="0" w:beforeAutospacing="0" w:after="0" w:afterAutospacing="0"/>
                    <w:ind w:left="0" w:right="0"/>
                    <w:rPr>
                      <w:rFonts w:hint="eastAsia"/>
                      <w:szCs w:val="22"/>
                    </w:rPr>
                  </w:pPr>
                </w:p>
              </w:tc>
              <w:tc>
                <w:tcPr>
                  <w:tcW w:w="1606" w:type="pct"/>
                  <w:noWrap w:val="0"/>
                  <w:vAlign w:val="center"/>
                </w:tcPr>
                <w:p w14:paraId="542AF8F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eastAsia="zh-CN"/>
                    </w:rPr>
                    <w:t>2025年</w:t>
                  </w:r>
                  <w:r>
                    <w:rPr>
                      <w:rFonts w:hint="eastAsia"/>
                      <w:szCs w:val="22"/>
                      <w:lang w:val="en-US" w:eastAsia="zh-CN"/>
                    </w:rPr>
                    <w:t>10月31</w:t>
                  </w:r>
                  <w:r>
                    <w:rPr>
                      <w:rFonts w:hint="eastAsia"/>
                      <w:szCs w:val="22"/>
                    </w:rPr>
                    <w:t>日~</w:t>
                  </w:r>
                  <w:r>
                    <w:rPr>
                      <w:rFonts w:hint="eastAsia"/>
                      <w:szCs w:val="22"/>
                      <w:lang w:val="en-US" w:eastAsia="zh-CN"/>
                    </w:rPr>
                    <w:t>11月01</w:t>
                  </w:r>
                  <w:r>
                    <w:rPr>
                      <w:rFonts w:hint="eastAsia"/>
                      <w:szCs w:val="22"/>
                    </w:rPr>
                    <w:t>日</w:t>
                  </w:r>
                </w:p>
              </w:tc>
              <w:tc>
                <w:tcPr>
                  <w:tcW w:w="993" w:type="pct"/>
                  <w:noWrap w:val="0"/>
                  <w:vAlign w:val="center"/>
                </w:tcPr>
                <w:p w14:paraId="2F8FC4D0">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0.095</w:t>
                  </w:r>
                </w:p>
              </w:tc>
              <w:tc>
                <w:tcPr>
                  <w:tcW w:w="713" w:type="pct"/>
                  <w:tcBorders>
                    <w:right w:val="nil"/>
                  </w:tcBorders>
                  <w:noWrap w:val="0"/>
                  <w:vAlign w:val="center"/>
                </w:tcPr>
                <w:p w14:paraId="1AE0F713">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mg/m</w:t>
                  </w:r>
                  <w:r>
                    <w:rPr>
                      <w:rFonts w:hint="eastAsia"/>
                      <w:szCs w:val="22"/>
                      <w:vertAlign w:val="superscript"/>
                    </w:rPr>
                    <w:t>3</w:t>
                  </w:r>
                </w:p>
              </w:tc>
            </w:tr>
            <w:tr w14:paraId="46C6FC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693" w:type="pct"/>
                  <w:vMerge w:val="continue"/>
                  <w:tcBorders>
                    <w:left w:val="nil"/>
                    <w:bottom w:val="single" w:color="auto" w:sz="12" w:space="0"/>
                  </w:tcBorders>
                  <w:noWrap w:val="0"/>
                  <w:vAlign w:val="center"/>
                </w:tcPr>
                <w:p w14:paraId="06E05664">
                  <w:pPr>
                    <w:pStyle w:val="38"/>
                    <w:keepNext w:val="0"/>
                    <w:keepLines w:val="0"/>
                    <w:widowControl/>
                    <w:suppressLineNumbers w:val="0"/>
                    <w:bidi w:val="0"/>
                    <w:spacing w:before="0" w:beforeAutospacing="0" w:after="0" w:afterAutospacing="0"/>
                    <w:ind w:left="0" w:right="0"/>
                    <w:rPr>
                      <w:rFonts w:hint="eastAsia"/>
                      <w:szCs w:val="22"/>
                    </w:rPr>
                  </w:pPr>
                </w:p>
              </w:tc>
              <w:tc>
                <w:tcPr>
                  <w:tcW w:w="992" w:type="pct"/>
                  <w:vMerge w:val="continue"/>
                  <w:tcBorders>
                    <w:bottom w:val="single" w:color="auto" w:sz="12" w:space="0"/>
                  </w:tcBorders>
                  <w:noWrap w:val="0"/>
                  <w:vAlign w:val="center"/>
                </w:tcPr>
                <w:p w14:paraId="4AB285A3">
                  <w:pPr>
                    <w:pStyle w:val="38"/>
                    <w:keepNext w:val="0"/>
                    <w:keepLines w:val="0"/>
                    <w:widowControl/>
                    <w:suppressLineNumbers w:val="0"/>
                    <w:bidi w:val="0"/>
                    <w:spacing w:before="0" w:beforeAutospacing="0" w:after="0" w:afterAutospacing="0"/>
                    <w:ind w:left="0" w:right="0"/>
                    <w:rPr>
                      <w:rFonts w:hint="eastAsia"/>
                      <w:szCs w:val="22"/>
                    </w:rPr>
                  </w:pPr>
                </w:p>
              </w:tc>
              <w:tc>
                <w:tcPr>
                  <w:tcW w:w="1606" w:type="pct"/>
                  <w:tcBorders>
                    <w:bottom w:val="single" w:color="auto" w:sz="12" w:space="0"/>
                  </w:tcBorders>
                  <w:noWrap w:val="0"/>
                  <w:vAlign w:val="center"/>
                </w:tcPr>
                <w:p w14:paraId="7E0E3A1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eastAsia="zh-CN"/>
                    </w:rPr>
                    <w:t>2025年</w:t>
                  </w:r>
                  <w:r>
                    <w:rPr>
                      <w:rFonts w:hint="eastAsia"/>
                      <w:szCs w:val="22"/>
                      <w:lang w:val="en-US" w:eastAsia="zh-CN"/>
                    </w:rPr>
                    <w:t>11月01</w:t>
                  </w:r>
                  <w:r>
                    <w:rPr>
                      <w:rFonts w:hint="eastAsia"/>
                      <w:szCs w:val="22"/>
                    </w:rPr>
                    <w:t>日~</w:t>
                  </w:r>
                  <w:r>
                    <w:rPr>
                      <w:rFonts w:hint="eastAsia"/>
                      <w:szCs w:val="22"/>
                      <w:lang w:val="en-US" w:eastAsia="zh-CN"/>
                    </w:rPr>
                    <w:t>02</w:t>
                  </w:r>
                  <w:r>
                    <w:rPr>
                      <w:rFonts w:hint="eastAsia"/>
                      <w:szCs w:val="22"/>
                    </w:rPr>
                    <w:t>日</w:t>
                  </w:r>
                </w:p>
              </w:tc>
              <w:tc>
                <w:tcPr>
                  <w:tcW w:w="993" w:type="pct"/>
                  <w:tcBorders>
                    <w:bottom w:val="single" w:color="auto" w:sz="12" w:space="0"/>
                  </w:tcBorders>
                  <w:noWrap w:val="0"/>
                  <w:vAlign w:val="center"/>
                </w:tcPr>
                <w:p w14:paraId="7D0C792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0.114</w:t>
                  </w:r>
                </w:p>
              </w:tc>
              <w:tc>
                <w:tcPr>
                  <w:tcW w:w="713" w:type="pct"/>
                  <w:tcBorders>
                    <w:bottom w:val="single" w:color="auto" w:sz="12" w:space="0"/>
                    <w:right w:val="nil"/>
                  </w:tcBorders>
                  <w:noWrap w:val="0"/>
                  <w:vAlign w:val="center"/>
                </w:tcPr>
                <w:p w14:paraId="58207CE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mg/m</w:t>
                  </w:r>
                  <w:r>
                    <w:rPr>
                      <w:rFonts w:hint="eastAsia"/>
                      <w:szCs w:val="22"/>
                      <w:vertAlign w:val="superscript"/>
                    </w:rPr>
                    <w:t>3</w:t>
                  </w:r>
                </w:p>
              </w:tc>
            </w:tr>
          </w:tbl>
          <w:p w14:paraId="089261FB">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根据表3.1-4可知，项目所在区域内特征污染因子颗粒物的现状监测点的浓度值可符合</w:t>
            </w:r>
            <w:r>
              <w:rPr>
                <w:rFonts w:hint="default"/>
              </w:rPr>
              <w:t>《环境空气质量标准》</w:t>
            </w:r>
            <w:r>
              <w:rPr>
                <w:rFonts w:hint="eastAsia"/>
                <w:lang w:eastAsia="zh-CN"/>
              </w:rPr>
              <w:t>（</w:t>
            </w:r>
            <w:r>
              <w:rPr>
                <w:rFonts w:hint="default"/>
              </w:rPr>
              <w:t>GB3095-2012</w:t>
            </w:r>
            <w:r>
              <w:rPr>
                <w:rFonts w:hint="eastAsia"/>
                <w:lang w:eastAsia="zh-CN"/>
              </w:rPr>
              <w:t>）</w:t>
            </w:r>
            <w:r>
              <w:rPr>
                <w:rFonts w:hint="default"/>
              </w:rPr>
              <w:t>及其修改单中的二级标准</w:t>
            </w:r>
            <w:r>
              <w:rPr>
                <w:rFonts w:hint="eastAsia"/>
                <w:lang w:val="en-US" w:eastAsia="zh-CN"/>
              </w:rPr>
              <w:t>要求。</w:t>
            </w:r>
          </w:p>
          <w:p w14:paraId="1B35A964">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（3）</w:t>
            </w:r>
            <w:r>
              <w:rPr>
                <w:rFonts w:hint="default"/>
                <w:lang w:val="en-US" w:eastAsia="zh-CN"/>
              </w:rPr>
              <w:t>引用数据的有效性分析</w:t>
            </w:r>
          </w:p>
          <w:p w14:paraId="6BA67D0F">
            <w:pPr>
              <w:keepNext w:val="0"/>
              <w:keepLines w:val="0"/>
              <w:suppressLineNumbers w:val="0"/>
              <w:bidi w:val="0"/>
              <w:spacing w:before="0" w:beforeAutospacing="0" w:after="0" w:afterAutospacing="0"/>
              <w:ind w:left="0" w:right="0"/>
              <w:rPr>
                <w:rFonts w:hint="eastAsia"/>
                <w:lang w:val="en-US" w:eastAsia="zh-CN"/>
              </w:rPr>
            </w:pPr>
            <w:r>
              <w:rPr>
                <w:rFonts w:hint="default"/>
                <w:lang w:val="en-US" w:eastAsia="zh-CN"/>
              </w:rPr>
              <w:t>根据《环境影响评价技术导则 大气环境》</w:t>
            </w:r>
            <w:r>
              <w:rPr>
                <w:rFonts w:hint="eastAsia"/>
                <w:lang w:val="en-US" w:eastAsia="zh-CN"/>
              </w:rPr>
              <w:t>（</w:t>
            </w:r>
            <w:r>
              <w:rPr>
                <w:rFonts w:hint="default"/>
                <w:lang w:val="en-US" w:eastAsia="zh-CN"/>
              </w:rPr>
              <w:t>HJ2.2-2018</w:t>
            </w:r>
            <w:r>
              <w:rPr>
                <w:rFonts w:hint="eastAsia"/>
                <w:lang w:val="en-US" w:eastAsia="zh-CN"/>
              </w:rPr>
              <w:t>）</w:t>
            </w:r>
            <w:r>
              <w:rPr>
                <w:rFonts w:hint="default"/>
                <w:lang w:val="en-US" w:eastAsia="zh-CN"/>
              </w:rPr>
              <w:t>的6.2.1.1要求：</w:t>
            </w:r>
            <w:r>
              <w:rPr>
                <w:rFonts w:hint="eastAsia"/>
                <w:lang w:val="en-US" w:eastAsia="zh-CN"/>
              </w:rPr>
              <w:t>“</w:t>
            </w:r>
            <w:r>
              <w:rPr>
                <w:rFonts w:hint="default"/>
                <w:lang w:val="en-US" w:eastAsia="zh-CN"/>
              </w:rPr>
              <w:t>项目所在区域达标判定，优先采用国家或地方生态环境主管部门发布的评价基准年环境质量公告或环境质量报告中的数据或结论</w:t>
            </w:r>
            <w:r>
              <w:rPr>
                <w:rFonts w:hint="eastAsia"/>
                <w:lang w:val="en-US" w:eastAsia="zh-CN"/>
              </w:rPr>
              <w:t>”</w:t>
            </w:r>
            <w:r>
              <w:rPr>
                <w:rFonts w:hint="default"/>
                <w:lang w:val="en-US" w:eastAsia="zh-CN"/>
              </w:rPr>
              <w:t>，根据</w:t>
            </w:r>
            <w:r>
              <w:rPr>
                <w:rFonts w:hint="eastAsia"/>
                <w:lang w:val="en-US" w:eastAsia="zh-CN"/>
              </w:rPr>
              <w:t>《建设项目环境影响报告表编制技术指南（污染影响类）（试行）》（环办环评〔2020〕33号）的要求：“大气环境区域环境质量现状常规污染物引用与建设项目距离近的有效数据，包括近3年的规划环境影响评价的监测数据，国家、地方环境空气质量监测网数据或生态环境主管部门公开发布的质量数据等，排放国家、地方环境空气质量标准中有标准限值要求的特征污染物时，引用建设项目周边5千米范围内近3年的现有监测数据”。</w:t>
            </w:r>
          </w:p>
          <w:p w14:paraId="5E6EB1F0">
            <w:pPr>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本次评价选取福建省生态环境厅</w:t>
            </w:r>
            <w:r>
              <w:rPr>
                <w:rFonts w:hint="eastAsia"/>
                <w:lang w:val="en-US" w:eastAsia="zh-CN"/>
              </w:rPr>
              <w:t>发</w:t>
            </w:r>
            <w:r>
              <w:rPr>
                <w:rFonts w:hint="default"/>
                <w:lang w:val="en-US" w:eastAsia="zh-CN"/>
              </w:rPr>
              <w:t>布的环境空气质量</w:t>
            </w:r>
            <w:r>
              <w:rPr>
                <w:rFonts w:hint="eastAsia"/>
                <w:lang w:val="en-US" w:eastAsia="zh-CN"/>
              </w:rPr>
              <w:t>数据</w:t>
            </w:r>
            <w:r>
              <w:rPr>
                <w:rFonts w:hint="default"/>
                <w:lang w:val="en-US" w:eastAsia="zh-CN"/>
              </w:rPr>
              <w:t>，符合《环境影响评价技术导则 大气环境》</w:t>
            </w:r>
            <w:r>
              <w:rPr>
                <w:rFonts w:hint="eastAsia"/>
                <w:lang w:val="en-US" w:eastAsia="zh-CN"/>
              </w:rPr>
              <w:t>（</w:t>
            </w:r>
            <w:r>
              <w:rPr>
                <w:rFonts w:hint="default"/>
                <w:lang w:val="en-US" w:eastAsia="zh-CN"/>
              </w:rPr>
              <w:t>HJ2.2-2018</w:t>
            </w:r>
            <w:r>
              <w:rPr>
                <w:rFonts w:hint="eastAsia"/>
                <w:lang w:val="en-US" w:eastAsia="zh-CN"/>
              </w:rPr>
              <w:t>）</w:t>
            </w:r>
            <w:r>
              <w:rPr>
                <w:rFonts w:hint="default"/>
                <w:lang w:val="en-US" w:eastAsia="zh-CN"/>
              </w:rPr>
              <w:t>、《建设项目环境影响报告表编制技术指南（污染影响类）（试行）》的要求，环境现状监测数据可行。</w:t>
            </w:r>
          </w:p>
          <w:p w14:paraId="48BCC322">
            <w:pPr>
              <w:pStyle w:val="3"/>
              <w:keepNext w:val="0"/>
              <w:keepLines w:val="0"/>
              <w:suppressLineNumbers w:val="0"/>
              <w:bidi w:val="0"/>
              <w:spacing w:before="0" w:beforeAutospacing="0" w:after="0" w:afterAutospacing="0"/>
              <w:ind w:left="0" w:right="0"/>
              <w:rPr>
                <w:rFonts w:hint="default"/>
              </w:rPr>
            </w:pPr>
            <w:r>
              <w:rPr>
                <w:rFonts w:hint="eastAsia"/>
                <w:lang w:val="en-US" w:eastAsia="zh-CN"/>
              </w:rPr>
              <w:t>地表水环境质量现状</w:t>
            </w:r>
          </w:p>
          <w:p w14:paraId="029BB938">
            <w:pPr>
              <w:pStyle w:val="4"/>
              <w:suppressLineNumbers w:val="0"/>
              <w:bidi w:val="0"/>
              <w:spacing w:before="0" w:beforeAutospacing="0" w:after="0" w:afterAutospacing="0"/>
              <w:ind w:left="0" w:right="0"/>
              <w:rPr>
                <w:rFonts w:hint="eastAsia"/>
                <w:lang w:val="en-US" w:eastAsia="zh-CN"/>
              </w:rPr>
            </w:pPr>
            <w:r>
              <w:rPr>
                <w:rFonts w:hint="default"/>
                <w:lang w:val="en-US" w:eastAsia="zh-CN"/>
              </w:rPr>
              <w:t>地表水功能区划</w:t>
            </w:r>
          </w:p>
          <w:p w14:paraId="3F757D22">
            <w:pPr>
              <w:keepNext w:val="0"/>
              <w:keepLines w:val="0"/>
              <w:suppressLineNumbers w:val="0"/>
              <w:bidi w:val="0"/>
              <w:spacing w:before="0" w:beforeAutospacing="0" w:after="0" w:afterAutospacing="0"/>
              <w:ind w:left="0" w:right="0"/>
              <w:rPr>
                <w:rFonts w:hint="default"/>
                <w:lang w:val="en-US" w:eastAsia="zh-CN"/>
              </w:rPr>
            </w:pPr>
            <w:r>
              <w:rPr>
                <w:rFonts w:hint="eastAsia"/>
                <w:lang w:eastAsia="zh-CN"/>
              </w:rPr>
              <w:t>（</w:t>
            </w:r>
            <w:r>
              <w:rPr>
                <w:rFonts w:hint="eastAsia"/>
                <w:lang w:val="en-US" w:eastAsia="zh-CN"/>
              </w:rPr>
              <w:t>1</w:t>
            </w:r>
            <w:r>
              <w:rPr>
                <w:rFonts w:hint="eastAsia"/>
                <w:lang w:eastAsia="zh-CN"/>
              </w:rPr>
              <w:t>）</w:t>
            </w:r>
            <w:r>
              <w:rPr>
                <w:rFonts w:hint="eastAsia"/>
                <w:lang w:val="en-US" w:eastAsia="zh-CN"/>
              </w:rPr>
              <w:t>水环境</w:t>
            </w:r>
          </w:p>
          <w:p w14:paraId="77AA3355">
            <w:pPr>
              <w:keepNext w:val="0"/>
              <w:keepLines w:val="0"/>
              <w:suppressLineNumbers w:val="0"/>
              <w:bidi w:val="0"/>
              <w:spacing w:before="0" w:beforeAutospacing="0" w:after="0" w:afterAutospacing="0"/>
              <w:ind w:left="0" w:right="0"/>
              <w:rPr>
                <w:rFonts w:hint="eastAsia"/>
              </w:rPr>
            </w:pPr>
            <w:r>
              <w:rPr>
                <w:rFonts w:hint="eastAsia"/>
              </w:rPr>
              <w:t>本项目生活污水预处理后排入市政污水管网，送往福清市融元污水处理厂进行处理，</w:t>
            </w:r>
            <w:r>
              <w:rPr>
                <w:rFonts w:hint="eastAsia"/>
                <w:lang w:eastAsia="zh-CN"/>
              </w:rPr>
              <w:t>污水处理厂</w:t>
            </w:r>
            <w:r>
              <w:rPr>
                <w:rFonts w:hint="eastAsia"/>
              </w:rPr>
              <w:t>尾水排入龙江，所处龙江</w:t>
            </w:r>
            <w:r>
              <w:rPr>
                <w:rFonts w:hint="eastAsia"/>
                <w:lang w:eastAsia="zh-CN"/>
              </w:rPr>
              <w:t>“</w:t>
            </w:r>
            <w:r>
              <w:rPr>
                <w:rFonts w:hint="eastAsia"/>
              </w:rPr>
              <w:t>南门桥水闸至龙江入海口</w:t>
            </w:r>
            <w:r>
              <w:rPr>
                <w:rFonts w:hint="eastAsia"/>
                <w:lang w:eastAsia="zh-CN"/>
              </w:rPr>
              <w:t>”</w:t>
            </w:r>
            <w:r>
              <w:rPr>
                <w:rFonts w:hint="eastAsia"/>
              </w:rPr>
              <w:t>断面；根据福州市水功能区划批复（榕政综</w:t>
            </w:r>
            <w:r>
              <w:rPr>
                <w:rFonts w:hint="eastAsia"/>
                <w:lang w:eastAsia="zh-CN"/>
              </w:rPr>
              <w:t>〔2019〕316号</w:t>
            </w:r>
            <w:r>
              <w:rPr>
                <w:rFonts w:hint="eastAsia"/>
              </w:rPr>
              <w:t>）批准的《福州市水功能区划》，该断面水体主要功能为该断面水体主要功能为</w:t>
            </w:r>
            <w:r>
              <w:rPr>
                <w:rFonts w:hint="eastAsia"/>
                <w:highlight w:val="none"/>
              </w:rPr>
              <w:t>农业、工业、景观用水，环境功能类别为Ⅴ类，水质执行《地表水环境质量标准》</w:t>
            </w:r>
            <w:r>
              <w:rPr>
                <w:rFonts w:hint="eastAsia"/>
                <w:highlight w:val="none"/>
                <w:lang w:eastAsia="zh-CN"/>
              </w:rPr>
              <w:t>（</w:t>
            </w:r>
            <w:r>
              <w:rPr>
                <w:rFonts w:hint="eastAsia"/>
                <w:highlight w:val="none"/>
              </w:rPr>
              <w:t>GB3838-2002</w:t>
            </w:r>
            <w:r>
              <w:rPr>
                <w:rFonts w:hint="eastAsia"/>
                <w:highlight w:val="none"/>
                <w:lang w:eastAsia="zh-CN"/>
              </w:rPr>
              <w:t>）</w:t>
            </w:r>
            <w:r>
              <w:rPr>
                <w:rFonts w:hint="eastAsia"/>
                <w:highlight w:val="none"/>
              </w:rPr>
              <w:t>中Ⅴ类水质标准；项目周边水域大北溪所在</w:t>
            </w:r>
            <w:r>
              <w:rPr>
                <w:rFonts w:hint="eastAsia"/>
                <w:highlight w:val="none"/>
                <w:lang w:eastAsia="zh-CN"/>
              </w:rPr>
              <w:t>“</w:t>
            </w:r>
            <w:r>
              <w:rPr>
                <w:rFonts w:hint="eastAsia"/>
                <w:highlight w:val="none"/>
              </w:rPr>
              <w:t>铁路桥至大北溪口</w:t>
            </w:r>
            <w:r>
              <w:rPr>
                <w:rFonts w:hint="eastAsia"/>
                <w:highlight w:val="none"/>
                <w:lang w:eastAsia="zh-CN"/>
              </w:rPr>
              <w:t>”</w:t>
            </w:r>
            <w:r>
              <w:rPr>
                <w:rFonts w:hint="eastAsia"/>
                <w:highlight w:val="none"/>
              </w:rPr>
              <w:t>断面水体主要功能为景观、工业用水，环境功能类别为Ⅳ类，水质执行《地表水环境</w:t>
            </w:r>
            <w:r>
              <w:rPr>
                <w:rFonts w:hint="eastAsia"/>
              </w:rPr>
              <w:t>质量标准》</w:t>
            </w:r>
            <w:r>
              <w:rPr>
                <w:rFonts w:hint="eastAsia"/>
                <w:lang w:eastAsia="zh-CN"/>
              </w:rPr>
              <w:t>（</w:t>
            </w:r>
            <w:r>
              <w:rPr>
                <w:rFonts w:hint="eastAsia"/>
              </w:rPr>
              <w:t>GB3838-2002</w:t>
            </w:r>
            <w:r>
              <w:rPr>
                <w:rFonts w:hint="eastAsia"/>
                <w:lang w:eastAsia="zh-CN"/>
              </w:rPr>
              <w:t>）</w:t>
            </w:r>
            <w:r>
              <w:rPr>
                <w:rFonts w:hint="eastAsia"/>
              </w:rPr>
              <w:t>中Ⅳ类水质标准Ⅳ，具体详见表3.2-1。</w:t>
            </w:r>
          </w:p>
          <w:p w14:paraId="53D27683">
            <w:pPr>
              <w:pStyle w:val="39"/>
              <w:keepNext w:val="0"/>
              <w:keepLines w:val="0"/>
              <w:suppressLineNumbers w:val="0"/>
              <w:bidi w:val="0"/>
              <w:spacing w:before="0" w:beforeAutospacing="0" w:after="0" w:afterAutospacing="0"/>
              <w:ind w:left="0" w:right="0"/>
              <w:rPr>
                <w:rFonts w:hint="default"/>
              </w:rPr>
            </w:pPr>
            <w:r>
              <w:rPr>
                <w:rFonts w:hint="default"/>
              </w:rPr>
              <w:t>表3.2-1  地表水环境质量标准</w:t>
            </w:r>
            <w:r>
              <w:rPr>
                <w:rFonts w:hint="eastAsia"/>
                <w:lang w:eastAsia="zh-CN"/>
              </w:rPr>
              <w:t>（</w:t>
            </w:r>
            <w:r>
              <w:rPr>
                <w:rFonts w:hint="default"/>
              </w:rPr>
              <w:t>GB3838-2002</w:t>
            </w:r>
            <w:r>
              <w:rPr>
                <w:rFonts w:hint="eastAsia"/>
                <w:lang w:eastAsia="zh-CN"/>
              </w:rPr>
              <w:t>）（</w:t>
            </w:r>
            <w:r>
              <w:rPr>
                <w:rFonts w:hint="default"/>
              </w:rPr>
              <w:t>摘录</w:t>
            </w:r>
            <w:r>
              <w:rPr>
                <w:rFonts w:hint="eastAsia"/>
                <w:lang w:eastAsia="zh-CN"/>
              </w:rPr>
              <w:t>）</w:t>
            </w:r>
            <w:r>
              <w:rPr>
                <w:rFonts w:hint="default"/>
              </w:rPr>
              <w:t xml:space="preserve">   单位：mg/L</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28" w:type="dxa"/>
                <w:bottom w:w="0" w:type="dxa"/>
                <w:right w:w="28" w:type="dxa"/>
              </w:tblCellMar>
            </w:tblPr>
            <w:tblGrid>
              <w:gridCol w:w="977"/>
              <w:gridCol w:w="3221"/>
              <w:gridCol w:w="1239"/>
              <w:gridCol w:w="986"/>
              <w:gridCol w:w="983"/>
              <w:gridCol w:w="988"/>
            </w:tblGrid>
            <w:tr w14:paraId="2FE1171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582" w:type="pct"/>
                  <w:shd w:val="clear" w:color="auto" w:fill="auto"/>
                  <w:noWrap w:val="0"/>
                  <w:vAlign w:val="center"/>
                </w:tcPr>
                <w:p w14:paraId="57695B5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序号</w:t>
                  </w:r>
                </w:p>
              </w:tc>
              <w:tc>
                <w:tcPr>
                  <w:tcW w:w="1918" w:type="pct"/>
                  <w:shd w:val="clear" w:color="auto" w:fill="auto"/>
                  <w:noWrap w:val="0"/>
                  <w:vAlign w:val="center"/>
                </w:tcPr>
                <w:p w14:paraId="7B1DB5E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项目</w:t>
                  </w:r>
                </w:p>
              </w:tc>
              <w:tc>
                <w:tcPr>
                  <w:tcW w:w="738" w:type="pct"/>
                  <w:shd w:val="clear" w:color="auto" w:fill="auto"/>
                  <w:noWrap w:val="0"/>
                  <w:vAlign w:val="center"/>
                </w:tcPr>
                <w:p w14:paraId="08DB0BE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Ⅱ类</w:t>
                  </w:r>
                </w:p>
              </w:tc>
              <w:tc>
                <w:tcPr>
                  <w:tcW w:w="587" w:type="pct"/>
                  <w:shd w:val="clear" w:color="auto" w:fill="auto"/>
                  <w:noWrap w:val="0"/>
                  <w:vAlign w:val="center"/>
                </w:tcPr>
                <w:p w14:paraId="27B6287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Ⅲ类</w:t>
                  </w:r>
                </w:p>
              </w:tc>
              <w:tc>
                <w:tcPr>
                  <w:tcW w:w="585" w:type="pct"/>
                  <w:shd w:val="clear" w:color="auto" w:fill="EEECE1"/>
                  <w:noWrap w:val="0"/>
                  <w:vAlign w:val="center"/>
                </w:tcPr>
                <w:p w14:paraId="72E667E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Ⅳ类</w:t>
                  </w:r>
                </w:p>
              </w:tc>
              <w:tc>
                <w:tcPr>
                  <w:tcW w:w="587" w:type="pct"/>
                  <w:shd w:val="clear" w:color="auto" w:fill="EEECE1"/>
                  <w:noWrap w:val="0"/>
                  <w:vAlign w:val="center"/>
                </w:tcPr>
                <w:p w14:paraId="262F5A5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Ⅴ类</w:t>
                  </w:r>
                </w:p>
              </w:tc>
            </w:tr>
            <w:tr w14:paraId="1AEB839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582" w:type="pct"/>
                  <w:shd w:val="clear" w:color="auto" w:fill="auto"/>
                  <w:noWrap w:val="0"/>
                  <w:vAlign w:val="center"/>
                </w:tcPr>
                <w:p w14:paraId="18B279F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w:t>
                  </w:r>
                </w:p>
              </w:tc>
              <w:tc>
                <w:tcPr>
                  <w:tcW w:w="1918" w:type="pct"/>
                  <w:shd w:val="clear" w:color="auto" w:fill="auto"/>
                  <w:noWrap w:val="0"/>
                  <w:vAlign w:val="center"/>
                </w:tcPr>
                <w:p w14:paraId="4A73B893">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rPr>
                    <w:t>pH</w:t>
                  </w:r>
                  <w:r>
                    <w:rPr>
                      <w:rFonts w:hint="eastAsia"/>
                      <w:szCs w:val="22"/>
                      <w:lang w:eastAsia="zh-CN"/>
                    </w:rPr>
                    <w:t>（</w:t>
                  </w:r>
                  <w:r>
                    <w:rPr>
                      <w:rFonts w:hint="eastAsia"/>
                      <w:szCs w:val="22"/>
                    </w:rPr>
                    <w:t>无量纲</w:t>
                  </w:r>
                  <w:r>
                    <w:rPr>
                      <w:rFonts w:hint="eastAsia"/>
                      <w:szCs w:val="22"/>
                      <w:lang w:eastAsia="zh-CN"/>
                    </w:rPr>
                    <w:t>）</w:t>
                  </w:r>
                </w:p>
              </w:tc>
              <w:tc>
                <w:tcPr>
                  <w:tcW w:w="2498" w:type="pct"/>
                  <w:gridSpan w:val="4"/>
                  <w:shd w:val="clear" w:color="auto" w:fill="EEECE1"/>
                  <w:noWrap w:val="0"/>
                  <w:vAlign w:val="center"/>
                </w:tcPr>
                <w:p w14:paraId="2F8D68B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6～9</w:t>
                  </w:r>
                </w:p>
              </w:tc>
            </w:tr>
            <w:tr w14:paraId="7403C9C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582" w:type="pct"/>
                  <w:shd w:val="clear" w:color="auto" w:fill="auto"/>
                  <w:noWrap w:val="0"/>
                  <w:vAlign w:val="center"/>
                </w:tcPr>
                <w:p w14:paraId="525A5C8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w:t>
                  </w:r>
                </w:p>
              </w:tc>
              <w:tc>
                <w:tcPr>
                  <w:tcW w:w="1918" w:type="pct"/>
                  <w:shd w:val="clear" w:color="auto" w:fill="auto"/>
                  <w:noWrap w:val="0"/>
                  <w:vAlign w:val="center"/>
                </w:tcPr>
                <w:p w14:paraId="27982AE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溶解氧≥</w:t>
                  </w:r>
                </w:p>
              </w:tc>
              <w:tc>
                <w:tcPr>
                  <w:tcW w:w="738" w:type="pct"/>
                  <w:shd w:val="clear" w:color="auto" w:fill="auto"/>
                  <w:noWrap w:val="0"/>
                  <w:vAlign w:val="center"/>
                </w:tcPr>
                <w:p w14:paraId="4505D60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6</w:t>
                  </w:r>
                </w:p>
              </w:tc>
              <w:tc>
                <w:tcPr>
                  <w:tcW w:w="587" w:type="pct"/>
                  <w:shd w:val="clear" w:color="auto" w:fill="auto"/>
                  <w:noWrap w:val="0"/>
                  <w:vAlign w:val="center"/>
                </w:tcPr>
                <w:p w14:paraId="79D4CA8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5</w:t>
                  </w:r>
                </w:p>
              </w:tc>
              <w:tc>
                <w:tcPr>
                  <w:tcW w:w="585" w:type="pct"/>
                  <w:shd w:val="clear" w:color="auto" w:fill="EEECE1"/>
                  <w:noWrap w:val="0"/>
                  <w:vAlign w:val="center"/>
                </w:tcPr>
                <w:p w14:paraId="3CA6A88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3</w:t>
                  </w:r>
                </w:p>
              </w:tc>
              <w:tc>
                <w:tcPr>
                  <w:tcW w:w="587" w:type="pct"/>
                  <w:shd w:val="clear" w:color="auto" w:fill="EEECE1"/>
                  <w:noWrap w:val="0"/>
                  <w:vAlign w:val="center"/>
                </w:tcPr>
                <w:p w14:paraId="257187D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w:t>
                  </w:r>
                </w:p>
              </w:tc>
            </w:tr>
            <w:tr w14:paraId="4859ECF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582" w:type="pct"/>
                  <w:shd w:val="clear" w:color="auto" w:fill="auto"/>
                  <w:noWrap w:val="0"/>
                  <w:vAlign w:val="center"/>
                </w:tcPr>
                <w:p w14:paraId="0967776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3</w:t>
                  </w:r>
                </w:p>
              </w:tc>
              <w:tc>
                <w:tcPr>
                  <w:tcW w:w="1918" w:type="pct"/>
                  <w:shd w:val="clear" w:color="auto" w:fill="auto"/>
                  <w:noWrap w:val="0"/>
                  <w:vAlign w:val="center"/>
                </w:tcPr>
                <w:p w14:paraId="3064A18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高锰酸盐指数≤</w:t>
                  </w:r>
                </w:p>
              </w:tc>
              <w:tc>
                <w:tcPr>
                  <w:tcW w:w="738" w:type="pct"/>
                  <w:shd w:val="clear" w:color="auto" w:fill="auto"/>
                  <w:noWrap w:val="0"/>
                  <w:vAlign w:val="center"/>
                </w:tcPr>
                <w:p w14:paraId="6519F1E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4</w:t>
                  </w:r>
                </w:p>
              </w:tc>
              <w:tc>
                <w:tcPr>
                  <w:tcW w:w="587" w:type="pct"/>
                  <w:shd w:val="clear" w:color="auto" w:fill="auto"/>
                  <w:noWrap w:val="0"/>
                  <w:vAlign w:val="center"/>
                </w:tcPr>
                <w:p w14:paraId="6348F7D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6</w:t>
                  </w:r>
                </w:p>
              </w:tc>
              <w:tc>
                <w:tcPr>
                  <w:tcW w:w="585" w:type="pct"/>
                  <w:shd w:val="clear" w:color="auto" w:fill="EEECE1"/>
                  <w:noWrap w:val="0"/>
                  <w:vAlign w:val="center"/>
                </w:tcPr>
                <w:p w14:paraId="0E5E23C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10</w:t>
                  </w:r>
                </w:p>
              </w:tc>
              <w:tc>
                <w:tcPr>
                  <w:tcW w:w="587" w:type="pct"/>
                  <w:shd w:val="clear" w:color="auto" w:fill="EEECE1"/>
                  <w:noWrap w:val="0"/>
                  <w:vAlign w:val="center"/>
                </w:tcPr>
                <w:p w14:paraId="77E983C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15</w:t>
                  </w:r>
                </w:p>
              </w:tc>
            </w:tr>
            <w:tr w14:paraId="145135C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582" w:type="pct"/>
                  <w:shd w:val="clear" w:color="auto" w:fill="auto"/>
                  <w:noWrap w:val="0"/>
                  <w:vAlign w:val="center"/>
                </w:tcPr>
                <w:p w14:paraId="3CC1EAA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4</w:t>
                  </w:r>
                </w:p>
              </w:tc>
              <w:tc>
                <w:tcPr>
                  <w:tcW w:w="1918" w:type="pct"/>
                  <w:shd w:val="clear" w:color="auto" w:fill="auto"/>
                  <w:noWrap w:val="0"/>
                  <w:vAlign w:val="center"/>
                </w:tcPr>
                <w:p w14:paraId="0194531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化学需氧量</w:t>
                  </w:r>
                  <w:r>
                    <w:rPr>
                      <w:rFonts w:hint="eastAsia"/>
                      <w:szCs w:val="22"/>
                      <w:lang w:eastAsia="zh-CN"/>
                    </w:rPr>
                    <w:t>（</w:t>
                  </w:r>
                  <w:r>
                    <w:rPr>
                      <w:rFonts w:hint="eastAsia"/>
                      <w:szCs w:val="22"/>
                    </w:rPr>
                    <w:t>COD</w:t>
                  </w:r>
                  <w:r>
                    <w:rPr>
                      <w:rFonts w:hint="eastAsia"/>
                      <w:szCs w:val="22"/>
                      <w:lang w:eastAsia="zh-CN"/>
                    </w:rPr>
                    <w:t>）</w:t>
                  </w:r>
                  <w:r>
                    <w:rPr>
                      <w:rFonts w:hint="eastAsia"/>
                      <w:szCs w:val="22"/>
                    </w:rPr>
                    <w:t>≤</w:t>
                  </w:r>
                </w:p>
              </w:tc>
              <w:tc>
                <w:tcPr>
                  <w:tcW w:w="738" w:type="pct"/>
                  <w:shd w:val="clear" w:color="auto" w:fill="auto"/>
                  <w:noWrap w:val="0"/>
                  <w:vAlign w:val="center"/>
                </w:tcPr>
                <w:p w14:paraId="6E15224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15</w:t>
                  </w:r>
                </w:p>
              </w:tc>
              <w:tc>
                <w:tcPr>
                  <w:tcW w:w="587" w:type="pct"/>
                  <w:shd w:val="clear" w:color="auto" w:fill="auto"/>
                  <w:noWrap w:val="0"/>
                  <w:vAlign w:val="center"/>
                </w:tcPr>
                <w:p w14:paraId="5CFA0D2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20</w:t>
                  </w:r>
                </w:p>
              </w:tc>
              <w:tc>
                <w:tcPr>
                  <w:tcW w:w="585" w:type="pct"/>
                  <w:shd w:val="clear" w:color="auto" w:fill="EEECE1"/>
                  <w:noWrap w:val="0"/>
                  <w:vAlign w:val="center"/>
                </w:tcPr>
                <w:p w14:paraId="21A9B58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30</w:t>
                  </w:r>
                </w:p>
              </w:tc>
              <w:tc>
                <w:tcPr>
                  <w:tcW w:w="587" w:type="pct"/>
                  <w:shd w:val="clear" w:color="auto" w:fill="EEECE1"/>
                  <w:noWrap w:val="0"/>
                  <w:vAlign w:val="center"/>
                </w:tcPr>
                <w:p w14:paraId="348A41A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40</w:t>
                  </w:r>
                </w:p>
              </w:tc>
            </w:tr>
            <w:tr w14:paraId="085C18B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582" w:type="pct"/>
                  <w:shd w:val="clear" w:color="auto" w:fill="auto"/>
                  <w:noWrap w:val="0"/>
                  <w:vAlign w:val="center"/>
                </w:tcPr>
                <w:p w14:paraId="206E00E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5</w:t>
                  </w:r>
                </w:p>
              </w:tc>
              <w:tc>
                <w:tcPr>
                  <w:tcW w:w="1918" w:type="pct"/>
                  <w:shd w:val="clear" w:color="auto" w:fill="auto"/>
                  <w:noWrap w:val="0"/>
                  <w:vAlign w:val="center"/>
                </w:tcPr>
                <w:p w14:paraId="350BA6B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氨氮</w:t>
                  </w:r>
                  <w:r>
                    <w:rPr>
                      <w:rFonts w:hint="eastAsia"/>
                      <w:szCs w:val="22"/>
                      <w:lang w:eastAsia="zh-CN"/>
                    </w:rPr>
                    <w:t>（</w:t>
                  </w:r>
                  <w:r>
                    <w:rPr>
                      <w:rFonts w:hint="eastAsia"/>
                      <w:szCs w:val="22"/>
                    </w:rPr>
                    <w:t>NH</w:t>
                  </w:r>
                  <w:r>
                    <w:rPr>
                      <w:rFonts w:hint="eastAsia"/>
                      <w:szCs w:val="22"/>
                      <w:vertAlign w:val="subscript"/>
                    </w:rPr>
                    <w:t>3</w:t>
                  </w:r>
                  <w:r>
                    <w:rPr>
                      <w:rFonts w:hint="eastAsia"/>
                      <w:szCs w:val="22"/>
                    </w:rPr>
                    <w:t>-N</w:t>
                  </w:r>
                  <w:r>
                    <w:rPr>
                      <w:rFonts w:hint="eastAsia"/>
                      <w:szCs w:val="22"/>
                      <w:lang w:eastAsia="zh-CN"/>
                    </w:rPr>
                    <w:t>）</w:t>
                  </w:r>
                  <w:r>
                    <w:rPr>
                      <w:rFonts w:hint="eastAsia"/>
                      <w:szCs w:val="22"/>
                    </w:rPr>
                    <w:t>≤</w:t>
                  </w:r>
                </w:p>
              </w:tc>
              <w:tc>
                <w:tcPr>
                  <w:tcW w:w="738" w:type="pct"/>
                  <w:shd w:val="clear" w:color="auto" w:fill="auto"/>
                  <w:noWrap w:val="0"/>
                  <w:vAlign w:val="center"/>
                </w:tcPr>
                <w:p w14:paraId="6402A48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0.5</w:t>
                  </w:r>
                </w:p>
              </w:tc>
              <w:tc>
                <w:tcPr>
                  <w:tcW w:w="587" w:type="pct"/>
                  <w:shd w:val="clear" w:color="auto" w:fill="auto"/>
                  <w:noWrap w:val="0"/>
                  <w:vAlign w:val="center"/>
                </w:tcPr>
                <w:p w14:paraId="4383378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1.0</w:t>
                  </w:r>
                </w:p>
              </w:tc>
              <w:tc>
                <w:tcPr>
                  <w:tcW w:w="585" w:type="pct"/>
                  <w:shd w:val="clear" w:color="auto" w:fill="EEECE1"/>
                  <w:noWrap w:val="0"/>
                  <w:vAlign w:val="center"/>
                </w:tcPr>
                <w:p w14:paraId="0E9349F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1.5</w:t>
                  </w:r>
                </w:p>
              </w:tc>
              <w:tc>
                <w:tcPr>
                  <w:tcW w:w="587" w:type="pct"/>
                  <w:shd w:val="clear" w:color="auto" w:fill="EEECE1"/>
                  <w:noWrap w:val="0"/>
                  <w:vAlign w:val="center"/>
                </w:tcPr>
                <w:p w14:paraId="3C9DDEE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2.0</w:t>
                  </w:r>
                </w:p>
              </w:tc>
            </w:tr>
            <w:tr w14:paraId="1D270F5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582" w:type="pct"/>
                  <w:shd w:val="clear" w:color="auto" w:fill="auto"/>
                  <w:noWrap w:val="0"/>
                  <w:vAlign w:val="center"/>
                </w:tcPr>
                <w:p w14:paraId="2FD80D7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6</w:t>
                  </w:r>
                </w:p>
              </w:tc>
              <w:tc>
                <w:tcPr>
                  <w:tcW w:w="1918" w:type="pct"/>
                  <w:shd w:val="clear" w:color="auto" w:fill="auto"/>
                  <w:noWrap w:val="0"/>
                  <w:vAlign w:val="center"/>
                </w:tcPr>
                <w:p w14:paraId="666DA4E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五日生化需氧量</w:t>
                  </w:r>
                  <w:r>
                    <w:rPr>
                      <w:rFonts w:hint="eastAsia"/>
                      <w:szCs w:val="22"/>
                      <w:lang w:eastAsia="zh-CN"/>
                    </w:rPr>
                    <w:t>（</w:t>
                  </w:r>
                  <w:r>
                    <w:rPr>
                      <w:rFonts w:hint="eastAsia"/>
                      <w:szCs w:val="22"/>
                    </w:rPr>
                    <w:t>BOD</w:t>
                  </w:r>
                  <w:r>
                    <w:rPr>
                      <w:rFonts w:hint="eastAsia"/>
                      <w:szCs w:val="22"/>
                      <w:vertAlign w:val="subscript"/>
                    </w:rPr>
                    <w:t>5</w:t>
                  </w:r>
                  <w:r>
                    <w:rPr>
                      <w:rFonts w:hint="eastAsia"/>
                      <w:szCs w:val="22"/>
                      <w:lang w:eastAsia="zh-CN"/>
                    </w:rPr>
                    <w:t>）</w:t>
                  </w:r>
                  <w:r>
                    <w:rPr>
                      <w:rFonts w:hint="eastAsia"/>
                      <w:szCs w:val="22"/>
                    </w:rPr>
                    <w:t>≤</w:t>
                  </w:r>
                </w:p>
              </w:tc>
              <w:tc>
                <w:tcPr>
                  <w:tcW w:w="738" w:type="pct"/>
                  <w:shd w:val="clear" w:color="auto" w:fill="auto"/>
                  <w:noWrap w:val="0"/>
                  <w:vAlign w:val="center"/>
                </w:tcPr>
                <w:p w14:paraId="025E33C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3</w:t>
                  </w:r>
                </w:p>
              </w:tc>
              <w:tc>
                <w:tcPr>
                  <w:tcW w:w="587" w:type="pct"/>
                  <w:shd w:val="clear" w:color="auto" w:fill="auto"/>
                  <w:noWrap w:val="0"/>
                  <w:vAlign w:val="center"/>
                </w:tcPr>
                <w:p w14:paraId="0F99B43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4</w:t>
                  </w:r>
                </w:p>
              </w:tc>
              <w:tc>
                <w:tcPr>
                  <w:tcW w:w="585" w:type="pct"/>
                  <w:shd w:val="clear" w:color="auto" w:fill="EEECE1"/>
                  <w:noWrap w:val="0"/>
                  <w:vAlign w:val="center"/>
                </w:tcPr>
                <w:p w14:paraId="452B7BC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6</w:t>
                  </w:r>
                </w:p>
              </w:tc>
              <w:tc>
                <w:tcPr>
                  <w:tcW w:w="587" w:type="pct"/>
                  <w:shd w:val="clear" w:color="auto" w:fill="EEECE1"/>
                  <w:noWrap w:val="0"/>
                  <w:vAlign w:val="center"/>
                </w:tcPr>
                <w:p w14:paraId="2AC698B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10</w:t>
                  </w:r>
                </w:p>
              </w:tc>
            </w:tr>
          </w:tbl>
          <w:p w14:paraId="3EAF5EFA">
            <w:pPr>
              <w:pStyle w:val="4"/>
              <w:suppressLineNumbers w:val="0"/>
              <w:bidi w:val="0"/>
              <w:spacing w:before="0" w:beforeAutospacing="0" w:after="0" w:afterAutospacing="0"/>
              <w:ind w:left="0" w:right="0"/>
              <w:rPr>
                <w:rFonts w:hint="eastAsia"/>
              </w:rPr>
            </w:pPr>
            <w:r>
              <w:rPr>
                <w:rFonts w:hint="eastAsia"/>
              </w:rPr>
              <w:t>地表水环境质量现状</w:t>
            </w:r>
          </w:p>
          <w:p w14:paraId="4386BAB6">
            <w:pPr>
              <w:keepNext w:val="0"/>
              <w:keepLines w:val="0"/>
              <w:suppressLineNumbers w:val="0"/>
              <w:bidi w:val="0"/>
              <w:spacing w:before="0" w:beforeAutospacing="0" w:after="0" w:afterAutospacing="0"/>
              <w:ind w:left="0" w:right="0"/>
              <w:rPr>
                <w:rFonts w:hint="eastAsia"/>
              </w:rPr>
            </w:pPr>
            <w:r>
              <w:rPr>
                <w:rFonts w:hint="eastAsia"/>
                <w:lang w:eastAsia="zh-CN"/>
              </w:rPr>
              <w:t>（</w:t>
            </w:r>
            <w:r>
              <w:rPr>
                <w:rFonts w:hint="eastAsia"/>
                <w:lang w:val="en-US" w:eastAsia="zh-CN"/>
              </w:rPr>
              <w:t>1</w:t>
            </w:r>
            <w:r>
              <w:rPr>
                <w:rFonts w:hint="eastAsia"/>
                <w:lang w:eastAsia="zh-CN"/>
              </w:rPr>
              <w:t>）</w:t>
            </w:r>
            <w:r>
              <w:rPr>
                <w:rFonts w:hint="eastAsia"/>
              </w:rPr>
              <w:t>地表水水质现状调查</w:t>
            </w:r>
          </w:p>
          <w:p w14:paraId="434D1D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为了解项目地表水水质环境质量现状，根据福建省生态环境厅网站发布的福建省主要流域水环境质量状况</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2024年</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，2024年，福建省主要流域总体水质为优，国控断面I~Ⅲ类水质比例100%.I~类水质比例77.1%；国控及省控断面I~Ⅲ类水质比例99.7%</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其中I～类水质比例80.0%</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各类水质比例如下：类占2.4%，类占77.6%，Ⅲ类占19.7%</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IV类占0.3%，无V类和劣V类水</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详见图3.1-1）。</w:t>
            </w:r>
          </w:p>
          <w:p w14:paraId="042A22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2024年，福建省主要流域总体水质从相对较好开始排序，具体为：闽江、交溪、九龙江、汀江</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韩江</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、霍童溪、晋江、荻芦溪、东西溪、木兰溪、敖江、漳江、2024年，福建省主要流域总体水质从相对较好开始排序，具体为：闽江、交溪、九龙江、汀江</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韩江</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、霍童溪、晋江、荻芦溪、东西溪、木兰溪、敖江、漳江、诏安东溪、鹿溪、</w:t>
            </w:r>
            <w:r>
              <w:rPr>
                <w:rFonts w:hint="eastAsia" w:ascii="Times New Roman" w:hAnsi="Times New Roman" w:eastAsia="宋体" w:cs="Times New Roman"/>
                <w:b/>
                <w:bCs/>
                <w:color w:val="auto"/>
                <w:kern w:val="2"/>
                <w:sz w:val="24"/>
                <w:szCs w:val="20"/>
                <w:highlight w:val="none"/>
                <w:lang w:val="en-US" w:eastAsia="zh-CN" w:bidi="ar-SA"/>
              </w:rPr>
              <w:t>龙江</w:t>
            </w:r>
            <w:r>
              <w:rPr>
                <w:rFonts w:hint="eastAsia" w:cs="Times New Roman"/>
                <w:b/>
                <w:bCs/>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详见图3.1-2）。</w:t>
            </w:r>
          </w:p>
          <w:p w14:paraId="685DF126">
            <w:pPr>
              <w:pStyle w:val="15"/>
              <w:keepNext w:val="0"/>
              <w:keepLines w:val="0"/>
              <w:suppressLineNumbers w:val="0"/>
              <w:bidi w:val="0"/>
              <w:spacing w:before="0" w:beforeAutospacing="0" w:after="0" w:afterAutospacing="0"/>
              <w:ind w:left="0" w:right="0"/>
              <w:rPr>
                <w:rFonts w:hint="eastAsia"/>
                <w:lang w:val="en-US" w:eastAsia="zh-CN"/>
              </w:rPr>
            </w:pPr>
            <w:r>
              <w:drawing>
                <wp:inline distT="0" distB="0" distL="114300" distR="114300">
                  <wp:extent cx="5037455" cy="3362325"/>
                  <wp:effectExtent l="0" t="0" r="10795" b="9525"/>
                  <wp:docPr id="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0"/>
                          <pic:cNvPicPr>
                            <a:picLocks noChangeAspect="1"/>
                          </pic:cNvPicPr>
                        </pic:nvPicPr>
                        <pic:blipFill>
                          <a:blip r:embed="rId25"/>
                          <a:stretch>
                            <a:fillRect/>
                          </a:stretch>
                        </pic:blipFill>
                        <pic:spPr>
                          <a:xfrm>
                            <a:off x="0" y="0"/>
                            <a:ext cx="5037455" cy="3362325"/>
                          </a:xfrm>
                          <a:prstGeom prst="rect">
                            <a:avLst/>
                          </a:prstGeom>
                          <a:noFill/>
                          <a:ln>
                            <a:noFill/>
                          </a:ln>
                        </pic:spPr>
                      </pic:pic>
                    </a:graphicData>
                  </a:graphic>
                </wp:inline>
              </w:drawing>
            </w:r>
          </w:p>
          <w:p w14:paraId="4B26C2E8">
            <w:pPr>
              <w:pStyle w:val="39"/>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图3.2-1 福建省流域水环境质量状况（2024年）</w:t>
            </w:r>
          </w:p>
          <w:p w14:paraId="40E21E6C">
            <w:pPr>
              <w:pStyle w:val="15"/>
              <w:keepNext w:val="0"/>
              <w:keepLines w:val="0"/>
              <w:suppressLineNumbers w:val="0"/>
              <w:bidi w:val="0"/>
              <w:spacing w:before="0" w:beforeAutospacing="0" w:after="0" w:afterAutospacing="0"/>
              <w:ind w:left="0" w:right="0"/>
              <w:rPr>
                <w:rFonts w:hint="eastAsia"/>
                <w:lang w:val="en-US" w:eastAsia="zh-CN"/>
              </w:rPr>
            </w:pPr>
            <w:r>
              <w:drawing>
                <wp:inline distT="0" distB="0" distL="114300" distR="114300">
                  <wp:extent cx="4803140" cy="1888490"/>
                  <wp:effectExtent l="0" t="0" r="16510" b="16510"/>
                  <wp:docPr id="8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1"/>
                          <pic:cNvPicPr>
                            <a:picLocks noChangeAspect="1"/>
                          </pic:cNvPicPr>
                        </pic:nvPicPr>
                        <pic:blipFill>
                          <a:blip r:embed="rId26"/>
                          <a:stretch>
                            <a:fillRect/>
                          </a:stretch>
                        </pic:blipFill>
                        <pic:spPr>
                          <a:xfrm>
                            <a:off x="0" y="0"/>
                            <a:ext cx="4803140" cy="1888490"/>
                          </a:xfrm>
                          <a:prstGeom prst="rect">
                            <a:avLst/>
                          </a:prstGeom>
                          <a:noFill/>
                          <a:ln>
                            <a:noFill/>
                          </a:ln>
                        </pic:spPr>
                      </pic:pic>
                    </a:graphicData>
                  </a:graphic>
                </wp:inline>
              </w:drawing>
            </w:r>
          </w:p>
          <w:p w14:paraId="2637A822">
            <w:pPr>
              <w:pStyle w:val="39"/>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图3.2-2 福建省地表水水质状况排序（2024年）</w:t>
            </w:r>
          </w:p>
          <w:p w14:paraId="626F0134">
            <w:pPr>
              <w:keepNext w:val="0"/>
              <w:keepLines w:val="0"/>
              <w:suppressLineNumbers w:val="0"/>
              <w:bidi w:val="0"/>
              <w:spacing w:before="0" w:beforeAutospacing="0" w:after="0" w:afterAutospacing="0"/>
              <w:ind w:left="0" w:right="0"/>
              <w:rPr>
                <w:rFonts w:hint="eastAsia"/>
              </w:rPr>
            </w:pPr>
            <w:r>
              <w:rPr>
                <w:rFonts w:hint="eastAsia"/>
                <w:lang w:val="en-US" w:eastAsia="zh-CN"/>
              </w:rPr>
              <w:t>（2</w:t>
            </w:r>
            <w:r>
              <w:rPr>
                <w:rFonts w:hint="eastAsia"/>
                <w:lang w:eastAsia="zh-CN"/>
              </w:rPr>
              <w:t>）</w:t>
            </w:r>
            <w:r>
              <w:rPr>
                <w:rFonts w:hint="eastAsia"/>
              </w:rPr>
              <w:t>引用资料的有效性分析</w:t>
            </w:r>
          </w:p>
          <w:p w14:paraId="48C1BABA">
            <w:pPr>
              <w:keepNext w:val="0"/>
              <w:keepLines w:val="0"/>
              <w:suppressLineNumbers w:val="0"/>
              <w:bidi w:val="0"/>
              <w:spacing w:before="0" w:beforeAutospacing="0" w:after="0" w:afterAutospacing="0"/>
              <w:ind w:left="0" w:right="0"/>
              <w:rPr>
                <w:rFonts w:hint="eastAsia"/>
              </w:rPr>
            </w:pPr>
            <w:r>
              <w:rPr>
                <w:rFonts w:hint="eastAsia"/>
              </w:rPr>
              <w:t>根据《建设项目环境影响报告表编制技术指南</w:t>
            </w:r>
            <w:r>
              <w:rPr>
                <w:rFonts w:hint="eastAsia"/>
                <w:lang w:eastAsia="zh-CN"/>
              </w:rPr>
              <w:t>（</w:t>
            </w:r>
            <w:r>
              <w:rPr>
                <w:rFonts w:hint="eastAsia"/>
              </w:rPr>
              <w:t>污染影响类</w:t>
            </w:r>
            <w:r>
              <w:rPr>
                <w:rFonts w:hint="eastAsia"/>
                <w:lang w:eastAsia="zh-CN"/>
              </w:rPr>
              <w:t>）（</w:t>
            </w:r>
            <w:r>
              <w:rPr>
                <w:rFonts w:hint="eastAsia"/>
              </w:rPr>
              <w:t>试行</w:t>
            </w:r>
            <w:r>
              <w:rPr>
                <w:rFonts w:hint="eastAsia"/>
                <w:lang w:eastAsia="zh-CN"/>
              </w:rPr>
              <w:t>）</w:t>
            </w:r>
            <w:r>
              <w:rPr>
                <w:rFonts w:hint="eastAsia"/>
              </w:rPr>
              <w:t>》</w:t>
            </w:r>
            <w:r>
              <w:rPr>
                <w:rFonts w:hint="eastAsia"/>
                <w:lang w:eastAsia="zh-CN"/>
              </w:rPr>
              <w:t>（</w:t>
            </w:r>
            <w:r>
              <w:rPr>
                <w:rFonts w:hint="eastAsia"/>
              </w:rPr>
              <w:t>环办环评〔2020〕33号</w:t>
            </w:r>
            <w:r>
              <w:rPr>
                <w:rFonts w:hint="eastAsia"/>
                <w:lang w:eastAsia="zh-CN"/>
              </w:rPr>
              <w:t>）</w:t>
            </w:r>
            <w:r>
              <w:rPr>
                <w:rFonts w:hint="eastAsia"/>
              </w:rPr>
              <w:t>的要求：</w:t>
            </w:r>
            <w:r>
              <w:rPr>
                <w:rFonts w:hint="eastAsia"/>
                <w:lang w:eastAsia="zh-CN"/>
              </w:rPr>
              <w:t>“</w:t>
            </w:r>
            <w:r>
              <w:rPr>
                <w:rFonts w:hint="eastAsia"/>
              </w:rPr>
              <w:t>地表水环境区域环境质量现状引用与建设项目距离近的有效数据，包括近3年的规划环境影响评价的监测数据，所在流域控制单元内国家、地方控制断面监测数据，生态环境主管部门发布的水环境质量数据或地表水达标情况的结论</w:t>
            </w:r>
            <w:r>
              <w:rPr>
                <w:rFonts w:hint="eastAsia"/>
                <w:lang w:eastAsia="zh-CN"/>
              </w:rPr>
              <w:t>”，</w:t>
            </w:r>
            <w:r>
              <w:rPr>
                <w:rFonts w:hint="eastAsia"/>
              </w:rPr>
              <w:t>本</w:t>
            </w:r>
            <w:r>
              <w:rPr>
                <w:rFonts w:hint="eastAsia"/>
                <w:lang w:val="en-US" w:eastAsia="zh-CN"/>
              </w:rPr>
              <w:t>次</w:t>
            </w:r>
            <w:r>
              <w:rPr>
                <w:rFonts w:hint="eastAsia"/>
              </w:rPr>
              <w:t>评价选取福建省生态环境厅网站发布水环境状况信息，符合《建设项目环境影响报告表编制技术指南</w:t>
            </w:r>
            <w:r>
              <w:rPr>
                <w:rFonts w:hint="eastAsia"/>
                <w:lang w:eastAsia="zh-CN"/>
              </w:rPr>
              <w:t>（</w:t>
            </w:r>
            <w:r>
              <w:rPr>
                <w:rFonts w:hint="eastAsia"/>
              </w:rPr>
              <w:t>污染影响类</w:t>
            </w:r>
            <w:r>
              <w:rPr>
                <w:rFonts w:hint="eastAsia"/>
                <w:lang w:eastAsia="zh-CN"/>
              </w:rPr>
              <w:t>）（</w:t>
            </w:r>
            <w:r>
              <w:rPr>
                <w:rFonts w:hint="eastAsia"/>
              </w:rPr>
              <w:t>试行</w:t>
            </w:r>
            <w:r>
              <w:rPr>
                <w:rFonts w:hint="eastAsia"/>
                <w:lang w:eastAsia="zh-CN"/>
              </w:rPr>
              <w:t>）</w:t>
            </w:r>
            <w:r>
              <w:rPr>
                <w:rFonts w:hint="eastAsia"/>
              </w:rPr>
              <w:t>》</w:t>
            </w:r>
            <w:r>
              <w:rPr>
                <w:rFonts w:hint="eastAsia"/>
                <w:lang w:eastAsia="zh-CN"/>
              </w:rPr>
              <w:t>（</w:t>
            </w:r>
            <w:r>
              <w:rPr>
                <w:rFonts w:hint="eastAsia"/>
              </w:rPr>
              <w:t>环办环评〔2020〕33号</w:t>
            </w:r>
            <w:r>
              <w:rPr>
                <w:rFonts w:hint="eastAsia"/>
                <w:lang w:eastAsia="zh-CN"/>
              </w:rPr>
              <w:t>）</w:t>
            </w:r>
            <w:r>
              <w:rPr>
                <w:rFonts w:hint="eastAsia"/>
              </w:rPr>
              <w:t>的要求。</w:t>
            </w:r>
          </w:p>
          <w:p w14:paraId="082B375A">
            <w:pPr>
              <w:pStyle w:val="3"/>
              <w:keepNext w:val="0"/>
              <w:keepLines w:val="0"/>
              <w:suppressLineNumbers w:val="0"/>
              <w:bidi w:val="0"/>
              <w:spacing w:before="0" w:beforeAutospacing="0" w:after="0" w:afterAutospacing="0"/>
              <w:ind w:left="0" w:right="0"/>
              <w:rPr>
                <w:rFonts w:hint="default"/>
              </w:rPr>
            </w:pPr>
            <w:r>
              <w:rPr>
                <w:rFonts w:hint="default"/>
              </w:rPr>
              <w:t>声环境质量现状</w:t>
            </w:r>
          </w:p>
          <w:p w14:paraId="30721A29">
            <w:pPr>
              <w:pStyle w:val="4"/>
              <w:suppressLineNumbers w:val="0"/>
              <w:bidi w:val="0"/>
              <w:spacing w:before="0" w:beforeAutospacing="0" w:after="0" w:afterAutospacing="0"/>
              <w:ind w:left="0" w:right="0"/>
              <w:rPr>
                <w:rFonts w:hint="default"/>
              </w:rPr>
            </w:pPr>
            <w:r>
              <w:rPr>
                <w:rFonts w:hint="default"/>
              </w:rPr>
              <w:t>声环境功能区</w:t>
            </w:r>
          </w:p>
          <w:p w14:paraId="47581266">
            <w:pPr>
              <w:keepNext w:val="0"/>
              <w:keepLines w:val="0"/>
              <w:suppressLineNumbers w:val="0"/>
              <w:bidi w:val="0"/>
              <w:spacing w:before="0" w:beforeAutospacing="0" w:after="0" w:afterAutospacing="0"/>
              <w:ind w:left="0" w:right="0"/>
              <w:rPr>
                <w:rFonts w:hint="eastAsia"/>
              </w:rPr>
            </w:pPr>
            <w:r>
              <w:rPr>
                <w:rFonts w:hint="eastAsia"/>
              </w:rPr>
              <w:t>本项目位于</w:t>
            </w:r>
            <w:r>
              <w:rPr>
                <w:rFonts w:hint="eastAsia"/>
                <w:lang w:val="en-US" w:eastAsia="zh-CN"/>
              </w:rPr>
              <w:t>福建省福州市福清融侨经济技术开发区（</w:t>
            </w:r>
            <w:r>
              <w:rPr>
                <w:rFonts w:hint="eastAsia"/>
                <w:lang w:eastAsia="zh-CN"/>
              </w:rPr>
              <w:t>福建省福州市福清市阳下街道玉岭村147号车间2三楼</w:t>
            </w:r>
            <w:r>
              <w:rPr>
                <w:rFonts w:hint="eastAsia"/>
                <w:lang w:val="en-US" w:eastAsia="zh-CN"/>
              </w:rPr>
              <w:t>）</w:t>
            </w:r>
            <w:r>
              <w:rPr>
                <w:rFonts w:hint="eastAsia"/>
              </w:rPr>
              <w:t>，项目周边以工业生产、仓储物流为主要功能的区域，</w:t>
            </w:r>
            <w:r>
              <w:rPr>
                <w:rFonts w:hint="eastAsia"/>
                <w:lang w:val="en-US" w:eastAsia="zh-CN"/>
              </w:rPr>
              <w:t>根据《</w:t>
            </w:r>
            <w:r>
              <w:rPr>
                <w:rFonts w:hint="eastAsia"/>
              </w:rPr>
              <w:t>福清市人民政府办公室关于印发福清市城市建成区声环境功能区划的通知</w:t>
            </w:r>
            <w:r>
              <w:rPr>
                <w:rFonts w:hint="eastAsia"/>
                <w:lang w:eastAsia="zh-CN"/>
              </w:rPr>
              <w:t>》（</w:t>
            </w:r>
            <w:r>
              <w:rPr>
                <w:rFonts w:hint="eastAsia"/>
              </w:rPr>
              <w:t>融政办〔2022〕48号</w:t>
            </w:r>
            <w:r>
              <w:rPr>
                <w:rFonts w:hint="eastAsia"/>
                <w:lang w:eastAsia="zh-CN"/>
              </w:rPr>
              <w:t>）</w:t>
            </w:r>
            <w:r>
              <w:rPr>
                <w:rFonts w:hint="eastAsia"/>
                <w:lang w:val="en-US" w:eastAsia="zh-CN"/>
              </w:rPr>
              <w:t>中的声环境功能区划（详见</w:t>
            </w:r>
            <w:r>
              <w:rPr>
                <w:rFonts w:hint="eastAsia"/>
                <w:lang w:val="en-US" w:eastAsia="zh-CN"/>
              </w:rPr>
              <w:fldChar w:fldCharType="begin"/>
            </w:r>
            <w:r>
              <w:rPr>
                <w:rFonts w:hint="eastAsia"/>
                <w:lang w:val="en-US" w:eastAsia="zh-CN"/>
              </w:rPr>
              <w:instrText xml:space="preserve"> REF _Ref22894 \h </w:instrText>
            </w:r>
            <w:r>
              <w:rPr>
                <w:rFonts w:hint="eastAsia"/>
                <w:lang w:val="en-US" w:eastAsia="zh-CN"/>
              </w:rPr>
              <w:fldChar w:fldCharType="separate"/>
            </w:r>
            <w:r>
              <w:rPr>
                <w:rFonts w:hint="eastAsia"/>
              </w:rPr>
              <w:t>附图 8</w:t>
            </w:r>
            <w:r>
              <w:rPr>
                <w:rFonts w:hint="eastAsia"/>
                <w:lang w:val="en-US" w:eastAsia="zh-CN"/>
              </w:rPr>
              <w:fldChar w:fldCharType="end"/>
            </w:r>
            <w:r>
              <w:rPr>
                <w:rFonts w:hint="eastAsia"/>
                <w:lang w:val="en-US" w:eastAsia="zh-CN"/>
              </w:rPr>
              <w:t>），洪宽工业村片区属于</w:t>
            </w:r>
            <w:r>
              <w:rPr>
                <w:rFonts w:hint="eastAsia"/>
              </w:rPr>
              <w:t>3类功能区</w:t>
            </w:r>
            <w:r>
              <w:rPr>
                <w:rFonts w:hint="eastAsia"/>
                <w:lang w:eastAsia="zh-CN"/>
              </w:rPr>
              <w:t>，</w:t>
            </w:r>
            <w:r>
              <w:rPr>
                <w:rFonts w:hint="eastAsia"/>
                <w:lang w:val="en-US" w:eastAsia="zh-CN"/>
              </w:rPr>
              <w:t>本项目位于洪宽工业村片区内，故本项目</w:t>
            </w:r>
            <w:r>
              <w:rPr>
                <w:rFonts w:hint="eastAsia"/>
              </w:rPr>
              <w:t>声环境功能执行《声环境质量标准》</w:t>
            </w:r>
            <w:r>
              <w:rPr>
                <w:rFonts w:hint="eastAsia"/>
                <w:lang w:eastAsia="zh-CN"/>
              </w:rPr>
              <w:t>（</w:t>
            </w:r>
            <w:r>
              <w:rPr>
                <w:rFonts w:hint="eastAsia"/>
              </w:rPr>
              <w:t>GB3096-2008</w:t>
            </w:r>
            <w:r>
              <w:rPr>
                <w:rFonts w:hint="eastAsia"/>
                <w:lang w:eastAsia="zh-CN"/>
              </w:rPr>
              <w:t>）</w:t>
            </w:r>
            <w:r>
              <w:rPr>
                <w:rFonts w:hint="eastAsia"/>
              </w:rPr>
              <w:t>表1中3类标准。</w:t>
            </w:r>
          </w:p>
          <w:p w14:paraId="2CDE5D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center"/>
              <w:textAlignment w:val="auto"/>
              <w:rPr>
                <w:rFonts w:hint="eastAsia" w:ascii="Times New Roman" w:hAnsi="Times New Roman" w:eastAsia="宋体" w:cs="Times New Roman"/>
                <w:b/>
                <w:bCs/>
                <w:color w:val="auto"/>
                <w:sz w:val="24"/>
                <w:lang w:eastAsia="zh-CN"/>
              </w:rPr>
            </w:pPr>
            <w:r>
              <w:rPr>
                <w:rStyle w:val="43"/>
                <w:rFonts w:hint="default"/>
              </w:rPr>
              <w:t>表3.3-1  《声环境质量标准》</w:t>
            </w:r>
            <w:r>
              <w:rPr>
                <w:rStyle w:val="43"/>
                <w:rFonts w:hint="eastAsia"/>
                <w:lang w:eastAsia="zh-CN"/>
              </w:rPr>
              <w:t>（</w:t>
            </w:r>
            <w:r>
              <w:rPr>
                <w:rStyle w:val="43"/>
                <w:rFonts w:hint="default"/>
              </w:rPr>
              <w:t>GB3096-2008</w:t>
            </w:r>
            <w:r>
              <w:rPr>
                <w:rStyle w:val="43"/>
                <w:rFonts w:hint="eastAsia"/>
                <w:lang w:eastAsia="zh-CN"/>
              </w:rPr>
              <w:t>）（</w:t>
            </w:r>
            <w:r>
              <w:rPr>
                <w:rStyle w:val="43"/>
                <w:rFonts w:hint="default"/>
              </w:rPr>
              <w:t>摘录</w:t>
            </w:r>
            <w:r>
              <w:rPr>
                <w:rFonts w:hint="eastAsia" w:cs="Times New Roman"/>
                <w:b/>
                <w:bCs/>
                <w:color w:val="auto"/>
                <w:sz w:val="24"/>
                <w:lang w:eastAsia="zh-CN"/>
              </w:rPr>
              <w:t>）</w:t>
            </w:r>
          </w:p>
          <w:tbl>
            <w:tblPr>
              <w:tblStyle w:val="29"/>
              <w:tblW w:w="5000" w:type="pct"/>
              <w:jc w:val="center"/>
              <w:tblBorders>
                <w:top w:val="none" w:color="auto" w:sz="0" w:space="0"/>
                <w:left w:val="none" w:color="auto" w:sz="0" w:space="0"/>
                <w:bottom w:val="none" w:color="auto" w:sz="0"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658"/>
              <w:gridCol w:w="3994"/>
              <w:gridCol w:w="1869"/>
              <w:gridCol w:w="1873"/>
            </w:tblGrid>
            <w:tr w14:paraId="003B0ACD">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92" w:type="pct"/>
                  <w:vMerge w:val="restart"/>
                  <w:tcBorders>
                    <w:top w:val="single" w:color="000000" w:sz="12" w:space="0"/>
                    <w:left w:val="nil"/>
                    <w:bottom w:val="single" w:color="000000" w:sz="6" w:space="0"/>
                    <w:right w:val="single" w:color="000000" w:sz="4" w:space="0"/>
                  </w:tcBorders>
                  <w:noWrap w:val="0"/>
                  <w:vAlign w:val="center"/>
                </w:tcPr>
                <w:p w14:paraId="2C5E86AA">
                  <w:pPr>
                    <w:pStyle w:val="38"/>
                    <w:keepNext w:val="0"/>
                    <w:keepLines w:val="0"/>
                    <w:widowControl/>
                    <w:suppressLineNumbers w:val="0"/>
                    <w:bidi w:val="0"/>
                    <w:spacing w:before="0" w:beforeAutospacing="0" w:after="0" w:afterAutospacing="0"/>
                    <w:ind w:left="0" w:right="0"/>
                    <w:rPr>
                      <w:rFonts w:hint="eastAsia"/>
                      <w:snapToGrid w:val="0"/>
                      <w:color w:val="auto"/>
                      <w:kern w:val="18"/>
                      <w:szCs w:val="22"/>
                    </w:rPr>
                  </w:pPr>
                  <w:r>
                    <w:rPr>
                      <w:rFonts w:hint="eastAsia"/>
                      <w:szCs w:val="22"/>
                    </w:rPr>
                    <w:t>标准类别</w:t>
                  </w:r>
                </w:p>
              </w:tc>
              <w:tc>
                <w:tcPr>
                  <w:tcW w:w="2378" w:type="pct"/>
                  <w:vMerge w:val="restart"/>
                  <w:tcBorders>
                    <w:top w:val="single" w:color="000000" w:sz="12" w:space="0"/>
                    <w:left w:val="single" w:color="000000" w:sz="4" w:space="0"/>
                    <w:bottom w:val="single" w:color="000000" w:sz="6" w:space="0"/>
                    <w:right w:val="single" w:color="000000" w:sz="4" w:space="0"/>
                  </w:tcBorders>
                  <w:noWrap w:val="0"/>
                  <w:vAlign w:val="center"/>
                </w:tcPr>
                <w:p w14:paraId="26032BDF">
                  <w:pPr>
                    <w:pStyle w:val="38"/>
                    <w:keepNext w:val="0"/>
                    <w:keepLines w:val="0"/>
                    <w:widowControl/>
                    <w:suppressLineNumbers w:val="0"/>
                    <w:bidi w:val="0"/>
                    <w:spacing w:before="0" w:beforeAutospacing="0" w:after="0" w:afterAutospacing="0"/>
                    <w:ind w:left="0" w:right="0"/>
                    <w:rPr>
                      <w:rFonts w:hint="eastAsia"/>
                      <w:snapToGrid w:val="0"/>
                      <w:color w:val="auto"/>
                      <w:kern w:val="18"/>
                      <w:szCs w:val="22"/>
                    </w:rPr>
                  </w:pPr>
                  <w:r>
                    <w:rPr>
                      <w:rFonts w:hint="eastAsia"/>
                      <w:szCs w:val="22"/>
                    </w:rPr>
                    <w:t>适用区域</w:t>
                  </w:r>
                </w:p>
              </w:tc>
              <w:tc>
                <w:tcPr>
                  <w:tcW w:w="2228" w:type="pct"/>
                  <w:gridSpan w:val="2"/>
                  <w:tcBorders>
                    <w:top w:val="single" w:color="000000" w:sz="12" w:space="0"/>
                    <w:left w:val="single" w:color="000000" w:sz="4" w:space="0"/>
                    <w:bottom w:val="single" w:color="000000" w:sz="6" w:space="0"/>
                    <w:right w:val="nil"/>
                  </w:tcBorders>
                  <w:noWrap w:val="0"/>
                  <w:vAlign w:val="center"/>
                </w:tcPr>
                <w:p w14:paraId="309105D5">
                  <w:pPr>
                    <w:pStyle w:val="38"/>
                    <w:keepNext w:val="0"/>
                    <w:keepLines w:val="0"/>
                    <w:widowControl/>
                    <w:suppressLineNumbers w:val="0"/>
                    <w:bidi w:val="0"/>
                    <w:spacing w:before="0" w:beforeAutospacing="0" w:after="0" w:afterAutospacing="0"/>
                    <w:ind w:left="0" w:right="0"/>
                    <w:rPr>
                      <w:rFonts w:hint="eastAsia" w:eastAsia="宋体"/>
                      <w:snapToGrid w:val="0"/>
                      <w:color w:val="auto"/>
                      <w:kern w:val="18"/>
                      <w:szCs w:val="22"/>
                      <w:lang w:eastAsia="zh-CN"/>
                    </w:rPr>
                  </w:pPr>
                  <w:r>
                    <w:rPr>
                      <w:rFonts w:hint="eastAsia"/>
                      <w:szCs w:val="22"/>
                    </w:rPr>
                    <w:t>等效声级Leq</w:t>
                  </w:r>
                  <w:r>
                    <w:rPr>
                      <w:rFonts w:hint="eastAsia"/>
                      <w:szCs w:val="22"/>
                      <w:lang w:eastAsia="zh-CN"/>
                    </w:rPr>
                    <w:t>（</w:t>
                  </w:r>
                  <w:r>
                    <w:rPr>
                      <w:rFonts w:hint="eastAsia"/>
                      <w:szCs w:val="22"/>
                    </w:rPr>
                    <w:t>dB</w:t>
                  </w:r>
                  <w:r>
                    <w:rPr>
                      <w:rFonts w:hint="eastAsia"/>
                      <w:szCs w:val="22"/>
                      <w:lang w:eastAsia="zh-CN"/>
                    </w:rPr>
                    <w:t>（</w:t>
                  </w:r>
                  <w:r>
                    <w:rPr>
                      <w:rFonts w:hint="eastAsia"/>
                      <w:szCs w:val="22"/>
                    </w:rPr>
                    <w:t>A</w:t>
                  </w:r>
                  <w:r>
                    <w:rPr>
                      <w:rFonts w:hint="eastAsia"/>
                      <w:szCs w:val="22"/>
                      <w:lang w:eastAsia="zh-CN"/>
                    </w:rPr>
                    <w:t>））</w:t>
                  </w:r>
                </w:p>
              </w:tc>
            </w:tr>
            <w:tr w14:paraId="5886C79D">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92" w:type="pct"/>
                  <w:vMerge w:val="continue"/>
                  <w:tcBorders>
                    <w:top w:val="single" w:color="000000" w:sz="6" w:space="0"/>
                    <w:left w:val="nil"/>
                    <w:bottom w:val="single" w:color="000000" w:sz="6" w:space="0"/>
                    <w:right w:val="single" w:color="000000" w:sz="4" w:space="0"/>
                  </w:tcBorders>
                  <w:noWrap w:val="0"/>
                  <w:vAlign w:val="center"/>
                </w:tcPr>
                <w:p w14:paraId="5CC087E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eastAsia"/>
                      <w:snapToGrid w:val="0"/>
                      <w:color w:val="auto"/>
                      <w:kern w:val="18"/>
                    </w:rPr>
                  </w:pPr>
                </w:p>
              </w:tc>
              <w:tc>
                <w:tcPr>
                  <w:tcW w:w="2378" w:type="pct"/>
                  <w:vMerge w:val="continue"/>
                  <w:tcBorders>
                    <w:top w:val="single" w:color="000000" w:sz="6" w:space="0"/>
                    <w:left w:val="single" w:color="000000" w:sz="4" w:space="0"/>
                    <w:bottom w:val="single" w:color="000000" w:sz="6" w:space="0"/>
                    <w:right w:val="single" w:color="000000" w:sz="4" w:space="0"/>
                  </w:tcBorders>
                  <w:noWrap w:val="0"/>
                  <w:vAlign w:val="center"/>
                </w:tcPr>
                <w:p w14:paraId="04FB7A1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eastAsia"/>
                      <w:snapToGrid w:val="0"/>
                      <w:color w:val="auto"/>
                      <w:kern w:val="18"/>
                    </w:rPr>
                  </w:pPr>
                </w:p>
              </w:tc>
              <w:tc>
                <w:tcPr>
                  <w:tcW w:w="1113" w:type="pct"/>
                  <w:tcBorders>
                    <w:top w:val="single" w:color="000000" w:sz="6" w:space="0"/>
                    <w:left w:val="single" w:color="000000" w:sz="4" w:space="0"/>
                    <w:bottom w:val="single" w:color="000000" w:sz="6" w:space="0"/>
                    <w:right w:val="nil"/>
                  </w:tcBorders>
                  <w:noWrap w:val="0"/>
                  <w:vAlign w:val="center"/>
                </w:tcPr>
                <w:p w14:paraId="715CD05A">
                  <w:pPr>
                    <w:pStyle w:val="38"/>
                    <w:keepNext w:val="0"/>
                    <w:keepLines w:val="0"/>
                    <w:widowControl/>
                    <w:suppressLineNumbers w:val="0"/>
                    <w:bidi w:val="0"/>
                    <w:spacing w:before="0" w:beforeAutospacing="0" w:after="0" w:afterAutospacing="0"/>
                    <w:ind w:left="0" w:right="0"/>
                    <w:rPr>
                      <w:rFonts w:hint="eastAsia"/>
                      <w:snapToGrid w:val="0"/>
                      <w:color w:val="auto"/>
                      <w:kern w:val="18"/>
                      <w:szCs w:val="22"/>
                    </w:rPr>
                  </w:pPr>
                  <w:r>
                    <w:rPr>
                      <w:rFonts w:hint="eastAsia"/>
                      <w:szCs w:val="22"/>
                    </w:rPr>
                    <w:t>昼间</w:t>
                  </w:r>
                </w:p>
              </w:tc>
              <w:tc>
                <w:tcPr>
                  <w:tcW w:w="1115" w:type="pct"/>
                  <w:tcBorders>
                    <w:top w:val="single" w:color="000000" w:sz="6" w:space="0"/>
                    <w:left w:val="single" w:color="000000" w:sz="4" w:space="0"/>
                    <w:bottom w:val="single" w:color="000000" w:sz="6" w:space="0"/>
                    <w:right w:val="nil"/>
                  </w:tcBorders>
                  <w:noWrap w:val="0"/>
                  <w:vAlign w:val="center"/>
                </w:tcPr>
                <w:p w14:paraId="71843D7E">
                  <w:pPr>
                    <w:pStyle w:val="38"/>
                    <w:keepNext w:val="0"/>
                    <w:keepLines w:val="0"/>
                    <w:widowControl/>
                    <w:suppressLineNumbers w:val="0"/>
                    <w:bidi w:val="0"/>
                    <w:spacing w:before="0" w:beforeAutospacing="0" w:after="0" w:afterAutospacing="0"/>
                    <w:ind w:left="0" w:right="0"/>
                    <w:rPr>
                      <w:rFonts w:hint="eastAsia" w:eastAsia="宋体"/>
                      <w:snapToGrid w:val="0"/>
                      <w:color w:val="auto"/>
                      <w:kern w:val="18"/>
                      <w:szCs w:val="22"/>
                      <w:lang w:eastAsia="zh-CN"/>
                    </w:rPr>
                  </w:pPr>
                  <w:r>
                    <w:rPr>
                      <w:rFonts w:hint="eastAsia"/>
                      <w:szCs w:val="22"/>
                      <w:lang w:eastAsia="zh-CN"/>
                    </w:rPr>
                    <w:t>夜间</w:t>
                  </w:r>
                </w:p>
              </w:tc>
            </w:tr>
            <w:tr w14:paraId="311991ED">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92" w:type="pct"/>
                  <w:tcBorders>
                    <w:top w:val="single" w:color="000000" w:sz="6" w:space="0"/>
                    <w:left w:val="nil"/>
                    <w:bottom w:val="single" w:color="000000" w:sz="12" w:space="0"/>
                    <w:right w:val="single" w:color="000000" w:sz="4" w:space="0"/>
                  </w:tcBorders>
                  <w:noWrap w:val="0"/>
                  <w:vAlign w:val="center"/>
                </w:tcPr>
                <w:p w14:paraId="5C917683">
                  <w:pPr>
                    <w:pStyle w:val="38"/>
                    <w:keepNext w:val="0"/>
                    <w:keepLines w:val="0"/>
                    <w:widowControl/>
                    <w:suppressLineNumbers w:val="0"/>
                    <w:bidi w:val="0"/>
                    <w:spacing w:before="0" w:beforeAutospacing="0" w:after="0" w:afterAutospacing="0"/>
                    <w:ind w:left="0" w:right="0"/>
                    <w:rPr>
                      <w:rFonts w:hint="eastAsia"/>
                      <w:snapToGrid w:val="0"/>
                      <w:color w:val="auto"/>
                      <w:kern w:val="18"/>
                      <w:szCs w:val="22"/>
                    </w:rPr>
                  </w:pPr>
                  <w:r>
                    <w:rPr>
                      <w:rFonts w:hint="eastAsia"/>
                      <w:szCs w:val="22"/>
                    </w:rPr>
                    <w:t>3</w:t>
                  </w:r>
                </w:p>
              </w:tc>
              <w:tc>
                <w:tcPr>
                  <w:tcW w:w="2378" w:type="pct"/>
                  <w:tcBorders>
                    <w:top w:val="single" w:color="000000" w:sz="6" w:space="0"/>
                    <w:left w:val="single" w:color="000000" w:sz="4" w:space="0"/>
                    <w:bottom w:val="single" w:color="000000" w:sz="12" w:space="0"/>
                    <w:right w:val="single" w:color="000000" w:sz="4" w:space="0"/>
                  </w:tcBorders>
                  <w:noWrap w:val="0"/>
                  <w:vAlign w:val="center"/>
                </w:tcPr>
                <w:p w14:paraId="405ED55D">
                  <w:pPr>
                    <w:pStyle w:val="38"/>
                    <w:keepNext w:val="0"/>
                    <w:keepLines w:val="0"/>
                    <w:widowControl/>
                    <w:suppressLineNumbers w:val="0"/>
                    <w:bidi w:val="0"/>
                    <w:spacing w:before="0" w:beforeAutospacing="0" w:after="0" w:afterAutospacing="0"/>
                    <w:ind w:left="0" w:right="0"/>
                    <w:rPr>
                      <w:rFonts w:hint="eastAsia"/>
                      <w:snapToGrid w:val="0"/>
                      <w:color w:val="auto"/>
                      <w:kern w:val="18"/>
                      <w:szCs w:val="21"/>
                    </w:rPr>
                  </w:pPr>
                  <w:r>
                    <w:rPr>
                      <w:rFonts w:hint="eastAsia"/>
                      <w:szCs w:val="22"/>
                    </w:rPr>
                    <w:t>指以工业生产、仓储物流为主要功能，需要防止工业噪声对周围环境产生严重影响的区域。</w:t>
                  </w:r>
                </w:p>
              </w:tc>
              <w:tc>
                <w:tcPr>
                  <w:tcW w:w="1113" w:type="pct"/>
                  <w:tcBorders>
                    <w:top w:val="single" w:color="000000" w:sz="6" w:space="0"/>
                    <w:left w:val="single" w:color="000000" w:sz="4" w:space="0"/>
                    <w:bottom w:val="single" w:color="000000" w:sz="12" w:space="0"/>
                    <w:right w:val="nil"/>
                  </w:tcBorders>
                  <w:noWrap w:val="0"/>
                  <w:vAlign w:val="center"/>
                </w:tcPr>
                <w:p w14:paraId="7E61A429">
                  <w:pPr>
                    <w:pStyle w:val="38"/>
                    <w:keepNext w:val="0"/>
                    <w:keepLines w:val="0"/>
                    <w:widowControl/>
                    <w:suppressLineNumbers w:val="0"/>
                    <w:bidi w:val="0"/>
                    <w:spacing w:before="0" w:beforeAutospacing="0" w:after="0" w:afterAutospacing="0"/>
                    <w:ind w:left="0" w:right="0"/>
                    <w:rPr>
                      <w:rFonts w:hint="eastAsia"/>
                      <w:snapToGrid w:val="0"/>
                      <w:color w:val="auto"/>
                      <w:kern w:val="18"/>
                      <w:szCs w:val="21"/>
                    </w:rPr>
                  </w:pPr>
                  <w:r>
                    <w:rPr>
                      <w:rFonts w:hint="eastAsia"/>
                      <w:szCs w:val="22"/>
                    </w:rPr>
                    <w:t>≤65</w:t>
                  </w:r>
                </w:p>
              </w:tc>
              <w:tc>
                <w:tcPr>
                  <w:tcW w:w="1115" w:type="pct"/>
                  <w:tcBorders>
                    <w:top w:val="single" w:color="000000" w:sz="6" w:space="0"/>
                    <w:left w:val="single" w:color="000000" w:sz="4" w:space="0"/>
                    <w:bottom w:val="single" w:color="000000" w:sz="12" w:space="0"/>
                    <w:right w:val="nil"/>
                  </w:tcBorders>
                  <w:noWrap w:val="0"/>
                  <w:vAlign w:val="center"/>
                </w:tcPr>
                <w:p w14:paraId="7B9DE686">
                  <w:pPr>
                    <w:pStyle w:val="38"/>
                    <w:keepNext w:val="0"/>
                    <w:keepLines w:val="0"/>
                    <w:widowControl/>
                    <w:suppressLineNumbers w:val="0"/>
                    <w:bidi w:val="0"/>
                    <w:spacing w:before="0" w:beforeAutospacing="0" w:after="0" w:afterAutospacing="0"/>
                    <w:ind w:left="0" w:right="0"/>
                    <w:rPr>
                      <w:rFonts w:hint="default" w:eastAsia="宋体"/>
                      <w:snapToGrid w:val="0"/>
                      <w:color w:val="auto"/>
                      <w:kern w:val="18"/>
                      <w:szCs w:val="21"/>
                      <w:lang w:val="en-US" w:eastAsia="zh-CN"/>
                    </w:rPr>
                  </w:pPr>
                  <w:r>
                    <w:rPr>
                      <w:rFonts w:hint="eastAsia"/>
                      <w:szCs w:val="22"/>
                    </w:rPr>
                    <w:t>≤</w:t>
                  </w:r>
                  <w:r>
                    <w:rPr>
                      <w:rFonts w:hint="eastAsia"/>
                      <w:szCs w:val="22"/>
                      <w:lang w:val="en-US" w:eastAsia="zh-CN"/>
                    </w:rPr>
                    <w:t>55</w:t>
                  </w:r>
                </w:p>
              </w:tc>
            </w:tr>
          </w:tbl>
          <w:p w14:paraId="15F7C195">
            <w:pPr>
              <w:pStyle w:val="4"/>
              <w:suppressLineNumbers w:val="0"/>
              <w:bidi w:val="0"/>
              <w:spacing w:before="0" w:beforeAutospacing="0" w:after="0" w:afterAutospacing="0"/>
              <w:ind w:left="0" w:right="0"/>
              <w:rPr>
                <w:rFonts w:hint="eastAsia"/>
              </w:rPr>
            </w:pPr>
            <w:r>
              <w:rPr>
                <w:rFonts w:hint="eastAsia"/>
              </w:rPr>
              <w:t>声环境质量现状</w:t>
            </w:r>
          </w:p>
          <w:p w14:paraId="15AF59CC">
            <w:pPr>
              <w:keepNext w:val="0"/>
              <w:keepLines w:val="0"/>
              <w:suppressLineNumbers w:val="0"/>
              <w:bidi w:val="0"/>
              <w:spacing w:before="0" w:beforeAutospacing="0" w:after="0" w:afterAutospacing="0"/>
              <w:ind w:left="0" w:right="0"/>
              <w:rPr>
                <w:rFonts w:hint="eastAsia"/>
              </w:rPr>
            </w:pPr>
            <w:r>
              <w:rPr>
                <w:rFonts w:hint="default"/>
                <w:lang w:val="en-US" w:eastAsia="zh-CN"/>
              </w:rPr>
              <w:t>根据生态环境部办公</w:t>
            </w:r>
            <w:r>
              <w:rPr>
                <w:rFonts w:hint="eastAsia"/>
                <w:lang w:val="en-US" w:eastAsia="zh-CN"/>
              </w:rPr>
              <w:t>厅</w:t>
            </w:r>
            <w:r>
              <w:rPr>
                <w:rFonts w:hint="default"/>
                <w:lang w:val="en-US" w:eastAsia="zh-CN"/>
              </w:rPr>
              <w:t>2020年12月24日印发</w:t>
            </w:r>
            <w:r>
              <w:rPr>
                <w:rFonts w:hint="eastAsia"/>
                <w:lang w:val="en-US" w:eastAsia="zh-CN"/>
              </w:rPr>
              <w:t>《</w:t>
            </w:r>
            <w:r>
              <w:rPr>
                <w:rFonts w:hint="default"/>
                <w:lang w:val="en-US" w:eastAsia="zh-CN"/>
              </w:rPr>
              <w:t>建设项目环境影响报告表编制技术指南</w:t>
            </w:r>
            <w:r>
              <w:rPr>
                <w:rFonts w:hint="eastAsia"/>
                <w:lang w:val="en-US" w:eastAsia="zh-CN"/>
              </w:rPr>
              <w:t>（</w:t>
            </w:r>
            <w:r>
              <w:rPr>
                <w:rFonts w:hint="default"/>
                <w:lang w:val="en-US" w:eastAsia="zh-CN"/>
              </w:rPr>
              <w:t>污染影响类</w:t>
            </w:r>
            <w:r>
              <w:rPr>
                <w:rFonts w:hint="eastAsia"/>
                <w:lang w:val="en-US" w:eastAsia="zh-CN"/>
              </w:rPr>
              <w:t>）（</w:t>
            </w:r>
            <w:r>
              <w:rPr>
                <w:rFonts w:hint="default"/>
                <w:lang w:val="en-US" w:eastAsia="zh-CN"/>
              </w:rPr>
              <w:t>试行</w:t>
            </w:r>
            <w:r>
              <w:rPr>
                <w:rFonts w:hint="eastAsia"/>
                <w:lang w:val="en-US" w:eastAsia="zh-CN"/>
              </w:rPr>
              <w:t>）</w:t>
            </w:r>
            <w:r>
              <w:rPr>
                <w:rFonts w:hint="default"/>
                <w:lang w:val="en-US" w:eastAsia="zh-CN"/>
              </w:rPr>
              <w:t>》，当厂界外周边50米范围内存在声环境保护目标的建设项目，应监测保护目标声环境质量现状并评价达标情况。</w:t>
            </w:r>
          </w:p>
          <w:p w14:paraId="355D1BB6">
            <w:pPr>
              <w:keepNext w:val="0"/>
              <w:keepLines w:val="0"/>
              <w:suppressLineNumbers w:val="0"/>
              <w:bidi w:val="0"/>
              <w:spacing w:before="0" w:beforeAutospacing="0" w:after="0" w:afterAutospacing="0"/>
              <w:ind w:left="0" w:right="0"/>
              <w:rPr>
                <w:rFonts w:hint="eastAsia"/>
              </w:rPr>
            </w:pPr>
            <w:r>
              <w:rPr>
                <w:rFonts w:hint="eastAsia"/>
              </w:rPr>
              <w:t>根据现场踏勘可知，项目周边50米范围内无声环境保护目标，可不进行声环境质量现状的监测。</w:t>
            </w:r>
          </w:p>
          <w:p w14:paraId="4EEC7E9C">
            <w:pPr>
              <w:pStyle w:val="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生态环境现状调查</w:t>
            </w:r>
          </w:p>
          <w:p w14:paraId="67E092B9">
            <w:pPr>
              <w:keepNext w:val="0"/>
              <w:keepLines w:val="0"/>
              <w:suppressLineNumbers w:val="0"/>
              <w:spacing w:before="0" w:beforeAutospacing="0" w:after="0" w:afterAutospacing="0"/>
              <w:ind w:left="0" w:leftChars="0" w:right="0" w:firstLine="480" w:firstLineChars="200"/>
              <w:rPr>
                <w:rFonts w:hint="eastAsia"/>
                <w:color w:val="auto"/>
                <w:lang w:val="zh-CN"/>
              </w:rPr>
            </w:pPr>
            <w:r>
              <w:rPr>
                <w:rFonts w:hint="eastAsia"/>
                <w:color w:val="auto"/>
                <w:sz w:val="24"/>
              </w:rPr>
              <w:t>根据现场勘查，</w:t>
            </w:r>
            <w:r>
              <w:rPr>
                <w:rFonts w:hint="eastAsia"/>
                <w:color w:val="auto"/>
                <w:kern w:val="0"/>
                <w:sz w:val="24"/>
              </w:rPr>
              <w:t>目前厂房已经建设完成，</w:t>
            </w:r>
            <w:r>
              <w:rPr>
                <w:rFonts w:hint="eastAsia"/>
                <w:color w:val="auto"/>
                <w:sz w:val="24"/>
                <w:lang w:val="zh-CN"/>
              </w:rPr>
              <w:t>项目用地</w:t>
            </w:r>
            <w:r>
              <w:rPr>
                <w:rFonts w:hint="eastAsia"/>
                <w:color w:val="auto"/>
                <w:sz w:val="24"/>
                <w:szCs w:val="22"/>
                <w:lang w:val="zh-CN"/>
              </w:rPr>
              <w:t>周边为城市道路、其他企业及居住用地等，项目评价区域主要植被为草坪、行道树等景观树种，主要动物为常见的蛙类、鸟类和昆虫类等，评价区域内无珍稀濒危物种、自然保护区、风景名胜区等生态敏感目标。调查区域也未发现国家重点保护的野生动植物等，因此，本环评不对生态环境现状进行评价</w:t>
            </w:r>
            <w:r>
              <w:rPr>
                <w:rFonts w:hint="eastAsia"/>
                <w:color w:val="auto"/>
                <w:lang w:val="zh-CN"/>
              </w:rPr>
              <w:t>。</w:t>
            </w:r>
          </w:p>
          <w:p w14:paraId="17ADDBF7">
            <w:pPr>
              <w:pStyle w:val="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地下水、土壤环境质量现状</w:t>
            </w:r>
          </w:p>
          <w:p w14:paraId="578ED2E8">
            <w:pPr>
              <w:keepNext w:val="0"/>
              <w:keepLines w:val="0"/>
              <w:suppressLineNumbers w:val="0"/>
              <w:spacing w:before="0" w:beforeAutospacing="0" w:after="0" w:afterAutospacing="0"/>
              <w:ind w:left="0" w:leftChars="0" w:right="0" w:firstLine="480" w:firstLineChars="200"/>
              <w:rPr>
                <w:rFonts w:hint="eastAsia" w:eastAsia="宋体"/>
                <w:color w:val="auto"/>
                <w:lang w:eastAsia="zh-CN"/>
              </w:rPr>
            </w:pPr>
            <w:r>
              <w:rPr>
                <w:rFonts w:hint="eastAsia"/>
                <w:color w:val="auto"/>
              </w:rPr>
              <w:t>根据《建设项目环境影响报告表编制技术指南</w:t>
            </w:r>
            <w:r>
              <w:rPr>
                <w:rFonts w:hint="eastAsia"/>
                <w:color w:val="auto"/>
                <w:lang w:eastAsia="zh-CN"/>
              </w:rPr>
              <w:t>（</w:t>
            </w:r>
            <w:r>
              <w:rPr>
                <w:rFonts w:hint="eastAsia"/>
                <w:color w:val="auto"/>
              </w:rPr>
              <w:t>污染影响类</w:t>
            </w:r>
            <w:r>
              <w:rPr>
                <w:rFonts w:hint="eastAsia"/>
                <w:color w:val="auto"/>
                <w:lang w:eastAsia="zh-CN"/>
              </w:rPr>
              <w:t>）</w:t>
            </w:r>
            <w:r>
              <w:rPr>
                <w:rFonts w:hint="eastAsia"/>
                <w:color w:val="auto"/>
              </w:rPr>
              <w:t>（试行</w:t>
            </w:r>
            <w:r>
              <w:rPr>
                <w:rFonts w:hint="eastAsia"/>
                <w:color w:val="auto"/>
                <w:lang w:eastAsia="zh-CN"/>
              </w:rPr>
              <w:t>）</w:t>
            </w:r>
            <w:r>
              <w:rPr>
                <w:rFonts w:hint="eastAsia"/>
                <w:color w:val="auto"/>
              </w:rPr>
              <w:t>》</w:t>
            </w:r>
            <w:r>
              <w:rPr>
                <w:rFonts w:hint="eastAsia"/>
                <w:color w:val="auto"/>
                <w:lang w:eastAsia="zh-CN"/>
              </w:rPr>
              <w:t>（</w:t>
            </w:r>
            <w:r>
              <w:rPr>
                <w:rFonts w:hint="eastAsia"/>
                <w:color w:val="auto"/>
              </w:rPr>
              <w:t>环办环评〔2020〕33号</w:t>
            </w:r>
            <w:r>
              <w:rPr>
                <w:rFonts w:hint="eastAsia"/>
                <w:color w:val="auto"/>
                <w:lang w:eastAsia="zh-CN"/>
              </w:rPr>
              <w:t>）</w:t>
            </w:r>
            <w:r>
              <w:rPr>
                <w:rFonts w:hint="eastAsia"/>
                <w:color w:val="auto"/>
              </w:rPr>
              <w:t>规定，</w:t>
            </w:r>
            <w:r>
              <w:rPr>
                <w:rFonts w:hint="eastAsia"/>
                <w:color w:val="auto"/>
                <w:lang w:eastAsia="zh-CN"/>
              </w:rPr>
              <w:t>“</w:t>
            </w:r>
            <w:r>
              <w:rPr>
                <w:rFonts w:hint="eastAsia"/>
                <w:color w:val="auto"/>
              </w:rPr>
              <w:t>原则上不开展环境质量现状调查。建设项目存在土壤、地下水环境污染途径的，应结合污染源、保护目标分布情况开展现状调查以留作背景值</w:t>
            </w:r>
            <w:r>
              <w:rPr>
                <w:rFonts w:hint="eastAsia"/>
                <w:color w:val="auto"/>
                <w:lang w:eastAsia="zh-CN"/>
              </w:rPr>
              <w:t>”</w:t>
            </w:r>
            <w:r>
              <w:rPr>
                <w:rFonts w:hint="eastAsia"/>
                <w:color w:val="auto"/>
              </w:rPr>
              <w:t>。</w:t>
            </w:r>
          </w:p>
          <w:p w14:paraId="518E7129">
            <w:pPr>
              <w:keepNext w:val="0"/>
              <w:keepLines w:val="0"/>
              <w:suppressLineNumbers w:val="0"/>
              <w:spacing w:before="0" w:beforeAutospacing="0" w:after="0" w:afterAutospacing="0"/>
              <w:ind w:left="0" w:leftChars="0" w:right="0" w:firstLine="480" w:firstLineChars="200"/>
              <w:rPr>
                <w:rFonts w:hint="eastAsia"/>
                <w:color w:val="auto"/>
              </w:rPr>
            </w:pPr>
            <w:r>
              <w:rPr>
                <w:rFonts w:hint="eastAsia"/>
                <w:color w:val="auto"/>
              </w:rPr>
              <w:t>项目位于</w:t>
            </w:r>
            <w:r>
              <w:rPr>
                <w:rFonts w:hint="eastAsia"/>
                <w:lang w:val="en-US" w:eastAsia="zh-CN"/>
              </w:rPr>
              <w:t>福建省福州市福清融侨经济技术开发区内（</w:t>
            </w:r>
            <w:r>
              <w:rPr>
                <w:rFonts w:hint="eastAsia"/>
                <w:color w:val="auto"/>
                <w:lang w:eastAsia="zh-CN"/>
              </w:rPr>
              <w:t>福建省福州市福清市阳下街道玉岭村147号车间2三楼</w:t>
            </w:r>
            <w:r>
              <w:rPr>
                <w:rFonts w:hint="eastAsia"/>
                <w:lang w:val="en-US" w:eastAsia="zh-CN"/>
              </w:rPr>
              <w:t>）</w:t>
            </w:r>
            <w:r>
              <w:rPr>
                <w:rFonts w:hint="eastAsia"/>
                <w:color w:val="auto"/>
              </w:rPr>
              <w:t>，根据现场勘查，周边以工业企业为主；项目周边地下水、土壤环境相对不敏感，采取有效的防渗措施后，项目对地下水、土壤环境影响很小，基本不存在土壤、地下水环境污染途径，因此，本评价不对项目地下水、土壤环境质量进行补充监测。</w:t>
            </w:r>
          </w:p>
        </w:tc>
      </w:tr>
      <w:tr w14:paraId="1E93F0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92" w:hRule="atLeast"/>
          <w:jc w:val="center"/>
        </w:trPr>
        <w:tc>
          <w:tcPr>
            <w:tcW w:w="800" w:type="dxa"/>
            <w:noWrap w:val="0"/>
            <w:vAlign w:val="center"/>
          </w:tcPr>
          <w:p w14:paraId="2084F816">
            <w:pPr>
              <w:pStyle w:val="40"/>
              <w:keepNext w:val="0"/>
              <w:keepLines w:val="0"/>
              <w:suppressLineNumbers w:val="0"/>
              <w:bidi w:val="0"/>
              <w:spacing w:before="0" w:beforeAutospacing="0" w:after="0" w:afterAutospacing="0"/>
              <w:ind w:left="0" w:right="0"/>
              <w:rPr>
                <w:rFonts w:hint="eastAsia"/>
              </w:rPr>
            </w:pPr>
            <w:r>
              <w:rPr>
                <w:rFonts w:hint="eastAsia"/>
              </w:rPr>
              <w:t>环境</w:t>
            </w:r>
          </w:p>
          <w:p w14:paraId="5E8FE6C5">
            <w:pPr>
              <w:pStyle w:val="40"/>
              <w:keepNext w:val="0"/>
              <w:keepLines w:val="0"/>
              <w:suppressLineNumbers w:val="0"/>
              <w:bidi w:val="0"/>
              <w:spacing w:before="0" w:beforeAutospacing="0" w:after="0" w:afterAutospacing="0"/>
              <w:ind w:left="0" w:right="0"/>
              <w:rPr>
                <w:rFonts w:hint="eastAsia"/>
              </w:rPr>
            </w:pPr>
            <w:r>
              <w:rPr>
                <w:rFonts w:hint="eastAsia"/>
              </w:rPr>
              <w:t>保护</w:t>
            </w:r>
          </w:p>
          <w:p w14:paraId="5B0CF49D">
            <w:pPr>
              <w:pStyle w:val="40"/>
              <w:keepNext w:val="0"/>
              <w:keepLines w:val="0"/>
              <w:suppressLineNumbers w:val="0"/>
              <w:bidi w:val="0"/>
              <w:spacing w:before="0" w:beforeAutospacing="0" w:after="0" w:afterAutospacing="0"/>
              <w:ind w:left="0" w:right="0"/>
              <w:rPr>
                <w:rFonts w:hint="eastAsia"/>
              </w:rPr>
            </w:pPr>
            <w:r>
              <w:rPr>
                <w:rFonts w:hint="eastAsia"/>
              </w:rPr>
              <w:t>目标</w:t>
            </w:r>
          </w:p>
        </w:tc>
        <w:tc>
          <w:tcPr>
            <w:tcW w:w="8190" w:type="dxa"/>
            <w:noWrap w:val="0"/>
            <w:vAlign w:val="center"/>
          </w:tcPr>
          <w:p w14:paraId="4EAC7A98">
            <w:pPr>
              <w:pStyle w:val="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环境保护目标</w:t>
            </w:r>
          </w:p>
          <w:p w14:paraId="16E6BBC1">
            <w:pPr>
              <w:pStyle w:val="4"/>
              <w:suppressLineNumbers w:val="0"/>
              <w:bidi w:val="0"/>
              <w:spacing w:before="0" w:beforeAutospacing="0" w:after="0" w:afterAutospacing="0"/>
              <w:ind w:left="0" w:right="0"/>
              <w:rPr>
                <w:rFonts w:hint="eastAsia"/>
              </w:rPr>
            </w:pPr>
            <w:r>
              <w:rPr>
                <w:rFonts w:hint="eastAsia"/>
              </w:rPr>
              <w:t>大气环境、地表水环境、声环境</w:t>
            </w:r>
          </w:p>
          <w:p w14:paraId="4EA0CC8F">
            <w:pPr>
              <w:keepNext w:val="0"/>
              <w:keepLines w:val="0"/>
              <w:suppressLineNumbers w:val="0"/>
              <w:adjustRightInd w:val="0"/>
              <w:snapToGrid w:val="0"/>
              <w:spacing w:before="0" w:beforeAutospacing="0" w:after="0" w:afterAutospacing="0" w:line="360" w:lineRule="auto"/>
              <w:ind w:left="0" w:right="0" w:firstLine="480" w:firstLineChars="200"/>
              <w:rPr>
                <w:rFonts w:hint="eastAsia"/>
                <w:color w:val="auto"/>
                <w:kern w:val="0"/>
                <w:sz w:val="24"/>
              </w:rPr>
            </w:pPr>
            <w:r>
              <w:rPr>
                <w:rFonts w:hint="eastAsia"/>
                <w:color w:val="auto"/>
                <w:kern w:val="0"/>
                <w:sz w:val="24"/>
              </w:rPr>
              <w:t>根据《建设项目环境影响报告表编制技术指南</w:t>
            </w:r>
            <w:r>
              <w:rPr>
                <w:rFonts w:hint="eastAsia"/>
                <w:color w:val="auto"/>
                <w:kern w:val="0"/>
                <w:sz w:val="24"/>
                <w:lang w:eastAsia="zh-CN"/>
              </w:rPr>
              <w:t>（</w:t>
            </w:r>
            <w:r>
              <w:rPr>
                <w:rFonts w:hint="eastAsia"/>
                <w:color w:val="auto"/>
                <w:kern w:val="0"/>
                <w:sz w:val="24"/>
              </w:rPr>
              <w:t>污染影响类</w:t>
            </w:r>
            <w:r>
              <w:rPr>
                <w:rFonts w:hint="eastAsia"/>
                <w:color w:val="auto"/>
                <w:kern w:val="0"/>
                <w:sz w:val="24"/>
                <w:lang w:eastAsia="zh-CN"/>
              </w:rPr>
              <w:t>）（</w:t>
            </w:r>
            <w:r>
              <w:rPr>
                <w:rFonts w:hint="eastAsia"/>
                <w:color w:val="auto"/>
                <w:kern w:val="0"/>
                <w:sz w:val="24"/>
              </w:rPr>
              <w:t>试行</w:t>
            </w:r>
            <w:r>
              <w:rPr>
                <w:rFonts w:hint="eastAsia"/>
                <w:color w:val="auto"/>
                <w:kern w:val="0"/>
                <w:sz w:val="24"/>
                <w:lang w:eastAsia="zh-CN"/>
              </w:rPr>
              <w:t>）</w:t>
            </w:r>
            <w:r>
              <w:rPr>
                <w:rFonts w:hint="eastAsia"/>
                <w:color w:val="auto"/>
                <w:kern w:val="0"/>
                <w:sz w:val="24"/>
              </w:rPr>
              <w:t>》</w:t>
            </w:r>
            <w:r>
              <w:rPr>
                <w:rFonts w:hint="eastAsia"/>
                <w:color w:val="auto"/>
                <w:kern w:val="0"/>
                <w:sz w:val="24"/>
                <w:lang w:eastAsia="zh-CN"/>
              </w:rPr>
              <w:t>（</w:t>
            </w:r>
            <w:r>
              <w:rPr>
                <w:rFonts w:hint="eastAsia"/>
                <w:color w:val="auto"/>
                <w:kern w:val="0"/>
                <w:sz w:val="24"/>
              </w:rPr>
              <w:t>环办环评〔2020〕33号</w:t>
            </w:r>
            <w:r>
              <w:rPr>
                <w:rFonts w:hint="eastAsia"/>
                <w:color w:val="auto"/>
                <w:kern w:val="0"/>
                <w:sz w:val="24"/>
                <w:lang w:eastAsia="zh-CN"/>
              </w:rPr>
              <w:t>）</w:t>
            </w:r>
            <w:r>
              <w:rPr>
                <w:rFonts w:hint="eastAsia"/>
                <w:color w:val="auto"/>
                <w:kern w:val="0"/>
                <w:sz w:val="24"/>
              </w:rPr>
              <w:t>要求以及对项目周边环境的调查，本项目大气环境</w:t>
            </w:r>
            <w:r>
              <w:rPr>
                <w:rFonts w:hint="eastAsia"/>
                <w:color w:val="auto"/>
                <w:kern w:val="0"/>
                <w:sz w:val="24"/>
                <w:lang w:eastAsia="zh-CN"/>
              </w:rPr>
              <w:t>（</w:t>
            </w:r>
            <w:r>
              <w:rPr>
                <w:rFonts w:hint="eastAsia"/>
                <w:color w:val="auto"/>
                <w:kern w:val="0"/>
                <w:sz w:val="24"/>
              </w:rPr>
              <w:t>厂界外500m</w:t>
            </w:r>
            <w:r>
              <w:rPr>
                <w:rFonts w:hint="eastAsia"/>
                <w:color w:val="auto"/>
                <w:kern w:val="0"/>
                <w:sz w:val="24"/>
                <w:highlight w:val="none"/>
              </w:rPr>
              <w:t>范围内</w:t>
            </w:r>
            <w:r>
              <w:rPr>
                <w:rFonts w:hint="eastAsia"/>
                <w:color w:val="auto"/>
                <w:kern w:val="0"/>
                <w:sz w:val="24"/>
                <w:highlight w:val="none"/>
                <w:lang w:eastAsia="zh-CN"/>
              </w:rPr>
              <w:t>）</w:t>
            </w:r>
            <w:r>
              <w:rPr>
                <w:rFonts w:hint="eastAsia"/>
                <w:color w:val="auto"/>
                <w:kern w:val="0"/>
                <w:sz w:val="24"/>
                <w:highlight w:val="none"/>
              </w:rPr>
              <w:t>、地表水环境、声环境</w:t>
            </w:r>
            <w:r>
              <w:rPr>
                <w:rFonts w:hint="eastAsia"/>
                <w:color w:val="auto"/>
                <w:kern w:val="0"/>
                <w:sz w:val="24"/>
                <w:highlight w:val="none"/>
                <w:lang w:eastAsia="zh-CN"/>
              </w:rPr>
              <w:t>（</w:t>
            </w:r>
            <w:r>
              <w:rPr>
                <w:rFonts w:hint="eastAsia"/>
                <w:color w:val="auto"/>
                <w:kern w:val="0"/>
                <w:sz w:val="24"/>
                <w:highlight w:val="none"/>
              </w:rPr>
              <w:t>厂界外50m范围内</w:t>
            </w:r>
            <w:r>
              <w:rPr>
                <w:rFonts w:hint="eastAsia"/>
                <w:color w:val="auto"/>
                <w:kern w:val="0"/>
                <w:sz w:val="24"/>
                <w:highlight w:val="none"/>
                <w:lang w:eastAsia="zh-CN"/>
              </w:rPr>
              <w:t>）</w:t>
            </w:r>
            <w:r>
              <w:rPr>
                <w:rFonts w:hint="eastAsia"/>
                <w:color w:val="auto"/>
                <w:kern w:val="0"/>
                <w:sz w:val="24"/>
                <w:highlight w:val="none"/>
              </w:rPr>
              <w:t>保护目标见表3.6-1和</w:t>
            </w:r>
            <w:r>
              <w:rPr>
                <w:rFonts w:hint="eastAsia"/>
                <w:color w:val="auto"/>
                <w:kern w:val="0"/>
                <w:sz w:val="24"/>
                <w:highlight w:val="none"/>
                <w:lang w:eastAsia="zh-CN"/>
              </w:rPr>
              <w:fldChar w:fldCharType="begin"/>
            </w:r>
            <w:r>
              <w:rPr>
                <w:rFonts w:hint="eastAsia"/>
                <w:color w:val="auto"/>
                <w:kern w:val="0"/>
                <w:sz w:val="24"/>
                <w:highlight w:val="none"/>
                <w:lang w:eastAsia="zh-CN"/>
              </w:rPr>
              <w:instrText xml:space="preserve"> REF _Ref22753 \h </w:instrText>
            </w:r>
            <w:r>
              <w:rPr>
                <w:rFonts w:hint="eastAsia"/>
                <w:color w:val="auto"/>
                <w:kern w:val="0"/>
                <w:sz w:val="24"/>
                <w:highlight w:val="none"/>
                <w:lang w:eastAsia="zh-CN"/>
              </w:rPr>
              <w:fldChar w:fldCharType="separate"/>
            </w:r>
            <w:r>
              <w:rPr>
                <w:rFonts w:hint="eastAsia"/>
              </w:rPr>
              <w:t>附图 2</w:t>
            </w:r>
            <w:r>
              <w:rPr>
                <w:rFonts w:hint="eastAsia"/>
                <w:color w:val="auto"/>
                <w:kern w:val="0"/>
                <w:sz w:val="24"/>
                <w:highlight w:val="none"/>
                <w:lang w:eastAsia="zh-CN"/>
              </w:rPr>
              <w:fldChar w:fldCharType="end"/>
            </w:r>
            <w:r>
              <w:rPr>
                <w:rFonts w:hint="eastAsia"/>
                <w:color w:val="auto"/>
                <w:kern w:val="0"/>
                <w:sz w:val="24"/>
                <w:highlight w:val="none"/>
                <w:lang w:val="en-US" w:eastAsia="zh-CN"/>
              </w:rPr>
              <w:t>及</w:t>
            </w:r>
            <w:r>
              <w:rPr>
                <w:rFonts w:hint="eastAsia"/>
                <w:color w:val="auto"/>
                <w:kern w:val="0"/>
                <w:sz w:val="24"/>
                <w:highlight w:val="none"/>
                <w:lang w:eastAsia="zh-CN"/>
              </w:rPr>
              <w:fldChar w:fldCharType="begin"/>
            </w:r>
            <w:r>
              <w:rPr>
                <w:rFonts w:hint="eastAsia"/>
                <w:color w:val="auto"/>
                <w:kern w:val="0"/>
                <w:sz w:val="24"/>
                <w:highlight w:val="none"/>
                <w:lang w:eastAsia="zh-CN"/>
              </w:rPr>
              <w:instrText xml:space="preserve"> REF _Ref22763 \h </w:instrText>
            </w:r>
            <w:r>
              <w:rPr>
                <w:rFonts w:hint="eastAsia"/>
                <w:color w:val="auto"/>
                <w:kern w:val="0"/>
                <w:sz w:val="24"/>
                <w:highlight w:val="none"/>
                <w:lang w:eastAsia="zh-CN"/>
              </w:rPr>
              <w:fldChar w:fldCharType="separate"/>
            </w:r>
            <w:r>
              <w:rPr>
                <w:rFonts w:hint="eastAsia"/>
              </w:rPr>
              <w:t>附图 3</w:t>
            </w:r>
            <w:r>
              <w:rPr>
                <w:rFonts w:hint="eastAsia"/>
                <w:color w:val="auto"/>
                <w:kern w:val="0"/>
                <w:sz w:val="24"/>
                <w:highlight w:val="none"/>
                <w:lang w:eastAsia="zh-CN"/>
              </w:rPr>
              <w:fldChar w:fldCharType="end"/>
            </w:r>
            <w:r>
              <w:rPr>
                <w:rFonts w:hint="eastAsia"/>
                <w:color w:val="auto"/>
                <w:kern w:val="0"/>
                <w:sz w:val="24"/>
                <w:highlight w:val="none"/>
              </w:rPr>
              <w:t>。</w:t>
            </w:r>
          </w:p>
          <w:p w14:paraId="292CB37F">
            <w:pPr>
              <w:pStyle w:val="39"/>
              <w:keepNext w:val="0"/>
              <w:keepLines w:val="0"/>
              <w:suppressLineNumbers w:val="0"/>
              <w:bidi w:val="0"/>
              <w:spacing w:before="0" w:beforeAutospacing="0" w:after="0" w:afterAutospacing="0"/>
              <w:ind w:left="0" w:right="0"/>
              <w:rPr>
                <w:rFonts w:hint="default"/>
              </w:rPr>
            </w:pPr>
            <w:r>
              <w:rPr>
                <w:rFonts w:hint="default"/>
              </w:rPr>
              <w:t>表3.6-1  环境保护目标一览表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08"/>
              <w:gridCol w:w="1431"/>
              <w:gridCol w:w="1805"/>
              <w:gridCol w:w="1483"/>
              <w:gridCol w:w="2767"/>
            </w:tblGrid>
            <w:tr w14:paraId="53E82FA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41" w:type="pct"/>
                  <w:noWrap w:val="0"/>
                  <w:vAlign w:val="center"/>
                </w:tcPr>
                <w:p w14:paraId="4A8D84B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环境</w:t>
                  </w:r>
                </w:p>
                <w:p w14:paraId="4069894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要素</w:t>
                  </w:r>
                </w:p>
              </w:tc>
              <w:tc>
                <w:tcPr>
                  <w:tcW w:w="852" w:type="pct"/>
                  <w:noWrap w:val="0"/>
                  <w:vAlign w:val="center"/>
                </w:tcPr>
                <w:p w14:paraId="5329190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环境保护</w:t>
                  </w:r>
                </w:p>
                <w:p w14:paraId="7710255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对象名称</w:t>
                  </w:r>
                </w:p>
              </w:tc>
              <w:tc>
                <w:tcPr>
                  <w:tcW w:w="1075" w:type="pct"/>
                  <w:noWrap w:val="0"/>
                  <w:vAlign w:val="center"/>
                </w:tcPr>
                <w:p w14:paraId="43C91C6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与项目厂界的方位和最近距离</w:t>
                  </w:r>
                </w:p>
              </w:tc>
              <w:tc>
                <w:tcPr>
                  <w:tcW w:w="883" w:type="pct"/>
                  <w:noWrap w:val="0"/>
                  <w:vAlign w:val="center"/>
                </w:tcPr>
                <w:p w14:paraId="6FEE620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环境基本特征</w:t>
                  </w:r>
                </w:p>
              </w:tc>
              <w:tc>
                <w:tcPr>
                  <w:tcW w:w="1647" w:type="pct"/>
                  <w:noWrap w:val="0"/>
                  <w:vAlign w:val="center"/>
                </w:tcPr>
                <w:p w14:paraId="7BDE2A6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环境功能</w:t>
                  </w:r>
                </w:p>
              </w:tc>
            </w:tr>
            <w:tr w14:paraId="76DF6E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41" w:type="pct"/>
                  <w:vMerge w:val="restart"/>
                  <w:noWrap w:val="0"/>
                  <w:vAlign w:val="center"/>
                </w:tcPr>
                <w:p w14:paraId="735E454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环境</w:t>
                  </w:r>
                </w:p>
                <w:p w14:paraId="1F6E73F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空气</w:t>
                  </w:r>
                </w:p>
              </w:tc>
              <w:tc>
                <w:tcPr>
                  <w:tcW w:w="852" w:type="pct"/>
                  <w:noWrap w:val="0"/>
                  <w:vAlign w:val="center"/>
                </w:tcPr>
                <w:p w14:paraId="29E47E0E">
                  <w:pPr>
                    <w:pStyle w:val="38"/>
                    <w:keepNext w:val="0"/>
                    <w:keepLines w:val="0"/>
                    <w:widowControl/>
                    <w:suppressLineNumbers w:val="0"/>
                    <w:bidi w:val="0"/>
                    <w:spacing w:before="0" w:beforeAutospacing="0" w:after="0" w:afterAutospacing="0"/>
                    <w:ind w:left="0" w:right="0"/>
                    <w:rPr>
                      <w:rFonts w:hint="default" w:eastAsia="宋体"/>
                      <w:szCs w:val="22"/>
                      <w:lang w:val="en-US" w:eastAsia="zh-CN"/>
                    </w:rPr>
                  </w:pPr>
                  <w:r>
                    <w:rPr>
                      <w:rFonts w:hint="eastAsia"/>
                      <w:szCs w:val="22"/>
                    </w:rPr>
                    <w:t>玉岭村</w:t>
                  </w:r>
                  <w:r>
                    <w:rPr>
                      <w:rFonts w:hint="eastAsia"/>
                      <w:szCs w:val="22"/>
                      <w:lang w:val="en-US" w:eastAsia="zh-CN"/>
                    </w:rPr>
                    <w:t>最近居民点</w:t>
                  </w:r>
                </w:p>
              </w:tc>
              <w:tc>
                <w:tcPr>
                  <w:tcW w:w="1075" w:type="pct"/>
                  <w:noWrap w:val="0"/>
                  <w:vAlign w:val="center"/>
                </w:tcPr>
                <w:p w14:paraId="0B8572A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南侧63</w:t>
                  </w:r>
                  <w:r>
                    <w:rPr>
                      <w:rFonts w:hint="eastAsia"/>
                      <w:szCs w:val="22"/>
                    </w:rPr>
                    <w:t>m</w:t>
                  </w:r>
                </w:p>
              </w:tc>
              <w:tc>
                <w:tcPr>
                  <w:tcW w:w="883" w:type="pct"/>
                  <w:noWrap w:val="0"/>
                  <w:vAlign w:val="center"/>
                </w:tcPr>
                <w:p w14:paraId="138087E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5</w:t>
                  </w:r>
                  <w:r>
                    <w:rPr>
                      <w:rFonts w:hint="eastAsia"/>
                      <w:szCs w:val="22"/>
                    </w:rPr>
                    <w:t>人</w:t>
                  </w:r>
                </w:p>
              </w:tc>
              <w:tc>
                <w:tcPr>
                  <w:tcW w:w="1647" w:type="pct"/>
                  <w:vMerge w:val="restart"/>
                  <w:noWrap w:val="0"/>
                  <w:vAlign w:val="center"/>
                </w:tcPr>
                <w:p w14:paraId="7EACE8D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《环境空气质量标准》</w:t>
                  </w:r>
                  <w:r>
                    <w:rPr>
                      <w:rFonts w:hint="eastAsia"/>
                      <w:szCs w:val="22"/>
                      <w:lang w:eastAsia="zh-CN"/>
                    </w:rPr>
                    <w:t>（</w:t>
                  </w:r>
                  <w:r>
                    <w:rPr>
                      <w:rFonts w:hint="eastAsia"/>
                      <w:szCs w:val="22"/>
                    </w:rPr>
                    <w:t>GB3095-2012</w:t>
                  </w:r>
                  <w:r>
                    <w:rPr>
                      <w:rFonts w:hint="eastAsia"/>
                      <w:szCs w:val="22"/>
                      <w:lang w:eastAsia="zh-CN"/>
                    </w:rPr>
                    <w:t>）</w:t>
                  </w:r>
                  <w:r>
                    <w:rPr>
                      <w:rFonts w:hint="eastAsia"/>
                      <w:szCs w:val="22"/>
                    </w:rPr>
                    <w:t>及其修改单二级标准</w:t>
                  </w:r>
                </w:p>
              </w:tc>
            </w:tr>
            <w:tr w14:paraId="2713D8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41" w:type="pct"/>
                  <w:vMerge w:val="continue"/>
                  <w:noWrap w:val="0"/>
                  <w:vAlign w:val="center"/>
                </w:tcPr>
                <w:p w14:paraId="31F13701">
                  <w:pPr>
                    <w:pStyle w:val="38"/>
                    <w:keepNext w:val="0"/>
                    <w:keepLines w:val="0"/>
                    <w:widowControl/>
                    <w:suppressLineNumbers w:val="0"/>
                    <w:bidi w:val="0"/>
                    <w:spacing w:before="0" w:beforeAutospacing="0" w:after="0" w:afterAutospacing="0"/>
                    <w:ind w:left="0" w:right="0"/>
                    <w:rPr>
                      <w:rFonts w:hint="eastAsia"/>
                      <w:szCs w:val="22"/>
                    </w:rPr>
                  </w:pPr>
                </w:p>
              </w:tc>
              <w:tc>
                <w:tcPr>
                  <w:tcW w:w="852" w:type="pct"/>
                  <w:noWrap w:val="0"/>
                  <w:vAlign w:val="center"/>
                </w:tcPr>
                <w:p w14:paraId="109A457B">
                  <w:pPr>
                    <w:pStyle w:val="38"/>
                    <w:keepNext w:val="0"/>
                    <w:keepLines w:val="0"/>
                    <w:widowControl/>
                    <w:suppressLineNumbers w:val="0"/>
                    <w:bidi w:val="0"/>
                    <w:spacing w:before="0" w:beforeAutospacing="0" w:after="0" w:afterAutospacing="0"/>
                    <w:ind w:left="0" w:right="0"/>
                    <w:rPr>
                      <w:rFonts w:hint="eastAsia" w:eastAsia="宋体"/>
                      <w:szCs w:val="22"/>
                      <w:lang w:val="en-US" w:eastAsia="zh-CN"/>
                    </w:rPr>
                  </w:pPr>
                  <w:r>
                    <w:rPr>
                      <w:rFonts w:hint="eastAsia"/>
                      <w:szCs w:val="22"/>
                      <w:lang w:val="en-US" w:eastAsia="zh-CN"/>
                    </w:rPr>
                    <w:t>玉岭村</w:t>
                  </w:r>
                </w:p>
              </w:tc>
              <w:tc>
                <w:tcPr>
                  <w:tcW w:w="1075" w:type="pct"/>
                  <w:noWrap w:val="0"/>
                  <w:vAlign w:val="center"/>
                </w:tcPr>
                <w:p w14:paraId="693A2C31">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5m</w:t>
                  </w:r>
                </w:p>
              </w:tc>
              <w:tc>
                <w:tcPr>
                  <w:tcW w:w="883" w:type="pct"/>
                  <w:noWrap w:val="0"/>
                  <w:vAlign w:val="center"/>
                </w:tcPr>
                <w:p w14:paraId="3A88BA4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120户/360</w:t>
                  </w:r>
                  <w:r>
                    <w:rPr>
                      <w:rFonts w:hint="eastAsia"/>
                      <w:szCs w:val="22"/>
                      <w:lang w:val="en-US" w:eastAsia="zh-CN"/>
                    </w:rPr>
                    <w:t>0</w:t>
                  </w:r>
                  <w:r>
                    <w:rPr>
                      <w:rFonts w:hint="eastAsia"/>
                      <w:szCs w:val="22"/>
                    </w:rPr>
                    <w:t>人</w:t>
                  </w:r>
                </w:p>
              </w:tc>
              <w:tc>
                <w:tcPr>
                  <w:tcW w:w="1647" w:type="pct"/>
                  <w:vMerge w:val="continue"/>
                  <w:noWrap w:val="0"/>
                  <w:vAlign w:val="center"/>
                </w:tcPr>
                <w:p w14:paraId="439AF8A0">
                  <w:pPr>
                    <w:pStyle w:val="38"/>
                    <w:keepNext w:val="0"/>
                    <w:keepLines w:val="0"/>
                    <w:widowControl/>
                    <w:suppressLineNumbers w:val="0"/>
                    <w:bidi w:val="0"/>
                    <w:spacing w:before="0" w:beforeAutospacing="0" w:after="0" w:afterAutospacing="0"/>
                    <w:ind w:left="0" w:right="0"/>
                    <w:rPr>
                      <w:rFonts w:hint="eastAsia"/>
                      <w:szCs w:val="22"/>
                    </w:rPr>
                  </w:pPr>
                </w:p>
              </w:tc>
            </w:tr>
            <w:tr w14:paraId="0AB953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7" w:hRule="atLeast"/>
                <w:jc w:val="center"/>
              </w:trPr>
              <w:tc>
                <w:tcPr>
                  <w:tcW w:w="541" w:type="pct"/>
                  <w:vMerge w:val="continue"/>
                  <w:noWrap w:val="0"/>
                  <w:vAlign w:val="center"/>
                </w:tcPr>
                <w:p w14:paraId="306CA31B">
                  <w:pPr>
                    <w:pStyle w:val="38"/>
                    <w:keepNext w:val="0"/>
                    <w:keepLines w:val="0"/>
                    <w:widowControl/>
                    <w:suppressLineNumbers w:val="0"/>
                    <w:bidi w:val="0"/>
                    <w:spacing w:before="0" w:beforeAutospacing="0" w:after="0" w:afterAutospacing="0"/>
                    <w:ind w:left="0" w:right="0"/>
                    <w:rPr>
                      <w:rFonts w:hint="eastAsia"/>
                      <w:szCs w:val="22"/>
                    </w:rPr>
                  </w:pPr>
                </w:p>
              </w:tc>
              <w:tc>
                <w:tcPr>
                  <w:tcW w:w="852" w:type="pct"/>
                  <w:noWrap w:val="0"/>
                  <w:vAlign w:val="center"/>
                </w:tcPr>
                <w:p w14:paraId="38019418">
                  <w:pPr>
                    <w:pStyle w:val="38"/>
                    <w:keepNext w:val="0"/>
                    <w:keepLines w:val="0"/>
                    <w:widowControl/>
                    <w:suppressLineNumbers w:val="0"/>
                    <w:bidi w:val="0"/>
                    <w:spacing w:before="0" w:beforeAutospacing="0" w:after="0" w:afterAutospacing="0"/>
                    <w:ind w:left="0" w:right="0"/>
                    <w:rPr>
                      <w:rFonts w:hint="eastAsia" w:eastAsia="宋体"/>
                      <w:szCs w:val="22"/>
                      <w:lang w:val="en-US" w:eastAsia="zh-CN"/>
                    </w:rPr>
                  </w:pPr>
                  <w:r>
                    <w:rPr>
                      <w:rFonts w:hint="eastAsia"/>
                      <w:szCs w:val="22"/>
                      <w:lang w:val="en-US" w:eastAsia="zh-CN"/>
                    </w:rPr>
                    <w:t>洪宽工业村</w:t>
                  </w:r>
                </w:p>
              </w:tc>
              <w:tc>
                <w:tcPr>
                  <w:tcW w:w="1075" w:type="pct"/>
                  <w:noWrap w:val="0"/>
                  <w:vAlign w:val="center"/>
                </w:tcPr>
                <w:p w14:paraId="64457654">
                  <w:pPr>
                    <w:pStyle w:val="38"/>
                    <w:keepNext w:val="0"/>
                    <w:keepLines w:val="0"/>
                    <w:widowControl/>
                    <w:suppressLineNumbers w:val="0"/>
                    <w:bidi w:val="0"/>
                    <w:spacing w:before="0" w:beforeAutospacing="0" w:after="0" w:afterAutospacing="0"/>
                    <w:ind w:left="0" w:right="0"/>
                    <w:rPr>
                      <w:rFonts w:hint="default" w:eastAsia="宋体"/>
                      <w:szCs w:val="22"/>
                      <w:lang w:val="en-US" w:eastAsia="zh-CN"/>
                    </w:rPr>
                  </w:pPr>
                  <w:r>
                    <w:rPr>
                      <w:rFonts w:hint="eastAsia"/>
                      <w:szCs w:val="22"/>
                      <w:lang w:val="en-US" w:eastAsia="zh-CN"/>
                    </w:rPr>
                    <w:t>北侧125m</w:t>
                  </w:r>
                </w:p>
              </w:tc>
              <w:tc>
                <w:tcPr>
                  <w:tcW w:w="883" w:type="pct"/>
                  <w:noWrap w:val="0"/>
                  <w:vAlign w:val="center"/>
                </w:tcPr>
                <w:p w14:paraId="16989452">
                  <w:pPr>
                    <w:pStyle w:val="38"/>
                    <w:keepNext w:val="0"/>
                    <w:keepLines w:val="0"/>
                    <w:widowControl/>
                    <w:suppressLineNumbers w:val="0"/>
                    <w:bidi w:val="0"/>
                    <w:spacing w:before="0" w:beforeAutospacing="0" w:after="0" w:afterAutospacing="0"/>
                    <w:ind w:left="0" w:right="0"/>
                    <w:rPr>
                      <w:rFonts w:hint="eastAsia" w:eastAsiaTheme="minorEastAsia"/>
                      <w:szCs w:val="22"/>
                      <w:lang w:val="en-US" w:eastAsia="zh-CN"/>
                    </w:rPr>
                  </w:pPr>
                  <w:r>
                    <w:rPr>
                      <w:rFonts w:hint="default" w:ascii="Times New Roman" w:hAnsi="Times New Roman" w:cs="Times New Roman" w:eastAsiaTheme="minorEastAsia"/>
                      <w:color w:val="000000" w:themeColor="text1"/>
                      <w:szCs w:val="22"/>
                      <w:highlight w:val="none"/>
                      <w:lang w:val="en-US" w:eastAsia="zh-CN"/>
                      <w14:textFill>
                        <w14:solidFill>
                          <w14:schemeClr w14:val="tx1"/>
                        </w14:solidFill>
                      </w14:textFill>
                    </w:rPr>
                    <w:t>50</w:t>
                  </w:r>
                  <w:r>
                    <w:rPr>
                      <w:rFonts w:hint="default" w:ascii="Times New Roman" w:hAnsi="Times New Roman" w:cs="Times New Roman" w:eastAsiaTheme="minorEastAsia"/>
                      <w:color w:val="000000" w:themeColor="text1"/>
                      <w:szCs w:val="22"/>
                      <w:highlight w:val="none"/>
                      <w14:textFill>
                        <w14:solidFill>
                          <w14:schemeClr w14:val="tx1"/>
                        </w14:solidFill>
                      </w14:textFill>
                    </w:rPr>
                    <w:t>0</w:t>
                  </w:r>
                  <w:r>
                    <w:rPr>
                      <w:rFonts w:hint="eastAsia" w:ascii="Times New Roman" w:hAnsi="Times New Roman" w:cs="Times New Roman" w:eastAsiaTheme="minorEastAsia"/>
                      <w:color w:val="000000" w:themeColor="text1"/>
                      <w:szCs w:val="22"/>
                      <w:highlight w:val="none"/>
                      <w:lang w:val="en-US" w:eastAsia="zh-CN"/>
                      <w14:textFill>
                        <w14:solidFill>
                          <w14:schemeClr w14:val="tx1"/>
                        </w14:solidFill>
                      </w14:textFill>
                    </w:rPr>
                    <w:t>人</w:t>
                  </w:r>
                </w:p>
              </w:tc>
              <w:tc>
                <w:tcPr>
                  <w:tcW w:w="1647" w:type="pct"/>
                  <w:vMerge w:val="continue"/>
                  <w:noWrap w:val="0"/>
                  <w:vAlign w:val="center"/>
                </w:tcPr>
                <w:p w14:paraId="20192EE7">
                  <w:pPr>
                    <w:pStyle w:val="38"/>
                    <w:keepNext w:val="0"/>
                    <w:keepLines w:val="0"/>
                    <w:widowControl/>
                    <w:suppressLineNumbers w:val="0"/>
                    <w:bidi w:val="0"/>
                    <w:spacing w:before="0" w:beforeAutospacing="0" w:after="0" w:afterAutospacing="0"/>
                    <w:ind w:left="0" w:right="0"/>
                    <w:rPr>
                      <w:rFonts w:hint="eastAsia"/>
                      <w:szCs w:val="22"/>
                    </w:rPr>
                  </w:pPr>
                </w:p>
              </w:tc>
            </w:tr>
            <w:tr w14:paraId="5421154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7" w:hRule="atLeast"/>
                <w:jc w:val="center"/>
              </w:trPr>
              <w:tc>
                <w:tcPr>
                  <w:tcW w:w="541" w:type="pct"/>
                  <w:vMerge w:val="continue"/>
                  <w:noWrap w:val="0"/>
                  <w:vAlign w:val="center"/>
                </w:tcPr>
                <w:p w14:paraId="6CDDC6CD">
                  <w:pPr>
                    <w:pStyle w:val="38"/>
                    <w:keepNext w:val="0"/>
                    <w:keepLines w:val="0"/>
                    <w:widowControl/>
                    <w:suppressLineNumbers w:val="0"/>
                    <w:bidi w:val="0"/>
                    <w:spacing w:before="0" w:beforeAutospacing="0" w:after="0" w:afterAutospacing="0"/>
                    <w:ind w:left="0" w:right="0"/>
                    <w:rPr>
                      <w:rFonts w:hint="eastAsia"/>
                      <w:szCs w:val="22"/>
                    </w:rPr>
                  </w:pPr>
                </w:p>
              </w:tc>
              <w:tc>
                <w:tcPr>
                  <w:tcW w:w="852" w:type="pct"/>
                  <w:noWrap w:val="0"/>
                  <w:vAlign w:val="center"/>
                </w:tcPr>
                <w:p w14:paraId="1360CC63">
                  <w:pPr>
                    <w:pStyle w:val="38"/>
                    <w:keepNext w:val="0"/>
                    <w:keepLines w:val="0"/>
                    <w:widowControl/>
                    <w:suppressLineNumbers w:val="0"/>
                    <w:bidi w:val="0"/>
                    <w:spacing w:before="0" w:beforeAutospacing="0" w:after="0" w:afterAutospacing="0"/>
                    <w:ind w:left="0" w:right="0"/>
                    <w:rPr>
                      <w:rFonts w:hint="eastAsia"/>
                      <w:szCs w:val="22"/>
                    </w:rPr>
                  </w:pPr>
                  <w:r>
                    <w:rPr>
                      <w:rFonts w:hint="default" w:ascii="Times New Roman" w:hAnsi="Times New Roman" w:cs="Times New Roman" w:eastAsiaTheme="minorEastAsia"/>
                      <w:color w:val="000000" w:themeColor="text1"/>
                      <w:szCs w:val="22"/>
                      <w:lang w:val="en-US" w:eastAsia="zh-CN"/>
                      <w14:textFill>
                        <w14:solidFill>
                          <w14:schemeClr w14:val="tx1"/>
                        </w14:solidFill>
                      </w14:textFill>
                    </w:rPr>
                    <w:t>潘厝后村</w:t>
                  </w:r>
                </w:p>
              </w:tc>
              <w:tc>
                <w:tcPr>
                  <w:tcW w:w="1805" w:type="dxa"/>
                  <w:noWrap w:val="0"/>
                  <w:vAlign w:val="center"/>
                </w:tcPr>
                <w:p w14:paraId="3DED9598">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东</w:t>
                  </w:r>
                  <w:r>
                    <w:rPr>
                      <w:rFonts w:hint="eastAsia"/>
                      <w:szCs w:val="22"/>
                      <w:lang w:val="en-US" w:eastAsia="zh-CN"/>
                    </w:rPr>
                    <w:t>北</w:t>
                  </w:r>
                  <w:r>
                    <w:rPr>
                      <w:rFonts w:hint="default"/>
                      <w:szCs w:val="22"/>
                      <w:lang w:eastAsia="zh-CN"/>
                    </w:rPr>
                    <w:t>侧</w:t>
                  </w:r>
                  <w:r>
                    <w:rPr>
                      <w:rFonts w:hint="default"/>
                      <w:szCs w:val="22"/>
                      <w:lang w:val="en-US" w:eastAsia="zh-CN"/>
                    </w:rPr>
                    <w:t>230m</w:t>
                  </w:r>
                </w:p>
              </w:tc>
              <w:tc>
                <w:tcPr>
                  <w:tcW w:w="1483" w:type="dxa"/>
                  <w:noWrap w:val="0"/>
                  <w:vAlign w:val="center"/>
                </w:tcPr>
                <w:p w14:paraId="2BB0FB8A">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约300</w:t>
                  </w:r>
                  <w:r>
                    <w:rPr>
                      <w:rFonts w:hint="default"/>
                      <w:szCs w:val="22"/>
                    </w:rPr>
                    <w:t>人</w:t>
                  </w:r>
                </w:p>
              </w:tc>
              <w:tc>
                <w:tcPr>
                  <w:tcW w:w="1647" w:type="pct"/>
                  <w:vMerge w:val="continue"/>
                  <w:noWrap w:val="0"/>
                  <w:vAlign w:val="center"/>
                </w:tcPr>
                <w:p w14:paraId="347B1F39">
                  <w:pPr>
                    <w:pStyle w:val="38"/>
                    <w:keepNext w:val="0"/>
                    <w:keepLines w:val="0"/>
                    <w:widowControl/>
                    <w:suppressLineNumbers w:val="0"/>
                    <w:bidi w:val="0"/>
                    <w:spacing w:before="0" w:beforeAutospacing="0" w:after="0" w:afterAutospacing="0"/>
                    <w:ind w:left="0" w:right="0"/>
                    <w:rPr>
                      <w:rFonts w:hint="eastAsia"/>
                      <w:szCs w:val="22"/>
                    </w:rPr>
                  </w:pPr>
                </w:p>
              </w:tc>
            </w:tr>
            <w:tr w14:paraId="5ABD8B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41" w:type="pct"/>
                  <w:noWrap w:val="0"/>
                  <w:vAlign w:val="center"/>
                </w:tcPr>
                <w:p w14:paraId="301570D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地表水</w:t>
                  </w:r>
                </w:p>
              </w:tc>
              <w:tc>
                <w:tcPr>
                  <w:tcW w:w="852" w:type="pct"/>
                  <w:tcBorders>
                    <w:bottom w:val="single" w:color="auto" w:sz="4" w:space="0"/>
                  </w:tcBorders>
                  <w:noWrap w:val="0"/>
                  <w:vAlign w:val="center"/>
                </w:tcPr>
                <w:p w14:paraId="01659FE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大北溪</w:t>
                  </w:r>
                  <w:r>
                    <w:rPr>
                      <w:rFonts w:hint="eastAsia"/>
                      <w:szCs w:val="22"/>
                      <w:lang w:eastAsia="zh-CN"/>
                    </w:rPr>
                    <w:t>“</w:t>
                  </w:r>
                  <w:r>
                    <w:rPr>
                      <w:rFonts w:hint="eastAsia"/>
                      <w:szCs w:val="22"/>
                    </w:rPr>
                    <w:t>铁路桥至大北溪口</w:t>
                  </w:r>
                  <w:r>
                    <w:rPr>
                      <w:rFonts w:hint="eastAsia"/>
                      <w:szCs w:val="22"/>
                      <w:lang w:eastAsia="zh-CN"/>
                    </w:rPr>
                    <w:t>”</w:t>
                  </w:r>
                  <w:r>
                    <w:rPr>
                      <w:rFonts w:hint="eastAsia"/>
                      <w:szCs w:val="22"/>
                    </w:rPr>
                    <w:t>断面</w:t>
                  </w:r>
                </w:p>
              </w:tc>
              <w:tc>
                <w:tcPr>
                  <w:tcW w:w="1075" w:type="pct"/>
                  <w:tcBorders>
                    <w:bottom w:val="single" w:color="auto" w:sz="4" w:space="0"/>
                    <w:right w:val="single" w:color="auto" w:sz="4" w:space="0"/>
                  </w:tcBorders>
                  <w:noWrap w:val="0"/>
                  <w:vAlign w:val="center"/>
                </w:tcPr>
                <w:p w14:paraId="63B3F70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北侧</w:t>
                  </w:r>
                  <w:r>
                    <w:rPr>
                      <w:rFonts w:hint="eastAsia"/>
                      <w:szCs w:val="22"/>
                      <w:lang w:val="en-US" w:eastAsia="zh-CN"/>
                    </w:rPr>
                    <w:t>622</w:t>
                  </w:r>
                  <w:r>
                    <w:rPr>
                      <w:rFonts w:hint="eastAsia"/>
                      <w:szCs w:val="22"/>
                    </w:rPr>
                    <w:t>m</w:t>
                  </w:r>
                </w:p>
              </w:tc>
              <w:tc>
                <w:tcPr>
                  <w:tcW w:w="883" w:type="pct"/>
                  <w:tcBorders>
                    <w:left w:val="single" w:color="auto" w:sz="4" w:space="0"/>
                    <w:bottom w:val="single" w:color="auto" w:sz="4" w:space="0"/>
                    <w:right w:val="single" w:color="auto" w:sz="4" w:space="0"/>
                  </w:tcBorders>
                  <w:noWrap w:val="0"/>
                  <w:vAlign w:val="center"/>
                </w:tcPr>
                <w:p w14:paraId="421E68C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景观、工业用水</w:t>
                  </w:r>
                </w:p>
              </w:tc>
              <w:tc>
                <w:tcPr>
                  <w:tcW w:w="1647" w:type="pct"/>
                  <w:tcBorders>
                    <w:left w:val="single" w:color="auto" w:sz="4" w:space="0"/>
                    <w:bottom w:val="single" w:color="auto" w:sz="4" w:space="0"/>
                  </w:tcBorders>
                  <w:noWrap w:val="0"/>
                  <w:vAlign w:val="center"/>
                </w:tcPr>
                <w:p w14:paraId="4D9F395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《地表水环境质量标准》</w:t>
                  </w:r>
                  <w:r>
                    <w:rPr>
                      <w:rFonts w:hint="eastAsia"/>
                      <w:szCs w:val="22"/>
                      <w:lang w:eastAsia="zh-CN"/>
                    </w:rPr>
                    <w:t>（</w:t>
                  </w:r>
                  <w:r>
                    <w:rPr>
                      <w:rFonts w:hint="eastAsia"/>
                      <w:szCs w:val="22"/>
                    </w:rPr>
                    <w:t>GB3838-2002</w:t>
                  </w:r>
                  <w:r>
                    <w:rPr>
                      <w:rFonts w:hint="eastAsia"/>
                      <w:szCs w:val="22"/>
                      <w:lang w:eastAsia="zh-CN"/>
                    </w:rPr>
                    <w:t>）</w:t>
                  </w:r>
                  <w:r>
                    <w:rPr>
                      <w:rFonts w:hint="eastAsia"/>
                      <w:szCs w:val="22"/>
                    </w:rPr>
                    <w:t>Ⅳ类标准</w:t>
                  </w:r>
                </w:p>
              </w:tc>
            </w:tr>
            <w:tr w14:paraId="6B99F2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41" w:type="pct"/>
                  <w:noWrap w:val="0"/>
                  <w:vAlign w:val="center"/>
                </w:tcPr>
                <w:p w14:paraId="48ECA8E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声环境</w:t>
                  </w:r>
                </w:p>
              </w:tc>
              <w:tc>
                <w:tcPr>
                  <w:tcW w:w="4458" w:type="pct"/>
                  <w:gridSpan w:val="4"/>
                  <w:noWrap w:val="0"/>
                  <w:vAlign w:val="center"/>
                </w:tcPr>
                <w:p w14:paraId="432270E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项目厂界50m范围内无声环境保护目标</w:t>
                  </w:r>
                </w:p>
              </w:tc>
            </w:tr>
            <w:tr w14:paraId="0BF636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41" w:type="pct"/>
                  <w:noWrap w:val="0"/>
                  <w:vAlign w:val="center"/>
                </w:tcPr>
                <w:p w14:paraId="504D065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地下水</w:t>
                  </w:r>
                </w:p>
              </w:tc>
              <w:tc>
                <w:tcPr>
                  <w:tcW w:w="4458" w:type="pct"/>
                  <w:gridSpan w:val="4"/>
                  <w:noWrap w:val="0"/>
                  <w:vAlign w:val="center"/>
                </w:tcPr>
                <w:p w14:paraId="4F91C17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项目厂界外500米范围内的地下水集中式饮用水水源和热水、矿泉水、温泉等特殊地下水资源</w:t>
                  </w:r>
                </w:p>
              </w:tc>
            </w:tr>
          </w:tbl>
          <w:p w14:paraId="724B0004">
            <w:pPr>
              <w:pStyle w:val="4"/>
              <w:suppressLineNumbers w:val="0"/>
              <w:bidi w:val="0"/>
              <w:spacing w:before="0" w:beforeAutospacing="0" w:after="0" w:afterAutospacing="0"/>
              <w:ind w:left="0" w:right="0"/>
              <w:rPr>
                <w:rFonts w:hint="eastAsia"/>
              </w:rPr>
            </w:pPr>
            <w:r>
              <w:rPr>
                <w:rFonts w:hint="eastAsia"/>
              </w:rPr>
              <w:t>生态环境保护目标</w:t>
            </w:r>
          </w:p>
          <w:p w14:paraId="7DA284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0"/>
              <w:textAlignment w:val="auto"/>
              <w:rPr>
                <w:rFonts w:hint="eastAsia"/>
                <w:color w:val="auto"/>
                <w:kern w:val="0"/>
                <w:szCs w:val="21"/>
              </w:rPr>
            </w:pPr>
            <w:r>
              <w:rPr>
                <w:rFonts w:hint="eastAsia"/>
                <w:color w:val="auto"/>
                <w:sz w:val="24"/>
                <w:szCs w:val="20"/>
              </w:rPr>
              <w:t>根据《建设项目环境影响报告表编制技术指南</w:t>
            </w:r>
            <w:r>
              <w:rPr>
                <w:rFonts w:hint="eastAsia"/>
                <w:color w:val="auto"/>
                <w:sz w:val="24"/>
                <w:szCs w:val="20"/>
                <w:lang w:eastAsia="zh-CN"/>
              </w:rPr>
              <w:t>（</w:t>
            </w:r>
            <w:r>
              <w:rPr>
                <w:rFonts w:hint="eastAsia"/>
                <w:color w:val="auto"/>
                <w:sz w:val="24"/>
                <w:szCs w:val="20"/>
              </w:rPr>
              <w:t>污染影响类</w:t>
            </w:r>
            <w:r>
              <w:rPr>
                <w:rFonts w:hint="eastAsia"/>
                <w:color w:val="auto"/>
                <w:sz w:val="24"/>
                <w:szCs w:val="20"/>
                <w:lang w:eastAsia="zh-CN"/>
              </w:rPr>
              <w:t>）（</w:t>
            </w:r>
            <w:r>
              <w:rPr>
                <w:rFonts w:hint="eastAsia"/>
                <w:color w:val="auto"/>
                <w:sz w:val="24"/>
                <w:szCs w:val="20"/>
              </w:rPr>
              <w:t>试行</w:t>
            </w:r>
            <w:r>
              <w:rPr>
                <w:rFonts w:hint="eastAsia"/>
                <w:color w:val="auto"/>
                <w:sz w:val="24"/>
                <w:szCs w:val="20"/>
                <w:lang w:eastAsia="zh-CN"/>
              </w:rPr>
              <w:t>）</w:t>
            </w:r>
            <w:r>
              <w:rPr>
                <w:rFonts w:hint="eastAsia"/>
                <w:color w:val="auto"/>
                <w:sz w:val="24"/>
                <w:szCs w:val="20"/>
              </w:rPr>
              <w:t>》</w:t>
            </w:r>
            <w:r>
              <w:rPr>
                <w:rFonts w:hint="eastAsia"/>
                <w:color w:val="auto"/>
                <w:sz w:val="24"/>
                <w:szCs w:val="20"/>
                <w:lang w:eastAsia="zh-CN"/>
              </w:rPr>
              <w:t>（</w:t>
            </w:r>
            <w:r>
              <w:rPr>
                <w:rFonts w:hint="eastAsia"/>
                <w:color w:val="auto"/>
                <w:sz w:val="24"/>
                <w:szCs w:val="20"/>
              </w:rPr>
              <w:t>环办环评〔2020〕33号</w:t>
            </w:r>
            <w:r>
              <w:rPr>
                <w:rFonts w:hint="eastAsia"/>
                <w:color w:val="auto"/>
                <w:sz w:val="24"/>
                <w:szCs w:val="20"/>
                <w:lang w:eastAsia="zh-CN"/>
              </w:rPr>
              <w:t>）“</w:t>
            </w:r>
            <w:r>
              <w:rPr>
                <w:rFonts w:hint="eastAsia"/>
                <w:color w:val="auto"/>
                <w:sz w:val="24"/>
                <w:szCs w:val="20"/>
              </w:rPr>
              <w:t>产业园区外建设项目新增用地的，应明确新增用地范围内生态环境保护目标</w:t>
            </w:r>
            <w:r>
              <w:rPr>
                <w:rFonts w:hint="eastAsia"/>
                <w:color w:val="auto"/>
                <w:sz w:val="24"/>
                <w:szCs w:val="20"/>
                <w:lang w:eastAsia="zh-CN"/>
              </w:rPr>
              <w:t>”</w:t>
            </w:r>
            <w:r>
              <w:rPr>
                <w:rFonts w:hint="eastAsia"/>
                <w:color w:val="auto"/>
                <w:sz w:val="24"/>
                <w:szCs w:val="20"/>
              </w:rPr>
              <w:t>。本项目租赁</w:t>
            </w:r>
            <w:r>
              <w:rPr>
                <w:rFonts w:hint="eastAsia"/>
                <w:color w:val="auto"/>
                <w:sz w:val="24"/>
                <w:szCs w:val="20"/>
                <w:lang w:eastAsia="zh-CN"/>
              </w:rPr>
              <w:t>福清洪添科技有限公司</w:t>
            </w:r>
            <w:r>
              <w:rPr>
                <w:rFonts w:hint="eastAsia"/>
                <w:color w:val="auto"/>
                <w:sz w:val="24"/>
                <w:szCs w:val="20"/>
              </w:rPr>
              <w:t>现有厂房进行生产，无新增用地，因此无需进行新增用地范围内生态环境保护目标调查。</w:t>
            </w:r>
          </w:p>
        </w:tc>
      </w:tr>
      <w:tr w14:paraId="20AB33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800" w:type="dxa"/>
            <w:noWrap w:val="0"/>
            <w:tcMar>
              <w:left w:w="28" w:type="dxa"/>
              <w:right w:w="28" w:type="dxa"/>
            </w:tcMar>
            <w:vAlign w:val="center"/>
          </w:tcPr>
          <w:p w14:paraId="276FE27E">
            <w:pPr>
              <w:pStyle w:val="40"/>
              <w:keepNext w:val="0"/>
              <w:keepLines w:val="0"/>
              <w:suppressLineNumbers w:val="0"/>
              <w:bidi w:val="0"/>
              <w:spacing w:before="0" w:beforeAutospacing="0" w:after="0" w:afterAutospacing="0"/>
              <w:ind w:left="0" w:right="0"/>
              <w:rPr>
                <w:rFonts w:hint="eastAsia"/>
              </w:rPr>
            </w:pPr>
            <w:r>
              <w:rPr>
                <w:rFonts w:hint="eastAsia"/>
              </w:rPr>
              <w:t>污染</w:t>
            </w:r>
          </w:p>
          <w:p w14:paraId="602FC505">
            <w:pPr>
              <w:pStyle w:val="40"/>
              <w:keepNext w:val="0"/>
              <w:keepLines w:val="0"/>
              <w:suppressLineNumbers w:val="0"/>
              <w:bidi w:val="0"/>
              <w:spacing w:before="0" w:beforeAutospacing="0" w:after="0" w:afterAutospacing="0"/>
              <w:ind w:left="0" w:right="0"/>
              <w:rPr>
                <w:rFonts w:hint="eastAsia"/>
              </w:rPr>
            </w:pPr>
            <w:r>
              <w:rPr>
                <w:rFonts w:hint="eastAsia"/>
              </w:rPr>
              <w:t>物排</w:t>
            </w:r>
          </w:p>
          <w:p w14:paraId="07C68A9B">
            <w:pPr>
              <w:pStyle w:val="40"/>
              <w:keepNext w:val="0"/>
              <w:keepLines w:val="0"/>
              <w:suppressLineNumbers w:val="0"/>
              <w:bidi w:val="0"/>
              <w:spacing w:before="0" w:beforeAutospacing="0" w:after="0" w:afterAutospacing="0"/>
              <w:ind w:left="0" w:right="0"/>
              <w:rPr>
                <w:rFonts w:hint="eastAsia"/>
              </w:rPr>
            </w:pPr>
            <w:r>
              <w:rPr>
                <w:rFonts w:hint="eastAsia"/>
              </w:rPr>
              <w:t>放控</w:t>
            </w:r>
          </w:p>
          <w:p w14:paraId="391A640B">
            <w:pPr>
              <w:pStyle w:val="40"/>
              <w:keepNext w:val="0"/>
              <w:keepLines w:val="0"/>
              <w:suppressLineNumbers w:val="0"/>
              <w:bidi w:val="0"/>
              <w:spacing w:before="0" w:beforeAutospacing="0" w:after="0" w:afterAutospacing="0"/>
              <w:ind w:left="0" w:right="0"/>
              <w:rPr>
                <w:rFonts w:hint="eastAsia"/>
              </w:rPr>
            </w:pPr>
            <w:r>
              <w:rPr>
                <w:rFonts w:hint="eastAsia"/>
              </w:rPr>
              <w:t>制标</w:t>
            </w:r>
          </w:p>
          <w:p w14:paraId="3921158B">
            <w:pPr>
              <w:pStyle w:val="40"/>
              <w:keepNext w:val="0"/>
              <w:keepLines w:val="0"/>
              <w:suppressLineNumbers w:val="0"/>
              <w:bidi w:val="0"/>
              <w:spacing w:before="0" w:beforeAutospacing="0" w:after="0" w:afterAutospacing="0"/>
              <w:ind w:left="0" w:right="0"/>
              <w:rPr>
                <w:rFonts w:hint="eastAsia"/>
              </w:rPr>
            </w:pPr>
            <w:r>
              <w:rPr>
                <w:rFonts w:hint="eastAsia"/>
              </w:rPr>
              <w:t>准</w:t>
            </w:r>
          </w:p>
        </w:tc>
        <w:tc>
          <w:tcPr>
            <w:tcW w:w="8190" w:type="dxa"/>
            <w:noWrap w:val="0"/>
            <w:vAlign w:val="center"/>
          </w:tcPr>
          <w:p w14:paraId="1AA75EDC">
            <w:pPr>
              <w:pStyle w:val="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污染物排放标准</w:t>
            </w:r>
          </w:p>
          <w:p w14:paraId="60BEDB74">
            <w:pPr>
              <w:pStyle w:val="4"/>
              <w:suppressLineNumbers w:val="0"/>
              <w:bidi w:val="0"/>
              <w:spacing w:before="0" w:beforeAutospacing="0" w:after="0" w:afterAutospacing="0"/>
              <w:ind w:left="0" w:right="0"/>
              <w:rPr>
                <w:rFonts w:hint="eastAsia"/>
                <w:lang w:val="en-US" w:eastAsia="zh-CN"/>
              </w:rPr>
            </w:pPr>
            <w:r>
              <w:rPr>
                <w:rFonts w:hint="eastAsia"/>
                <w:lang w:val="en-US" w:eastAsia="zh-CN"/>
              </w:rPr>
              <w:t>水污染物排放标准</w:t>
            </w:r>
          </w:p>
          <w:p w14:paraId="08A4D825">
            <w:pPr>
              <w:keepNext w:val="0"/>
              <w:keepLines w:val="0"/>
              <w:suppressLineNumbers w:val="0"/>
              <w:bidi w:val="0"/>
              <w:spacing w:before="0" w:beforeAutospacing="0" w:after="0" w:afterAutospacing="0"/>
              <w:ind w:left="0" w:right="0"/>
              <w:rPr>
                <w:rFonts w:hint="default"/>
                <w:lang w:val="en-US" w:eastAsia="zh-CN"/>
              </w:rPr>
            </w:pPr>
            <w:r>
              <w:rPr>
                <w:rFonts w:hint="eastAsia"/>
                <w:lang w:eastAsia="zh-CN"/>
              </w:rPr>
              <w:t>（</w:t>
            </w:r>
            <w:r>
              <w:rPr>
                <w:rFonts w:hint="eastAsia"/>
                <w:lang w:val="en-US" w:eastAsia="zh-CN"/>
              </w:rPr>
              <w:t>1</w:t>
            </w:r>
            <w:r>
              <w:rPr>
                <w:rFonts w:hint="eastAsia"/>
                <w:lang w:eastAsia="zh-CN"/>
              </w:rPr>
              <w:t>）</w:t>
            </w:r>
            <w:r>
              <w:rPr>
                <w:rFonts w:hint="eastAsia"/>
                <w:lang w:val="en-US" w:eastAsia="zh-CN"/>
              </w:rPr>
              <w:t>项目水污染物排放标准</w:t>
            </w:r>
          </w:p>
          <w:p w14:paraId="0C9542F0">
            <w:pPr>
              <w:keepNext w:val="0"/>
              <w:keepLines w:val="0"/>
              <w:suppressLineNumbers w:val="0"/>
              <w:bidi w:val="0"/>
              <w:spacing w:before="0" w:beforeAutospacing="0" w:after="0" w:afterAutospacing="0"/>
              <w:ind w:left="0" w:right="0"/>
              <w:rPr>
                <w:rFonts w:hint="eastAsia"/>
                <w:color w:val="auto"/>
              </w:rPr>
            </w:pPr>
            <w:r>
              <w:rPr>
                <w:rFonts w:hint="eastAsia"/>
              </w:rPr>
              <w:t>项目外排废水为职工生活污水，生活污水经厂内</w:t>
            </w:r>
            <w:r>
              <w:rPr>
                <w:rFonts w:hint="eastAsia"/>
                <w:lang w:val="en-US" w:eastAsia="zh-CN"/>
              </w:rPr>
              <w:t>化粪池</w:t>
            </w:r>
            <w:r>
              <w:rPr>
                <w:rFonts w:hint="eastAsia"/>
              </w:rPr>
              <w:t>处理后</w:t>
            </w:r>
            <w:r>
              <w:rPr>
                <w:rFonts w:hint="default"/>
                <w:lang w:val="en-US" w:eastAsia="zh-CN"/>
              </w:rPr>
              <w:t>排入市政污水管网</w:t>
            </w:r>
            <w:r>
              <w:rPr>
                <w:rFonts w:hint="eastAsia"/>
              </w:rPr>
              <w:t>接</w:t>
            </w:r>
            <w:r>
              <w:rPr>
                <w:rFonts w:hint="eastAsia"/>
                <w:lang w:val="en-US" w:eastAsia="zh-CN"/>
              </w:rPr>
              <w:t>福清市</w:t>
            </w:r>
            <w:r>
              <w:rPr>
                <w:rFonts w:hint="eastAsia"/>
              </w:rPr>
              <w:t>融元污水处理厂统一处理</w:t>
            </w:r>
            <w:r>
              <w:rPr>
                <w:rFonts w:hint="eastAsia"/>
                <w:lang w:val="en-US" w:eastAsia="zh-CN"/>
              </w:rPr>
              <w:t>，引至融元污水处理厂集中处理后，污水处理厂尾水最终排入龙江。生活</w:t>
            </w:r>
            <w:r>
              <w:rPr>
                <w:rFonts w:hint="eastAsia"/>
              </w:rPr>
              <w:t>污水污染物排放均执行《污水综合排放标准》</w:t>
            </w:r>
            <w:r>
              <w:rPr>
                <w:rFonts w:hint="eastAsia"/>
                <w:lang w:eastAsia="zh-CN"/>
              </w:rPr>
              <w:t>（</w:t>
            </w:r>
            <w:r>
              <w:rPr>
                <w:rFonts w:hint="eastAsia"/>
              </w:rPr>
              <w:t>GB8978-1996</w:t>
            </w:r>
            <w:r>
              <w:rPr>
                <w:rFonts w:hint="eastAsia"/>
                <w:lang w:eastAsia="zh-CN"/>
              </w:rPr>
              <w:t>）</w:t>
            </w:r>
            <w:r>
              <w:rPr>
                <w:rFonts w:hint="eastAsia"/>
              </w:rPr>
              <w:t>表4中三级排放标准</w:t>
            </w:r>
            <w:r>
              <w:rPr>
                <w:rFonts w:hint="eastAsia"/>
                <w:lang w:eastAsia="zh-CN"/>
              </w:rPr>
              <w:t>（</w:t>
            </w:r>
            <w:r>
              <w:rPr>
                <w:rFonts w:hint="eastAsia"/>
              </w:rPr>
              <w:t>其中氨氮</w:t>
            </w:r>
            <w:r>
              <w:rPr>
                <w:rFonts w:hint="eastAsia"/>
                <w:lang w:eastAsia="zh-CN"/>
              </w:rPr>
              <w:t>参照</w:t>
            </w:r>
            <w:r>
              <w:rPr>
                <w:rFonts w:hint="eastAsia"/>
              </w:rPr>
              <w:t>执行《污水排入城镇下水道水质标准》</w:t>
            </w:r>
            <w:r>
              <w:rPr>
                <w:rFonts w:hint="eastAsia"/>
                <w:lang w:eastAsia="zh-CN"/>
              </w:rPr>
              <w:t>（</w:t>
            </w:r>
            <w:r>
              <w:rPr>
                <w:rFonts w:hint="eastAsia"/>
              </w:rPr>
              <w:t>GB/T31962-2015</w:t>
            </w:r>
            <w:r>
              <w:rPr>
                <w:rFonts w:hint="eastAsia"/>
                <w:lang w:eastAsia="zh-CN"/>
              </w:rPr>
              <w:t>）</w:t>
            </w:r>
            <w:r>
              <w:rPr>
                <w:rFonts w:hint="eastAsia"/>
              </w:rPr>
              <w:t>表1中B级标准</w:t>
            </w:r>
            <w:r>
              <w:rPr>
                <w:rFonts w:hint="eastAsia"/>
                <w:lang w:eastAsia="zh-CN"/>
              </w:rPr>
              <w:t>）</w:t>
            </w:r>
            <w:r>
              <w:rPr>
                <w:rFonts w:hint="eastAsia"/>
              </w:rPr>
              <w:t>，标准值见表3.7-1。</w:t>
            </w:r>
          </w:p>
          <w:p w14:paraId="325494D4">
            <w:pPr>
              <w:pStyle w:val="39"/>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表3.7-1  项目水污染物排放标准</w:t>
            </w:r>
          </w:p>
          <w:tbl>
            <w:tblPr>
              <w:tblStyle w:val="29"/>
              <w:tblW w:w="487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93"/>
              <w:gridCol w:w="2243"/>
              <w:gridCol w:w="4053"/>
            </w:tblGrid>
            <w:tr w14:paraId="22B097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6" w:type="pct"/>
                  <w:noWrap w:val="0"/>
                  <w:vAlign w:val="center"/>
                </w:tcPr>
                <w:p w14:paraId="044336D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污染物名称</w:t>
                  </w:r>
                </w:p>
              </w:tc>
              <w:tc>
                <w:tcPr>
                  <w:tcW w:w="1369" w:type="pct"/>
                  <w:noWrap w:val="0"/>
                  <w:vAlign w:val="center"/>
                </w:tcPr>
                <w:p w14:paraId="3E5A044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标准值</w:t>
                  </w:r>
                </w:p>
              </w:tc>
              <w:tc>
                <w:tcPr>
                  <w:tcW w:w="2474" w:type="pct"/>
                  <w:noWrap w:val="0"/>
                  <w:vAlign w:val="center"/>
                </w:tcPr>
                <w:p w14:paraId="1FC82A7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标准来源</w:t>
                  </w:r>
                </w:p>
              </w:tc>
            </w:tr>
            <w:tr w14:paraId="5C851B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6" w:type="pct"/>
                  <w:noWrap w:val="0"/>
                  <w:vAlign w:val="center"/>
                </w:tcPr>
                <w:p w14:paraId="03FA485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pH</w:t>
                  </w:r>
                </w:p>
              </w:tc>
              <w:tc>
                <w:tcPr>
                  <w:tcW w:w="1369" w:type="pct"/>
                  <w:noWrap w:val="0"/>
                  <w:vAlign w:val="center"/>
                </w:tcPr>
                <w:p w14:paraId="3AB36CC4">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rPr>
                    <w:t xml:space="preserve">6～9 </w:t>
                  </w:r>
                  <w:r>
                    <w:rPr>
                      <w:rFonts w:hint="eastAsia"/>
                      <w:szCs w:val="22"/>
                      <w:lang w:eastAsia="zh-CN"/>
                    </w:rPr>
                    <w:t>（</w:t>
                  </w:r>
                  <w:r>
                    <w:rPr>
                      <w:rFonts w:hint="eastAsia"/>
                      <w:szCs w:val="22"/>
                    </w:rPr>
                    <w:t>无量纲</w:t>
                  </w:r>
                  <w:r>
                    <w:rPr>
                      <w:rFonts w:hint="eastAsia"/>
                      <w:szCs w:val="22"/>
                      <w:lang w:eastAsia="zh-CN"/>
                    </w:rPr>
                    <w:t>）</w:t>
                  </w:r>
                </w:p>
              </w:tc>
              <w:tc>
                <w:tcPr>
                  <w:tcW w:w="2474" w:type="pct"/>
                  <w:vMerge w:val="restart"/>
                  <w:noWrap w:val="0"/>
                  <w:vAlign w:val="center"/>
                </w:tcPr>
                <w:p w14:paraId="2F47AA54">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rPr>
                    <w:t>《污水综合排放标准》</w:t>
                  </w:r>
                  <w:r>
                    <w:rPr>
                      <w:rFonts w:hint="eastAsia"/>
                      <w:szCs w:val="22"/>
                      <w:lang w:eastAsia="zh-CN"/>
                    </w:rPr>
                    <w:t>（</w:t>
                  </w:r>
                  <w:r>
                    <w:rPr>
                      <w:rFonts w:hint="eastAsia"/>
                      <w:szCs w:val="22"/>
                    </w:rPr>
                    <w:t>GB8978-1996</w:t>
                  </w:r>
                  <w:r>
                    <w:rPr>
                      <w:rFonts w:hint="eastAsia"/>
                      <w:szCs w:val="22"/>
                      <w:lang w:eastAsia="zh-CN"/>
                    </w:rPr>
                    <w:t>）</w:t>
                  </w:r>
                </w:p>
                <w:p w14:paraId="6D6A313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中表4三级标准</w:t>
                  </w:r>
                </w:p>
              </w:tc>
            </w:tr>
            <w:tr w14:paraId="04A8D1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6" w:type="pct"/>
                  <w:noWrap w:val="0"/>
                  <w:vAlign w:val="center"/>
                </w:tcPr>
                <w:p w14:paraId="68FB747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COD</w:t>
                  </w:r>
                </w:p>
              </w:tc>
              <w:tc>
                <w:tcPr>
                  <w:tcW w:w="1369" w:type="pct"/>
                  <w:noWrap w:val="0"/>
                  <w:vAlign w:val="center"/>
                </w:tcPr>
                <w:p w14:paraId="69F5C26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500mg/L</w:t>
                  </w:r>
                </w:p>
              </w:tc>
              <w:tc>
                <w:tcPr>
                  <w:tcW w:w="2474" w:type="pct"/>
                  <w:vMerge w:val="continue"/>
                  <w:noWrap w:val="0"/>
                  <w:vAlign w:val="center"/>
                </w:tcPr>
                <w:p w14:paraId="4E58BB42">
                  <w:pPr>
                    <w:pStyle w:val="38"/>
                    <w:keepNext w:val="0"/>
                    <w:keepLines w:val="0"/>
                    <w:widowControl/>
                    <w:suppressLineNumbers w:val="0"/>
                    <w:bidi w:val="0"/>
                    <w:spacing w:before="0" w:beforeAutospacing="0" w:after="0" w:afterAutospacing="0"/>
                    <w:ind w:left="0" w:right="0"/>
                    <w:rPr>
                      <w:rFonts w:hint="eastAsia"/>
                      <w:szCs w:val="22"/>
                    </w:rPr>
                  </w:pPr>
                </w:p>
              </w:tc>
            </w:tr>
            <w:tr w14:paraId="6FAB3F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6" w:type="pct"/>
                  <w:noWrap w:val="0"/>
                  <w:vAlign w:val="center"/>
                </w:tcPr>
                <w:p w14:paraId="0F582BC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BOD5</w:t>
                  </w:r>
                </w:p>
              </w:tc>
              <w:tc>
                <w:tcPr>
                  <w:tcW w:w="1369" w:type="pct"/>
                  <w:noWrap w:val="0"/>
                  <w:vAlign w:val="center"/>
                </w:tcPr>
                <w:p w14:paraId="3340596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300mg/L</w:t>
                  </w:r>
                </w:p>
              </w:tc>
              <w:tc>
                <w:tcPr>
                  <w:tcW w:w="2474" w:type="pct"/>
                  <w:vMerge w:val="continue"/>
                  <w:noWrap w:val="0"/>
                  <w:vAlign w:val="center"/>
                </w:tcPr>
                <w:p w14:paraId="1AC46D03">
                  <w:pPr>
                    <w:pStyle w:val="38"/>
                    <w:keepNext w:val="0"/>
                    <w:keepLines w:val="0"/>
                    <w:widowControl/>
                    <w:suppressLineNumbers w:val="0"/>
                    <w:bidi w:val="0"/>
                    <w:spacing w:before="0" w:beforeAutospacing="0" w:after="0" w:afterAutospacing="0"/>
                    <w:ind w:left="0" w:right="0"/>
                    <w:rPr>
                      <w:rFonts w:hint="eastAsia"/>
                      <w:szCs w:val="22"/>
                    </w:rPr>
                  </w:pPr>
                </w:p>
              </w:tc>
            </w:tr>
            <w:tr w14:paraId="6C0D36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156" w:type="pct"/>
                  <w:noWrap w:val="0"/>
                  <w:vAlign w:val="center"/>
                </w:tcPr>
                <w:p w14:paraId="7E3206B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SS</w:t>
                  </w:r>
                </w:p>
              </w:tc>
              <w:tc>
                <w:tcPr>
                  <w:tcW w:w="1369" w:type="pct"/>
                  <w:noWrap w:val="0"/>
                  <w:vAlign w:val="center"/>
                </w:tcPr>
                <w:p w14:paraId="2F646AD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400mg/L</w:t>
                  </w:r>
                </w:p>
              </w:tc>
              <w:tc>
                <w:tcPr>
                  <w:tcW w:w="2474" w:type="pct"/>
                  <w:vMerge w:val="continue"/>
                  <w:noWrap w:val="0"/>
                  <w:vAlign w:val="center"/>
                </w:tcPr>
                <w:p w14:paraId="790DD439">
                  <w:pPr>
                    <w:pStyle w:val="38"/>
                    <w:keepNext w:val="0"/>
                    <w:keepLines w:val="0"/>
                    <w:widowControl/>
                    <w:suppressLineNumbers w:val="0"/>
                    <w:bidi w:val="0"/>
                    <w:spacing w:before="0" w:beforeAutospacing="0" w:after="0" w:afterAutospacing="0"/>
                    <w:ind w:left="0" w:right="0"/>
                    <w:rPr>
                      <w:rFonts w:hint="eastAsia"/>
                      <w:szCs w:val="22"/>
                    </w:rPr>
                  </w:pPr>
                </w:p>
              </w:tc>
            </w:tr>
            <w:tr w14:paraId="1F6992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6" w:type="pct"/>
                  <w:noWrap w:val="0"/>
                  <w:vAlign w:val="center"/>
                </w:tcPr>
                <w:p w14:paraId="7D46528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NH3-N</w:t>
                  </w:r>
                </w:p>
              </w:tc>
              <w:tc>
                <w:tcPr>
                  <w:tcW w:w="1369" w:type="pct"/>
                  <w:noWrap w:val="0"/>
                  <w:vAlign w:val="center"/>
                </w:tcPr>
                <w:p w14:paraId="340E03A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45mg/L</w:t>
                  </w:r>
                </w:p>
              </w:tc>
              <w:tc>
                <w:tcPr>
                  <w:tcW w:w="2474" w:type="pct"/>
                  <w:noWrap w:val="0"/>
                  <w:vAlign w:val="center"/>
                </w:tcPr>
                <w:p w14:paraId="73FF12C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参照执行《污水排入城镇下水道水质标准》</w:t>
                  </w:r>
                  <w:r>
                    <w:rPr>
                      <w:rFonts w:hint="eastAsia"/>
                      <w:szCs w:val="22"/>
                      <w:lang w:eastAsia="zh-CN"/>
                    </w:rPr>
                    <w:t>（</w:t>
                  </w:r>
                  <w:r>
                    <w:rPr>
                      <w:rFonts w:hint="eastAsia"/>
                      <w:szCs w:val="22"/>
                    </w:rPr>
                    <w:t>GB/T 31962-2015</w:t>
                  </w:r>
                  <w:r>
                    <w:rPr>
                      <w:rFonts w:hint="eastAsia"/>
                      <w:szCs w:val="22"/>
                      <w:lang w:eastAsia="zh-CN"/>
                    </w:rPr>
                    <w:t>）</w:t>
                  </w:r>
                  <w:r>
                    <w:rPr>
                      <w:rFonts w:hint="eastAsia"/>
                      <w:szCs w:val="22"/>
                    </w:rPr>
                    <w:t>表1中B级标准</w:t>
                  </w:r>
                </w:p>
              </w:tc>
            </w:tr>
          </w:tbl>
          <w:p w14:paraId="596B3B1F">
            <w:pPr>
              <w:keepNext w:val="0"/>
              <w:keepLines w:val="0"/>
              <w:suppressLineNumbers w:val="0"/>
              <w:bidi w:val="0"/>
              <w:spacing w:before="0" w:beforeAutospacing="0" w:after="0" w:afterAutospacing="0"/>
              <w:ind w:left="0" w:right="0"/>
              <w:rPr>
                <w:rFonts w:hint="eastAsia"/>
              </w:rPr>
            </w:pPr>
            <w:bookmarkStart w:id="24" w:name="_Toc461002554"/>
            <w:bookmarkStart w:id="25" w:name="_Toc492278611"/>
            <w:bookmarkStart w:id="26" w:name="_Toc7698"/>
            <w:bookmarkStart w:id="27" w:name="_Toc490031198"/>
            <w:r>
              <w:rPr>
                <w:rFonts w:hint="eastAsia"/>
                <w:lang w:eastAsia="zh-CN"/>
              </w:rPr>
              <w:t>（</w:t>
            </w:r>
            <w:r>
              <w:rPr>
                <w:rFonts w:hint="eastAsia"/>
                <w:lang w:val="en-US" w:eastAsia="zh-CN"/>
              </w:rPr>
              <w:t>2</w:t>
            </w:r>
            <w:r>
              <w:rPr>
                <w:rFonts w:hint="eastAsia"/>
                <w:lang w:eastAsia="zh-CN"/>
              </w:rPr>
              <w:t>）污水处理厂</w:t>
            </w:r>
            <w:r>
              <w:rPr>
                <w:rFonts w:hint="eastAsia"/>
              </w:rPr>
              <w:t>排放标准</w:t>
            </w:r>
          </w:p>
          <w:bookmarkEnd w:id="24"/>
          <w:bookmarkEnd w:id="25"/>
          <w:bookmarkEnd w:id="26"/>
          <w:bookmarkEnd w:id="27"/>
          <w:p w14:paraId="63A6CF28">
            <w:pPr>
              <w:keepNext w:val="0"/>
              <w:keepLines w:val="0"/>
              <w:suppressLineNumbers w:val="0"/>
              <w:bidi w:val="0"/>
              <w:spacing w:before="0" w:beforeAutospacing="0" w:after="0" w:afterAutospacing="0"/>
              <w:ind w:left="0" w:right="0"/>
              <w:rPr>
                <w:rFonts w:hint="eastAsia"/>
              </w:rPr>
            </w:pPr>
            <w:r>
              <w:rPr>
                <w:rFonts w:hint="eastAsia"/>
              </w:rPr>
              <w:t>根据调查，福清市融元污水处理厂尾水排放执行《城镇污水处理厂污染物排放标准》</w:t>
            </w:r>
            <w:r>
              <w:rPr>
                <w:rFonts w:hint="eastAsia"/>
                <w:lang w:eastAsia="zh-CN"/>
              </w:rPr>
              <w:t>（</w:t>
            </w:r>
            <w:r>
              <w:rPr>
                <w:rFonts w:hint="eastAsia"/>
              </w:rPr>
              <w:t>GB18918-2002</w:t>
            </w:r>
            <w:r>
              <w:rPr>
                <w:rFonts w:hint="eastAsia"/>
                <w:lang w:eastAsia="zh-CN"/>
              </w:rPr>
              <w:t>）</w:t>
            </w:r>
            <w:r>
              <w:rPr>
                <w:rFonts w:hint="eastAsia"/>
              </w:rPr>
              <w:t>及其修改单表1的一级标准A标准，具体详见表3.7-2。</w:t>
            </w:r>
          </w:p>
          <w:p w14:paraId="6A0C10D7">
            <w:pPr>
              <w:pStyle w:val="39"/>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表3.7-2  污水处理厂污水排放标准</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79"/>
              <w:gridCol w:w="2596"/>
              <w:gridCol w:w="3816"/>
            </w:tblGrid>
            <w:tr w14:paraId="3C9484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779" w:type="dxa"/>
                  <w:noWrap w:val="0"/>
                  <w:vAlign w:val="center"/>
                </w:tcPr>
                <w:p w14:paraId="5755983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污染物名称</w:t>
                  </w:r>
                </w:p>
              </w:tc>
              <w:tc>
                <w:tcPr>
                  <w:tcW w:w="2596" w:type="dxa"/>
                  <w:noWrap w:val="0"/>
                  <w:vAlign w:val="center"/>
                </w:tcPr>
                <w:p w14:paraId="62BCA20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一级标准A标准限值</w:t>
                  </w:r>
                </w:p>
              </w:tc>
              <w:tc>
                <w:tcPr>
                  <w:tcW w:w="3816" w:type="dxa"/>
                  <w:noWrap w:val="0"/>
                  <w:vAlign w:val="center"/>
                </w:tcPr>
                <w:p w14:paraId="4E07AA7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标准来源</w:t>
                  </w:r>
                </w:p>
              </w:tc>
            </w:tr>
            <w:tr w14:paraId="2B76BA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779" w:type="dxa"/>
                  <w:noWrap w:val="0"/>
                  <w:vAlign w:val="center"/>
                </w:tcPr>
                <w:p w14:paraId="0737DDE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pH</w:t>
                  </w:r>
                </w:p>
              </w:tc>
              <w:tc>
                <w:tcPr>
                  <w:tcW w:w="2596" w:type="dxa"/>
                  <w:noWrap w:val="0"/>
                  <w:vAlign w:val="center"/>
                </w:tcPr>
                <w:p w14:paraId="06CB8004">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rPr>
                    <w:t xml:space="preserve">6～9 </w:t>
                  </w:r>
                  <w:r>
                    <w:rPr>
                      <w:rFonts w:hint="eastAsia"/>
                      <w:szCs w:val="22"/>
                      <w:lang w:eastAsia="zh-CN"/>
                    </w:rPr>
                    <w:t>（</w:t>
                  </w:r>
                  <w:r>
                    <w:rPr>
                      <w:rFonts w:hint="eastAsia"/>
                      <w:szCs w:val="22"/>
                    </w:rPr>
                    <w:t>无量纲</w:t>
                  </w:r>
                  <w:r>
                    <w:rPr>
                      <w:rFonts w:hint="eastAsia"/>
                      <w:szCs w:val="22"/>
                      <w:lang w:eastAsia="zh-CN"/>
                    </w:rPr>
                    <w:t>）</w:t>
                  </w:r>
                </w:p>
              </w:tc>
              <w:tc>
                <w:tcPr>
                  <w:tcW w:w="3816" w:type="dxa"/>
                  <w:vMerge w:val="restart"/>
                  <w:noWrap w:val="0"/>
                  <w:vAlign w:val="center"/>
                </w:tcPr>
                <w:p w14:paraId="3BBB7BA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《城镇污水处理厂污染物排放标准》</w:t>
                  </w:r>
                  <w:r>
                    <w:rPr>
                      <w:rFonts w:hint="eastAsia"/>
                      <w:szCs w:val="22"/>
                      <w:lang w:eastAsia="zh-CN"/>
                    </w:rPr>
                    <w:t>（</w:t>
                  </w:r>
                  <w:r>
                    <w:rPr>
                      <w:rFonts w:hint="eastAsia"/>
                      <w:szCs w:val="22"/>
                    </w:rPr>
                    <w:t>GB18918-2002</w:t>
                  </w:r>
                  <w:r>
                    <w:rPr>
                      <w:rFonts w:hint="eastAsia"/>
                      <w:szCs w:val="22"/>
                      <w:lang w:eastAsia="zh-CN"/>
                    </w:rPr>
                    <w:t>）</w:t>
                  </w:r>
                  <w:r>
                    <w:rPr>
                      <w:rFonts w:hint="eastAsia"/>
                      <w:szCs w:val="22"/>
                    </w:rPr>
                    <w:t>及其修改单表1的一级标准A标准</w:t>
                  </w:r>
                </w:p>
              </w:tc>
            </w:tr>
            <w:tr w14:paraId="1B5B94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779" w:type="dxa"/>
                  <w:noWrap w:val="0"/>
                  <w:vAlign w:val="center"/>
                </w:tcPr>
                <w:p w14:paraId="48FDABE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COD</w:t>
                  </w:r>
                </w:p>
              </w:tc>
              <w:tc>
                <w:tcPr>
                  <w:tcW w:w="2596" w:type="dxa"/>
                  <w:noWrap w:val="0"/>
                  <w:vAlign w:val="center"/>
                </w:tcPr>
                <w:p w14:paraId="43D1E31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50mg/L</w:t>
                  </w:r>
                </w:p>
              </w:tc>
              <w:tc>
                <w:tcPr>
                  <w:tcW w:w="3816" w:type="dxa"/>
                  <w:vMerge w:val="continue"/>
                  <w:noWrap w:val="0"/>
                  <w:vAlign w:val="center"/>
                </w:tcPr>
                <w:p w14:paraId="2E8EA10B">
                  <w:pPr>
                    <w:pStyle w:val="38"/>
                    <w:keepNext w:val="0"/>
                    <w:keepLines w:val="0"/>
                    <w:widowControl/>
                    <w:suppressLineNumbers w:val="0"/>
                    <w:bidi w:val="0"/>
                    <w:spacing w:before="0" w:beforeAutospacing="0" w:after="0" w:afterAutospacing="0"/>
                    <w:ind w:left="0" w:right="0"/>
                    <w:rPr>
                      <w:rFonts w:hint="eastAsia"/>
                      <w:szCs w:val="22"/>
                    </w:rPr>
                  </w:pPr>
                </w:p>
              </w:tc>
            </w:tr>
            <w:tr w14:paraId="2E7C0E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779" w:type="dxa"/>
                  <w:noWrap w:val="0"/>
                  <w:vAlign w:val="center"/>
                </w:tcPr>
                <w:p w14:paraId="4781135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BOD</w:t>
                  </w:r>
                  <w:r>
                    <w:rPr>
                      <w:rFonts w:hint="eastAsia"/>
                      <w:szCs w:val="22"/>
                      <w:vertAlign w:val="subscript"/>
                    </w:rPr>
                    <w:t>5</w:t>
                  </w:r>
                </w:p>
              </w:tc>
              <w:tc>
                <w:tcPr>
                  <w:tcW w:w="2596" w:type="dxa"/>
                  <w:noWrap w:val="0"/>
                  <w:vAlign w:val="center"/>
                </w:tcPr>
                <w:p w14:paraId="0D5726B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10mg/L</w:t>
                  </w:r>
                </w:p>
              </w:tc>
              <w:tc>
                <w:tcPr>
                  <w:tcW w:w="3816" w:type="dxa"/>
                  <w:vMerge w:val="continue"/>
                  <w:noWrap w:val="0"/>
                  <w:vAlign w:val="center"/>
                </w:tcPr>
                <w:p w14:paraId="4D2E47E3">
                  <w:pPr>
                    <w:pStyle w:val="38"/>
                    <w:keepNext w:val="0"/>
                    <w:keepLines w:val="0"/>
                    <w:widowControl/>
                    <w:suppressLineNumbers w:val="0"/>
                    <w:bidi w:val="0"/>
                    <w:spacing w:before="0" w:beforeAutospacing="0" w:after="0" w:afterAutospacing="0"/>
                    <w:ind w:left="0" w:right="0"/>
                    <w:rPr>
                      <w:rFonts w:hint="eastAsia"/>
                      <w:szCs w:val="22"/>
                    </w:rPr>
                  </w:pPr>
                </w:p>
              </w:tc>
            </w:tr>
            <w:tr w14:paraId="684D44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779" w:type="dxa"/>
                  <w:noWrap w:val="0"/>
                  <w:vAlign w:val="center"/>
                </w:tcPr>
                <w:p w14:paraId="1AAF991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SS</w:t>
                  </w:r>
                </w:p>
              </w:tc>
              <w:tc>
                <w:tcPr>
                  <w:tcW w:w="2596" w:type="dxa"/>
                  <w:noWrap w:val="0"/>
                  <w:vAlign w:val="center"/>
                </w:tcPr>
                <w:p w14:paraId="68B299B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10mg/L</w:t>
                  </w:r>
                </w:p>
              </w:tc>
              <w:tc>
                <w:tcPr>
                  <w:tcW w:w="3816" w:type="dxa"/>
                  <w:vMerge w:val="continue"/>
                  <w:noWrap w:val="0"/>
                  <w:vAlign w:val="center"/>
                </w:tcPr>
                <w:p w14:paraId="32828268">
                  <w:pPr>
                    <w:pStyle w:val="38"/>
                    <w:keepNext w:val="0"/>
                    <w:keepLines w:val="0"/>
                    <w:widowControl/>
                    <w:suppressLineNumbers w:val="0"/>
                    <w:bidi w:val="0"/>
                    <w:spacing w:before="0" w:beforeAutospacing="0" w:after="0" w:afterAutospacing="0"/>
                    <w:ind w:left="0" w:right="0"/>
                    <w:rPr>
                      <w:rFonts w:hint="eastAsia"/>
                      <w:szCs w:val="22"/>
                    </w:rPr>
                  </w:pPr>
                </w:p>
              </w:tc>
            </w:tr>
            <w:tr w14:paraId="6D15E2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779" w:type="dxa"/>
                  <w:noWrap w:val="0"/>
                  <w:vAlign w:val="center"/>
                </w:tcPr>
                <w:p w14:paraId="09634F6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NH</w:t>
                  </w:r>
                  <w:r>
                    <w:rPr>
                      <w:rFonts w:hint="eastAsia"/>
                      <w:szCs w:val="22"/>
                      <w:vertAlign w:val="subscript"/>
                    </w:rPr>
                    <w:t>3</w:t>
                  </w:r>
                  <w:r>
                    <w:rPr>
                      <w:rFonts w:hint="eastAsia"/>
                      <w:szCs w:val="22"/>
                    </w:rPr>
                    <w:t>-N</w:t>
                  </w:r>
                </w:p>
              </w:tc>
              <w:tc>
                <w:tcPr>
                  <w:tcW w:w="2596" w:type="dxa"/>
                  <w:noWrap w:val="0"/>
                  <w:vAlign w:val="center"/>
                </w:tcPr>
                <w:p w14:paraId="69AE3EB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5mg/L</w:t>
                  </w:r>
                </w:p>
              </w:tc>
              <w:tc>
                <w:tcPr>
                  <w:tcW w:w="3816" w:type="dxa"/>
                  <w:vMerge w:val="continue"/>
                  <w:noWrap w:val="0"/>
                  <w:vAlign w:val="center"/>
                </w:tcPr>
                <w:p w14:paraId="74BB9E49">
                  <w:pPr>
                    <w:pStyle w:val="38"/>
                    <w:keepNext w:val="0"/>
                    <w:keepLines w:val="0"/>
                    <w:widowControl/>
                    <w:suppressLineNumbers w:val="0"/>
                    <w:bidi w:val="0"/>
                    <w:spacing w:before="0" w:beforeAutospacing="0" w:after="0" w:afterAutospacing="0"/>
                    <w:ind w:left="0" w:right="0"/>
                    <w:rPr>
                      <w:rFonts w:hint="eastAsia"/>
                      <w:szCs w:val="22"/>
                    </w:rPr>
                  </w:pPr>
                </w:p>
              </w:tc>
            </w:tr>
          </w:tbl>
          <w:p w14:paraId="4AB999AE">
            <w:pPr>
              <w:pStyle w:val="4"/>
              <w:suppressLineNumbers w:val="0"/>
              <w:bidi w:val="0"/>
              <w:spacing w:before="0" w:beforeAutospacing="0" w:after="0" w:afterAutospacing="0"/>
              <w:ind w:left="0" w:right="0"/>
              <w:rPr>
                <w:rFonts w:hint="eastAsia"/>
                <w:lang w:val="en-US" w:eastAsia="zh-CN"/>
              </w:rPr>
            </w:pPr>
            <w:r>
              <w:rPr>
                <w:rFonts w:hint="eastAsia"/>
                <w:lang w:val="en-US" w:eastAsia="zh-CN"/>
              </w:rPr>
              <w:t>大气污染物排放标准</w:t>
            </w:r>
          </w:p>
          <w:p w14:paraId="3DD7373C">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本项目运营期产生的废气主要来自喷漆、烘干、加烤的非甲烷总烃及颗粒物。</w:t>
            </w:r>
          </w:p>
          <w:p w14:paraId="29093CB0">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（1）有组织排放</w:t>
            </w:r>
          </w:p>
          <w:p w14:paraId="55A53C58">
            <w:pPr>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本项目产生的非甲烷总烃有组织排放执行</w:t>
            </w:r>
            <w:r>
              <w:rPr>
                <w:rFonts w:hint="default"/>
                <w:lang w:val="en-US" w:eastAsia="zh-CN"/>
              </w:rPr>
              <w:t>《工业涂装工序挥发性有机物排放标准》（DB35/1783-2018）中表1标准中的涉涂装工序的其它行业</w:t>
            </w:r>
            <w:r>
              <w:rPr>
                <w:rFonts w:hint="eastAsia"/>
                <w:lang w:val="en-US" w:eastAsia="zh-CN"/>
              </w:rPr>
              <w:t>标准限值，颗粒物有组织排放执行GB16297-1996《大气污染物综合排放标准》表2中二级标准限值</w:t>
            </w:r>
            <w:r>
              <w:rPr>
                <w:rFonts w:hint="default"/>
                <w:lang w:val="en-US" w:eastAsia="zh-CN"/>
              </w:rPr>
              <w:t>。</w:t>
            </w:r>
            <w:r>
              <w:rPr>
                <w:rFonts w:hint="eastAsia"/>
                <w:lang w:val="en-US" w:eastAsia="zh-CN"/>
              </w:rPr>
              <w:t>具体见表3.7-3。</w:t>
            </w:r>
          </w:p>
          <w:p w14:paraId="6D9D249E">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生产线1#、生产线2#、生产线3#产生的废气主要来自喷漆、烘干、加烤工序产生的非甲烷总烃及颗粒物，故三条生产线执行相同的排放标准，即非甲烷总烃有组织排放执行</w:t>
            </w:r>
            <w:r>
              <w:rPr>
                <w:rFonts w:hint="default"/>
                <w:lang w:val="en-US" w:eastAsia="zh-CN"/>
              </w:rPr>
              <w:t>《工业涂装工序挥发性有机物排放标准》（DB35/1783-2018）中表1标准中的涉涂装工序的其它行业</w:t>
            </w:r>
            <w:r>
              <w:rPr>
                <w:rFonts w:hint="eastAsia"/>
                <w:lang w:val="en-US" w:eastAsia="zh-CN"/>
              </w:rPr>
              <w:t>标准限值，颗粒物有组织排放执行GB16297-1996《大气污染物综合排放标准》表2中二级标准限值</w:t>
            </w:r>
            <w:r>
              <w:rPr>
                <w:rFonts w:hint="default"/>
                <w:lang w:val="en-US" w:eastAsia="zh-CN"/>
              </w:rPr>
              <w:t>。</w:t>
            </w:r>
          </w:p>
          <w:p w14:paraId="63A9EF76">
            <w:pPr>
              <w:pStyle w:val="39"/>
              <w:keepNext w:val="0"/>
              <w:keepLines w:val="0"/>
              <w:suppressLineNumbers w:val="0"/>
              <w:bidi w:val="0"/>
              <w:spacing w:before="0" w:beforeAutospacing="0" w:after="0" w:afterAutospacing="0"/>
              <w:ind w:left="0" w:right="0"/>
              <w:rPr>
                <w:rFonts w:hint="eastAsia"/>
              </w:rPr>
            </w:pPr>
            <w:r>
              <w:rPr>
                <w:rFonts w:hint="eastAsia"/>
              </w:rPr>
              <w:t>表3.7-</w:t>
            </w:r>
            <w:r>
              <w:rPr>
                <w:rFonts w:hint="eastAsia"/>
                <w:lang w:val="en-US" w:eastAsia="zh-CN"/>
              </w:rPr>
              <w:t>3</w:t>
            </w:r>
            <w:r>
              <w:rPr>
                <w:rFonts w:hint="eastAsia"/>
              </w:rPr>
              <w:t xml:space="preserve"> 有组织废气污染物排放标准</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96"/>
              <w:gridCol w:w="985"/>
              <w:gridCol w:w="1010"/>
              <w:gridCol w:w="1399"/>
              <w:gridCol w:w="1206"/>
              <w:gridCol w:w="2598"/>
            </w:tblGrid>
            <w:tr w14:paraId="527039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6" w:type="pct"/>
                  <w:noWrap w:val="0"/>
                  <w:vAlign w:val="center"/>
                </w:tcPr>
                <w:p w14:paraId="5D486752">
                  <w:pPr>
                    <w:pStyle w:val="38"/>
                    <w:keepNext w:val="0"/>
                    <w:keepLines w:val="0"/>
                    <w:widowControl/>
                    <w:suppressLineNumbers w:val="0"/>
                    <w:bidi w:val="0"/>
                    <w:spacing w:before="0" w:beforeAutospacing="0" w:after="0" w:afterAutospacing="0"/>
                    <w:ind w:left="0" w:right="0"/>
                    <w:rPr>
                      <w:rFonts w:hint="eastAsia" w:eastAsia="宋体"/>
                      <w:color w:val="auto"/>
                      <w:szCs w:val="22"/>
                      <w:lang w:val="en-US" w:eastAsia="zh-CN"/>
                    </w:rPr>
                  </w:pPr>
                  <w:r>
                    <w:rPr>
                      <w:rFonts w:hint="eastAsia"/>
                      <w:color w:val="auto"/>
                      <w:szCs w:val="22"/>
                      <w:lang w:val="en-US" w:eastAsia="zh-CN"/>
                    </w:rPr>
                    <w:t>对应产线</w:t>
                  </w:r>
                </w:p>
              </w:tc>
              <w:tc>
                <w:tcPr>
                  <w:tcW w:w="590" w:type="pct"/>
                  <w:shd w:val="clear" w:color="auto" w:fill="auto"/>
                  <w:noWrap w:val="0"/>
                  <w:vAlign w:val="center"/>
                </w:tcPr>
                <w:p w14:paraId="2EAD29C5">
                  <w:pPr>
                    <w:pStyle w:val="38"/>
                    <w:keepNext w:val="0"/>
                    <w:keepLines w:val="0"/>
                    <w:widowControl/>
                    <w:suppressLineNumbers w:val="0"/>
                    <w:bidi w:val="0"/>
                    <w:spacing w:before="0" w:beforeAutospacing="0" w:after="0" w:afterAutospacing="0"/>
                    <w:ind w:left="0" w:right="0"/>
                    <w:rPr>
                      <w:rFonts w:hint="eastAsia" w:ascii="Times New Roman" w:hAnsi="Times New Roman" w:eastAsia="宋体" w:cs="Times New Roman"/>
                      <w:color w:val="auto"/>
                      <w:kern w:val="2"/>
                      <w:sz w:val="21"/>
                      <w:szCs w:val="22"/>
                      <w:lang w:val="en-US" w:eastAsia="zh-CN" w:bidi="ar-SA"/>
                    </w:rPr>
                  </w:pPr>
                  <w:r>
                    <w:rPr>
                      <w:rFonts w:hint="eastAsia"/>
                      <w:szCs w:val="22"/>
                    </w:rPr>
                    <w:t>污染物</w:t>
                  </w:r>
                </w:p>
              </w:tc>
              <w:tc>
                <w:tcPr>
                  <w:tcW w:w="585" w:type="pct"/>
                  <w:noWrap w:val="0"/>
                  <w:vAlign w:val="center"/>
                </w:tcPr>
                <w:p w14:paraId="23F2E3F7">
                  <w:pPr>
                    <w:pStyle w:val="38"/>
                    <w:keepNext w:val="0"/>
                    <w:keepLines w:val="0"/>
                    <w:widowControl/>
                    <w:suppressLineNumbers w:val="0"/>
                    <w:bidi w:val="0"/>
                    <w:spacing w:before="0" w:beforeAutospacing="0" w:after="0" w:afterAutospacing="0"/>
                    <w:ind w:left="0" w:right="0"/>
                    <w:rPr>
                      <w:rFonts w:hint="default" w:eastAsia="宋体"/>
                      <w:szCs w:val="22"/>
                      <w:lang w:val="en-US" w:eastAsia="zh-CN"/>
                    </w:rPr>
                  </w:pPr>
                  <w:r>
                    <w:rPr>
                      <w:rFonts w:hint="eastAsia"/>
                      <w:szCs w:val="22"/>
                      <w:lang w:val="en-US" w:eastAsia="zh-CN"/>
                    </w:rPr>
                    <w:t>排气筒编号</w:t>
                  </w:r>
                </w:p>
              </w:tc>
              <w:tc>
                <w:tcPr>
                  <w:tcW w:w="836" w:type="pct"/>
                  <w:noWrap w:val="0"/>
                  <w:vAlign w:val="center"/>
                </w:tcPr>
                <w:p w14:paraId="44A7DD3F">
                  <w:pPr>
                    <w:pStyle w:val="38"/>
                    <w:keepNext w:val="0"/>
                    <w:keepLines w:val="0"/>
                    <w:widowControl/>
                    <w:suppressLineNumbers w:val="0"/>
                    <w:bidi w:val="0"/>
                    <w:spacing w:before="0" w:beforeAutospacing="0" w:after="0" w:afterAutospacing="0"/>
                    <w:ind w:left="0" w:right="0"/>
                    <w:rPr>
                      <w:rFonts w:hint="eastAsia"/>
                      <w:color w:val="auto"/>
                      <w:szCs w:val="22"/>
                    </w:rPr>
                  </w:pPr>
                  <w:r>
                    <w:rPr>
                      <w:rFonts w:hint="eastAsia"/>
                      <w:szCs w:val="22"/>
                    </w:rPr>
                    <w:t>排放浓度（mg/m</w:t>
                  </w:r>
                  <w:r>
                    <w:rPr>
                      <w:rFonts w:hint="eastAsia"/>
                      <w:szCs w:val="22"/>
                      <w:vertAlign w:val="superscript"/>
                    </w:rPr>
                    <w:t>3</w:t>
                  </w:r>
                  <w:r>
                    <w:rPr>
                      <w:rFonts w:hint="eastAsia"/>
                      <w:szCs w:val="22"/>
                    </w:rPr>
                    <w:t>）</w:t>
                  </w:r>
                </w:p>
              </w:tc>
              <w:tc>
                <w:tcPr>
                  <w:tcW w:w="721" w:type="pct"/>
                  <w:noWrap w:val="0"/>
                  <w:vAlign w:val="center"/>
                </w:tcPr>
                <w:p w14:paraId="1CFEA4BE">
                  <w:pPr>
                    <w:pStyle w:val="38"/>
                    <w:keepNext w:val="0"/>
                    <w:keepLines w:val="0"/>
                    <w:widowControl/>
                    <w:suppressLineNumbers w:val="0"/>
                    <w:bidi w:val="0"/>
                    <w:spacing w:before="0" w:beforeAutospacing="0" w:after="0" w:afterAutospacing="0"/>
                    <w:ind w:left="0" w:right="0"/>
                    <w:rPr>
                      <w:rFonts w:hint="eastAsia"/>
                      <w:color w:val="auto"/>
                      <w:szCs w:val="22"/>
                    </w:rPr>
                  </w:pPr>
                  <w:r>
                    <w:rPr>
                      <w:rFonts w:hint="eastAsia"/>
                      <w:szCs w:val="22"/>
                    </w:rPr>
                    <w:t>排放速率（kg/h）</w:t>
                  </w:r>
                </w:p>
              </w:tc>
              <w:tc>
                <w:tcPr>
                  <w:tcW w:w="1550" w:type="pct"/>
                  <w:noWrap w:val="0"/>
                  <w:vAlign w:val="center"/>
                </w:tcPr>
                <w:p w14:paraId="2CD88EF0">
                  <w:pPr>
                    <w:pStyle w:val="38"/>
                    <w:keepNext w:val="0"/>
                    <w:keepLines w:val="0"/>
                    <w:widowControl/>
                    <w:suppressLineNumbers w:val="0"/>
                    <w:bidi w:val="0"/>
                    <w:spacing w:before="0" w:beforeAutospacing="0" w:after="0" w:afterAutospacing="0"/>
                    <w:ind w:left="0" w:right="0"/>
                    <w:rPr>
                      <w:rFonts w:hint="eastAsia"/>
                      <w:color w:val="auto"/>
                      <w:szCs w:val="22"/>
                    </w:rPr>
                  </w:pPr>
                  <w:r>
                    <w:rPr>
                      <w:rFonts w:hint="eastAsia"/>
                      <w:szCs w:val="22"/>
                    </w:rPr>
                    <w:t>标准来源</w:t>
                  </w:r>
                </w:p>
              </w:tc>
            </w:tr>
            <w:tr w14:paraId="0162F5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716" w:type="pct"/>
                  <w:vMerge w:val="restart"/>
                  <w:noWrap w:val="0"/>
                  <w:vAlign w:val="center"/>
                </w:tcPr>
                <w:p w14:paraId="5F140D38">
                  <w:pPr>
                    <w:pStyle w:val="38"/>
                    <w:keepNext w:val="0"/>
                    <w:keepLines w:val="0"/>
                    <w:widowControl/>
                    <w:suppressLineNumbers w:val="0"/>
                    <w:bidi w:val="0"/>
                    <w:spacing w:before="0" w:beforeAutospacing="0" w:after="0" w:afterAutospacing="0"/>
                    <w:ind w:left="0" w:right="0"/>
                    <w:rPr>
                      <w:rFonts w:hint="default"/>
                      <w:color w:val="auto"/>
                      <w:szCs w:val="22"/>
                      <w:lang w:val="en-US" w:eastAsia="zh-CN"/>
                    </w:rPr>
                  </w:pPr>
                  <w:r>
                    <w:rPr>
                      <w:rFonts w:hint="eastAsia"/>
                      <w:color w:val="auto"/>
                      <w:szCs w:val="22"/>
                      <w:lang w:val="en-US" w:eastAsia="zh-CN"/>
                    </w:rPr>
                    <w:t>生产线1#（</w:t>
                  </w:r>
                  <w:r>
                    <w:rPr>
                      <w:rFonts w:hint="eastAsia"/>
                      <w:szCs w:val="22"/>
                      <w:lang w:val="en-US" w:eastAsia="zh-CN"/>
                    </w:rPr>
                    <w:t>喷漆、烘干、加烤</w:t>
                  </w:r>
                  <w:r>
                    <w:rPr>
                      <w:rFonts w:hint="eastAsia"/>
                      <w:color w:val="auto"/>
                      <w:szCs w:val="22"/>
                      <w:lang w:val="en-US" w:eastAsia="zh-CN"/>
                    </w:rPr>
                    <w:t>）</w:t>
                  </w:r>
                </w:p>
              </w:tc>
              <w:tc>
                <w:tcPr>
                  <w:tcW w:w="590" w:type="pct"/>
                  <w:shd w:val="clear" w:color="auto" w:fill="auto"/>
                  <w:noWrap w:val="0"/>
                  <w:vAlign w:val="center"/>
                </w:tcPr>
                <w:p w14:paraId="5E463937">
                  <w:pPr>
                    <w:pStyle w:val="38"/>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kern w:val="2"/>
                      <w:sz w:val="21"/>
                      <w:szCs w:val="22"/>
                      <w:lang w:val="en-US" w:eastAsia="zh-CN" w:bidi="ar-SA"/>
                    </w:rPr>
                  </w:pPr>
                  <w:r>
                    <w:rPr>
                      <w:rFonts w:hint="default"/>
                      <w:szCs w:val="22"/>
                    </w:rPr>
                    <w:t>非甲烷总烃</w:t>
                  </w:r>
                </w:p>
              </w:tc>
              <w:tc>
                <w:tcPr>
                  <w:tcW w:w="585" w:type="pct"/>
                  <w:vMerge w:val="restart"/>
                  <w:noWrap w:val="0"/>
                  <w:vAlign w:val="center"/>
                </w:tcPr>
                <w:p w14:paraId="524FC8BB">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DA001</w:t>
                  </w:r>
                </w:p>
                <w:p w14:paraId="47DBCCBD">
                  <w:pPr>
                    <w:pStyle w:val="38"/>
                    <w:keepNext w:val="0"/>
                    <w:keepLines w:val="0"/>
                    <w:widowControl/>
                    <w:suppressLineNumbers w:val="0"/>
                    <w:bidi w:val="0"/>
                    <w:spacing w:before="0" w:beforeAutospacing="0" w:after="0" w:afterAutospacing="0"/>
                    <w:ind w:left="0" w:right="0"/>
                    <w:rPr>
                      <w:rFonts w:hint="default" w:eastAsia="宋体"/>
                      <w:szCs w:val="22"/>
                      <w:lang w:val="en-US" w:eastAsia="zh-CN"/>
                    </w:rPr>
                  </w:pPr>
                  <w:r>
                    <w:rPr>
                      <w:rFonts w:hint="eastAsia"/>
                      <w:szCs w:val="22"/>
                      <w:lang w:val="en-US" w:eastAsia="zh-CN"/>
                    </w:rPr>
                    <w:t>（15m）</w:t>
                  </w:r>
                </w:p>
              </w:tc>
              <w:tc>
                <w:tcPr>
                  <w:tcW w:w="836" w:type="pct"/>
                  <w:noWrap w:val="0"/>
                  <w:vAlign w:val="center"/>
                </w:tcPr>
                <w:p w14:paraId="6ABC8395">
                  <w:pPr>
                    <w:pStyle w:val="38"/>
                    <w:keepNext w:val="0"/>
                    <w:keepLines w:val="0"/>
                    <w:widowControl/>
                    <w:suppressLineNumbers w:val="0"/>
                    <w:bidi w:val="0"/>
                    <w:spacing w:before="0" w:beforeAutospacing="0" w:after="0" w:afterAutospacing="0"/>
                    <w:ind w:left="0" w:right="0"/>
                    <w:rPr>
                      <w:rFonts w:hint="eastAsia"/>
                      <w:color w:val="auto"/>
                      <w:szCs w:val="22"/>
                    </w:rPr>
                  </w:pPr>
                  <w:r>
                    <w:rPr>
                      <w:rFonts w:hint="default"/>
                      <w:szCs w:val="22"/>
                    </w:rPr>
                    <w:t>60</w:t>
                  </w:r>
                </w:p>
              </w:tc>
              <w:tc>
                <w:tcPr>
                  <w:tcW w:w="721" w:type="pct"/>
                  <w:noWrap w:val="0"/>
                  <w:vAlign w:val="center"/>
                </w:tcPr>
                <w:p w14:paraId="612CD963">
                  <w:pPr>
                    <w:pStyle w:val="38"/>
                    <w:keepNext w:val="0"/>
                    <w:keepLines w:val="0"/>
                    <w:widowControl/>
                    <w:suppressLineNumbers w:val="0"/>
                    <w:bidi w:val="0"/>
                    <w:spacing w:before="0" w:beforeAutospacing="0" w:after="0" w:afterAutospacing="0"/>
                    <w:ind w:left="0" w:right="0"/>
                    <w:rPr>
                      <w:rFonts w:hint="eastAsia"/>
                      <w:color w:val="auto"/>
                      <w:szCs w:val="22"/>
                    </w:rPr>
                  </w:pPr>
                  <w:r>
                    <w:rPr>
                      <w:rFonts w:hint="default"/>
                      <w:szCs w:val="22"/>
                    </w:rPr>
                    <w:t>2.5</w:t>
                  </w:r>
                </w:p>
              </w:tc>
              <w:tc>
                <w:tcPr>
                  <w:tcW w:w="1550" w:type="pct"/>
                  <w:noWrap w:val="0"/>
                  <w:vAlign w:val="center"/>
                </w:tcPr>
                <w:p w14:paraId="7BCB98AE">
                  <w:pPr>
                    <w:pStyle w:val="38"/>
                    <w:keepNext w:val="0"/>
                    <w:keepLines w:val="0"/>
                    <w:widowControl/>
                    <w:suppressLineNumbers w:val="0"/>
                    <w:bidi w:val="0"/>
                    <w:spacing w:before="0" w:beforeAutospacing="0" w:after="0" w:afterAutospacing="0"/>
                    <w:ind w:left="0" w:right="0"/>
                    <w:rPr>
                      <w:rFonts w:hint="eastAsia"/>
                      <w:color w:val="auto"/>
                      <w:szCs w:val="22"/>
                    </w:rPr>
                  </w:pPr>
                  <w:r>
                    <w:rPr>
                      <w:rFonts w:hint="default"/>
                      <w:szCs w:val="22"/>
                    </w:rPr>
                    <w:t>《工业涂装工序挥发性有机物排放标准》（DB35/1783-2018）</w:t>
                  </w:r>
                  <w:r>
                    <w:rPr>
                      <w:rFonts w:hint="default"/>
                      <w:szCs w:val="22"/>
                      <w:lang w:eastAsia="zh-CN"/>
                    </w:rPr>
                    <w:t>表</w:t>
                  </w:r>
                  <w:r>
                    <w:rPr>
                      <w:rFonts w:hint="default"/>
                      <w:szCs w:val="22"/>
                      <w:lang w:val="en-US" w:eastAsia="zh-CN"/>
                    </w:rPr>
                    <w:t>1标准</w:t>
                  </w:r>
                </w:p>
              </w:tc>
            </w:tr>
            <w:tr w14:paraId="3837B5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716" w:type="pct"/>
                  <w:vMerge w:val="continue"/>
                  <w:noWrap w:val="0"/>
                  <w:vAlign w:val="center"/>
                </w:tcPr>
                <w:p w14:paraId="23176B10">
                  <w:pPr>
                    <w:pStyle w:val="38"/>
                    <w:keepNext w:val="0"/>
                    <w:keepLines w:val="0"/>
                    <w:widowControl/>
                    <w:suppressLineNumbers w:val="0"/>
                    <w:bidi w:val="0"/>
                    <w:spacing w:before="0" w:beforeAutospacing="0" w:after="0" w:afterAutospacing="0"/>
                    <w:ind w:left="0" w:right="0"/>
                    <w:rPr>
                      <w:rFonts w:hint="default"/>
                      <w:color w:val="auto"/>
                      <w:szCs w:val="21"/>
                      <w:lang w:val="en-US" w:eastAsia="zh-CN"/>
                    </w:rPr>
                  </w:pPr>
                </w:p>
              </w:tc>
              <w:tc>
                <w:tcPr>
                  <w:tcW w:w="590" w:type="pct"/>
                  <w:shd w:val="clear" w:color="auto" w:fill="auto"/>
                  <w:noWrap w:val="0"/>
                  <w:vAlign w:val="center"/>
                </w:tcPr>
                <w:p w14:paraId="590F4ACD">
                  <w:pPr>
                    <w:pStyle w:val="38"/>
                    <w:keepNext w:val="0"/>
                    <w:keepLines w:val="0"/>
                    <w:widowControl/>
                    <w:suppressLineNumbers w:val="0"/>
                    <w:bidi w:val="0"/>
                    <w:spacing w:before="0" w:beforeAutospacing="0" w:after="0" w:afterAutospacing="0"/>
                    <w:ind w:left="0" w:right="0"/>
                    <w:rPr>
                      <w:rFonts w:hint="eastAsia" w:ascii="Times New Roman" w:hAnsi="Times New Roman" w:eastAsia="宋体" w:cs="Times New Roman"/>
                      <w:color w:val="auto"/>
                      <w:kern w:val="2"/>
                      <w:sz w:val="21"/>
                      <w:szCs w:val="21"/>
                      <w:lang w:val="en-US" w:eastAsia="zh-CN" w:bidi="ar-SA"/>
                    </w:rPr>
                  </w:pPr>
                  <w:r>
                    <w:rPr>
                      <w:rFonts w:hint="eastAsia"/>
                      <w:szCs w:val="22"/>
                      <w:lang w:val="en-US" w:eastAsia="zh-CN"/>
                    </w:rPr>
                    <w:t>颗粒物</w:t>
                  </w:r>
                </w:p>
              </w:tc>
              <w:tc>
                <w:tcPr>
                  <w:tcW w:w="585" w:type="pct"/>
                  <w:vMerge w:val="continue"/>
                  <w:noWrap w:val="0"/>
                  <w:vAlign w:val="center"/>
                </w:tcPr>
                <w:p w14:paraId="53BB0210">
                  <w:pPr>
                    <w:pStyle w:val="38"/>
                    <w:keepNext w:val="0"/>
                    <w:keepLines w:val="0"/>
                    <w:widowControl/>
                    <w:suppressLineNumbers w:val="0"/>
                    <w:bidi w:val="0"/>
                    <w:spacing w:before="0" w:beforeAutospacing="0" w:after="0" w:afterAutospacing="0"/>
                    <w:ind w:left="0" w:right="0"/>
                    <w:rPr>
                      <w:rFonts w:hint="eastAsia"/>
                      <w:szCs w:val="22"/>
                      <w:lang w:val="en-US" w:eastAsia="zh-CN"/>
                    </w:rPr>
                  </w:pPr>
                </w:p>
              </w:tc>
              <w:tc>
                <w:tcPr>
                  <w:tcW w:w="836" w:type="pct"/>
                  <w:noWrap w:val="0"/>
                  <w:vAlign w:val="center"/>
                </w:tcPr>
                <w:p w14:paraId="4FFC22B6">
                  <w:pPr>
                    <w:pStyle w:val="38"/>
                    <w:keepNext w:val="0"/>
                    <w:keepLines w:val="0"/>
                    <w:widowControl/>
                    <w:suppressLineNumbers w:val="0"/>
                    <w:bidi w:val="0"/>
                    <w:spacing w:before="0" w:beforeAutospacing="0" w:after="0" w:afterAutospacing="0"/>
                    <w:ind w:left="0" w:right="0"/>
                    <w:rPr>
                      <w:rFonts w:hint="default"/>
                      <w:color w:val="auto"/>
                      <w:szCs w:val="21"/>
                      <w:lang w:val="en-US" w:eastAsia="zh-CN"/>
                    </w:rPr>
                  </w:pPr>
                  <w:r>
                    <w:rPr>
                      <w:rFonts w:hint="eastAsia"/>
                      <w:szCs w:val="22"/>
                      <w:lang w:val="en-US" w:eastAsia="zh-CN"/>
                    </w:rPr>
                    <w:t>120</w:t>
                  </w:r>
                </w:p>
              </w:tc>
              <w:tc>
                <w:tcPr>
                  <w:tcW w:w="721" w:type="pct"/>
                  <w:noWrap w:val="0"/>
                  <w:vAlign w:val="center"/>
                </w:tcPr>
                <w:p w14:paraId="03881DA8">
                  <w:pPr>
                    <w:pStyle w:val="38"/>
                    <w:keepNext w:val="0"/>
                    <w:keepLines w:val="0"/>
                    <w:widowControl/>
                    <w:suppressLineNumbers w:val="0"/>
                    <w:bidi w:val="0"/>
                    <w:spacing w:before="0" w:beforeAutospacing="0" w:after="0" w:afterAutospacing="0"/>
                    <w:ind w:left="0" w:right="0"/>
                    <w:rPr>
                      <w:rFonts w:hint="default"/>
                      <w:color w:val="auto"/>
                      <w:szCs w:val="21"/>
                      <w:lang w:val="en-US" w:eastAsia="zh-CN"/>
                    </w:rPr>
                  </w:pPr>
                  <w:r>
                    <w:rPr>
                      <w:rFonts w:hint="eastAsia"/>
                      <w:szCs w:val="22"/>
                      <w:lang w:val="en-US" w:eastAsia="zh-CN"/>
                    </w:rPr>
                    <w:t>3.5</w:t>
                  </w:r>
                </w:p>
              </w:tc>
              <w:tc>
                <w:tcPr>
                  <w:tcW w:w="1550" w:type="pct"/>
                  <w:noWrap w:val="0"/>
                  <w:vAlign w:val="center"/>
                </w:tcPr>
                <w:p w14:paraId="471450E1">
                  <w:pPr>
                    <w:pStyle w:val="38"/>
                    <w:keepNext w:val="0"/>
                    <w:keepLines w:val="0"/>
                    <w:widowControl/>
                    <w:suppressLineNumbers w:val="0"/>
                    <w:bidi w:val="0"/>
                    <w:spacing w:before="0" w:beforeAutospacing="0" w:after="0" w:afterAutospacing="0"/>
                    <w:ind w:left="0" w:right="0"/>
                    <w:rPr>
                      <w:rFonts w:hint="default"/>
                      <w:color w:val="auto"/>
                      <w:szCs w:val="21"/>
                      <w:lang w:val="en-US"/>
                    </w:rPr>
                  </w:pPr>
                  <w:r>
                    <w:rPr>
                      <w:rFonts w:hint="eastAsia"/>
                      <w:szCs w:val="22"/>
                      <w:lang w:val="en-US" w:eastAsia="zh-CN"/>
                    </w:rPr>
                    <w:t>《大气污染物综合排放标准》（GB16297-1996）表2</w:t>
                  </w:r>
                </w:p>
              </w:tc>
            </w:tr>
            <w:tr w14:paraId="3AD104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716" w:type="pct"/>
                  <w:vMerge w:val="restart"/>
                  <w:noWrap w:val="0"/>
                  <w:vAlign w:val="center"/>
                </w:tcPr>
                <w:p w14:paraId="33133CC2">
                  <w:pPr>
                    <w:pStyle w:val="38"/>
                    <w:keepNext w:val="0"/>
                    <w:keepLines w:val="0"/>
                    <w:widowControl/>
                    <w:suppressLineNumbers w:val="0"/>
                    <w:bidi w:val="0"/>
                    <w:spacing w:before="0" w:beforeAutospacing="0" w:after="0" w:afterAutospacing="0"/>
                    <w:ind w:left="0" w:right="0"/>
                    <w:rPr>
                      <w:rFonts w:hint="default"/>
                      <w:color w:val="auto"/>
                      <w:szCs w:val="22"/>
                      <w:lang w:val="en-US" w:eastAsia="zh-CN"/>
                    </w:rPr>
                  </w:pPr>
                  <w:r>
                    <w:rPr>
                      <w:rFonts w:hint="eastAsia"/>
                      <w:color w:val="auto"/>
                      <w:szCs w:val="22"/>
                      <w:lang w:val="en-US" w:eastAsia="zh-CN"/>
                    </w:rPr>
                    <w:t>生产线2#、生产线3#（</w:t>
                  </w:r>
                  <w:r>
                    <w:rPr>
                      <w:rFonts w:hint="eastAsia"/>
                      <w:szCs w:val="22"/>
                      <w:lang w:val="en-US" w:eastAsia="zh-CN"/>
                    </w:rPr>
                    <w:t>喷漆、烘干、加烤</w:t>
                  </w:r>
                  <w:r>
                    <w:rPr>
                      <w:rFonts w:hint="eastAsia"/>
                      <w:color w:val="auto"/>
                      <w:szCs w:val="22"/>
                      <w:lang w:val="en-US" w:eastAsia="zh-CN"/>
                    </w:rPr>
                    <w:t>）</w:t>
                  </w:r>
                </w:p>
              </w:tc>
              <w:tc>
                <w:tcPr>
                  <w:tcW w:w="590" w:type="pct"/>
                  <w:shd w:val="clear" w:color="auto" w:fill="auto"/>
                  <w:noWrap w:val="0"/>
                  <w:vAlign w:val="center"/>
                </w:tcPr>
                <w:p w14:paraId="5E737417">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rPr>
                    <w:t>非甲烷总烃</w:t>
                  </w:r>
                </w:p>
              </w:tc>
              <w:tc>
                <w:tcPr>
                  <w:tcW w:w="585" w:type="pct"/>
                  <w:vMerge w:val="restart"/>
                  <w:noWrap w:val="0"/>
                  <w:vAlign w:val="center"/>
                </w:tcPr>
                <w:p w14:paraId="4191B14A">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DA002</w:t>
                  </w:r>
                </w:p>
                <w:p w14:paraId="69ADB731">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（15m）</w:t>
                  </w:r>
                </w:p>
              </w:tc>
              <w:tc>
                <w:tcPr>
                  <w:tcW w:w="836" w:type="pct"/>
                  <w:noWrap w:val="0"/>
                  <w:vAlign w:val="center"/>
                </w:tcPr>
                <w:p w14:paraId="182DBD04">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rPr>
                    <w:t>60</w:t>
                  </w:r>
                </w:p>
              </w:tc>
              <w:tc>
                <w:tcPr>
                  <w:tcW w:w="721" w:type="pct"/>
                  <w:noWrap w:val="0"/>
                  <w:vAlign w:val="center"/>
                </w:tcPr>
                <w:p w14:paraId="2E403C4F">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rPr>
                    <w:t>2.5</w:t>
                  </w:r>
                </w:p>
              </w:tc>
              <w:tc>
                <w:tcPr>
                  <w:tcW w:w="1550" w:type="pct"/>
                  <w:noWrap w:val="0"/>
                  <w:vAlign w:val="center"/>
                </w:tcPr>
                <w:p w14:paraId="66517E60">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rPr>
                    <w:t>《工业涂装工序挥发性有机物排放标准》（DB35/1783-2018）</w:t>
                  </w:r>
                  <w:r>
                    <w:rPr>
                      <w:rFonts w:hint="default"/>
                      <w:szCs w:val="22"/>
                      <w:lang w:eastAsia="zh-CN"/>
                    </w:rPr>
                    <w:t>表</w:t>
                  </w:r>
                  <w:r>
                    <w:rPr>
                      <w:rFonts w:hint="default"/>
                      <w:szCs w:val="22"/>
                      <w:lang w:val="en-US" w:eastAsia="zh-CN"/>
                    </w:rPr>
                    <w:t>1标准</w:t>
                  </w:r>
                </w:p>
              </w:tc>
            </w:tr>
            <w:tr w14:paraId="7CCC4F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716" w:type="pct"/>
                  <w:vMerge w:val="continue"/>
                  <w:noWrap w:val="0"/>
                  <w:vAlign w:val="center"/>
                </w:tcPr>
                <w:p w14:paraId="5C12B95F">
                  <w:pPr>
                    <w:pStyle w:val="38"/>
                    <w:keepNext w:val="0"/>
                    <w:keepLines w:val="0"/>
                    <w:widowControl/>
                    <w:suppressLineNumbers w:val="0"/>
                    <w:bidi w:val="0"/>
                    <w:spacing w:before="0" w:beforeAutospacing="0" w:after="0" w:afterAutospacing="0"/>
                    <w:ind w:left="0" w:right="0"/>
                    <w:rPr>
                      <w:rFonts w:hint="eastAsia"/>
                      <w:szCs w:val="22"/>
                      <w:lang w:val="en-US" w:eastAsia="zh-CN"/>
                    </w:rPr>
                  </w:pPr>
                </w:p>
              </w:tc>
              <w:tc>
                <w:tcPr>
                  <w:tcW w:w="590" w:type="pct"/>
                  <w:shd w:val="clear" w:color="auto" w:fill="auto"/>
                  <w:noWrap w:val="0"/>
                  <w:vAlign w:val="center"/>
                </w:tcPr>
                <w:p w14:paraId="78F4F20E">
                  <w:pPr>
                    <w:pStyle w:val="38"/>
                    <w:keepNext w:val="0"/>
                    <w:keepLines w:val="0"/>
                    <w:widowControl/>
                    <w:suppressLineNumbers w:val="0"/>
                    <w:bidi w:val="0"/>
                    <w:spacing w:before="0" w:beforeAutospacing="0" w:after="0" w:afterAutospacing="0"/>
                    <w:ind w:left="0" w:right="0"/>
                    <w:rPr>
                      <w:rFonts w:hint="default"/>
                      <w:szCs w:val="22"/>
                    </w:rPr>
                  </w:pPr>
                  <w:r>
                    <w:rPr>
                      <w:rFonts w:hint="eastAsia"/>
                      <w:szCs w:val="22"/>
                      <w:lang w:val="en-US" w:eastAsia="zh-CN"/>
                    </w:rPr>
                    <w:t>颗粒物</w:t>
                  </w:r>
                </w:p>
              </w:tc>
              <w:tc>
                <w:tcPr>
                  <w:tcW w:w="585" w:type="pct"/>
                  <w:vMerge w:val="continue"/>
                  <w:noWrap w:val="0"/>
                  <w:vAlign w:val="center"/>
                </w:tcPr>
                <w:p w14:paraId="6FFE7C4E">
                  <w:pPr>
                    <w:pStyle w:val="38"/>
                    <w:keepNext w:val="0"/>
                    <w:keepLines w:val="0"/>
                    <w:widowControl/>
                    <w:suppressLineNumbers w:val="0"/>
                    <w:bidi w:val="0"/>
                    <w:spacing w:before="0" w:beforeAutospacing="0" w:after="0" w:afterAutospacing="0"/>
                    <w:ind w:left="0" w:right="0"/>
                    <w:rPr>
                      <w:rFonts w:hint="eastAsia"/>
                      <w:szCs w:val="22"/>
                      <w:lang w:val="en-US" w:eastAsia="zh-CN"/>
                    </w:rPr>
                  </w:pPr>
                </w:p>
              </w:tc>
              <w:tc>
                <w:tcPr>
                  <w:tcW w:w="836" w:type="pct"/>
                  <w:noWrap w:val="0"/>
                  <w:vAlign w:val="center"/>
                </w:tcPr>
                <w:p w14:paraId="51395B83">
                  <w:pPr>
                    <w:pStyle w:val="38"/>
                    <w:keepNext w:val="0"/>
                    <w:keepLines w:val="0"/>
                    <w:widowControl/>
                    <w:suppressLineNumbers w:val="0"/>
                    <w:bidi w:val="0"/>
                    <w:spacing w:before="0" w:beforeAutospacing="0" w:after="0" w:afterAutospacing="0"/>
                    <w:ind w:left="0" w:right="0"/>
                    <w:rPr>
                      <w:rFonts w:hint="default"/>
                      <w:szCs w:val="22"/>
                    </w:rPr>
                  </w:pPr>
                  <w:r>
                    <w:rPr>
                      <w:rFonts w:hint="eastAsia"/>
                      <w:szCs w:val="22"/>
                      <w:lang w:val="en-US" w:eastAsia="zh-CN"/>
                    </w:rPr>
                    <w:t>120</w:t>
                  </w:r>
                </w:p>
              </w:tc>
              <w:tc>
                <w:tcPr>
                  <w:tcW w:w="721" w:type="pct"/>
                  <w:noWrap w:val="0"/>
                  <w:vAlign w:val="center"/>
                </w:tcPr>
                <w:p w14:paraId="25811E60">
                  <w:pPr>
                    <w:pStyle w:val="38"/>
                    <w:keepNext w:val="0"/>
                    <w:keepLines w:val="0"/>
                    <w:widowControl/>
                    <w:suppressLineNumbers w:val="0"/>
                    <w:bidi w:val="0"/>
                    <w:spacing w:before="0" w:beforeAutospacing="0" w:after="0" w:afterAutospacing="0"/>
                    <w:ind w:left="0" w:right="0"/>
                    <w:rPr>
                      <w:rFonts w:hint="default"/>
                      <w:szCs w:val="22"/>
                    </w:rPr>
                  </w:pPr>
                  <w:r>
                    <w:rPr>
                      <w:rFonts w:hint="eastAsia"/>
                      <w:szCs w:val="22"/>
                      <w:lang w:val="en-US" w:eastAsia="zh-CN"/>
                    </w:rPr>
                    <w:t>3.5</w:t>
                  </w:r>
                </w:p>
              </w:tc>
              <w:tc>
                <w:tcPr>
                  <w:tcW w:w="1550" w:type="pct"/>
                  <w:noWrap w:val="0"/>
                  <w:vAlign w:val="center"/>
                </w:tcPr>
                <w:p w14:paraId="11EA3C86">
                  <w:pPr>
                    <w:pStyle w:val="38"/>
                    <w:keepNext w:val="0"/>
                    <w:keepLines w:val="0"/>
                    <w:widowControl/>
                    <w:suppressLineNumbers w:val="0"/>
                    <w:bidi w:val="0"/>
                    <w:spacing w:before="0" w:beforeAutospacing="0" w:after="0" w:afterAutospacing="0"/>
                    <w:ind w:left="0" w:right="0"/>
                    <w:rPr>
                      <w:rFonts w:hint="default"/>
                      <w:szCs w:val="22"/>
                    </w:rPr>
                  </w:pPr>
                  <w:r>
                    <w:rPr>
                      <w:rFonts w:hint="eastAsia"/>
                      <w:szCs w:val="22"/>
                      <w:lang w:val="en-US" w:eastAsia="zh-CN"/>
                    </w:rPr>
                    <w:t>《大气污染物综合排放标准》（GB16297-1996）表2</w:t>
                  </w:r>
                </w:p>
              </w:tc>
            </w:tr>
            <w:tr w14:paraId="67FA54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1142" w:type="dxa"/>
                  <w:vMerge w:val="restart"/>
                  <w:noWrap w:val="0"/>
                  <w:vAlign w:val="center"/>
                </w:tcPr>
                <w:p w14:paraId="32BA2DC5">
                  <w:pPr>
                    <w:pStyle w:val="38"/>
                    <w:keepNext w:val="0"/>
                    <w:keepLines w:val="0"/>
                    <w:widowControl/>
                    <w:suppressLineNumbers w:val="0"/>
                    <w:bidi w:val="0"/>
                    <w:spacing w:before="0" w:beforeAutospacing="0" w:after="0" w:afterAutospacing="0"/>
                    <w:ind w:left="0" w:leftChars="0" w:right="0" w:rightChars="0"/>
                    <w:rPr>
                      <w:rFonts w:hint="eastAsia"/>
                      <w:szCs w:val="22"/>
                      <w:lang w:val="en-US" w:eastAsia="zh-CN"/>
                    </w:rPr>
                  </w:pPr>
                  <w:r>
                    <w:rPr>
                      <w:rFonts w:hint="eastAsia"/>
                      <w:color w:val="auto"/>
                      <w:szCs w:val="22"/>
                      <w:lang w:val="en-US" w:eastAsia="zh-CN"/>
                    </w:rPr>
                    <w:t>生产线3#（</w:t>
                  </w:r>
                  <w:r>
                    <w:rPr>
                      <w:rFonts w:hint="eastAsia"/>
                      <w:szCs w:val="22"/>
                      <w:lang w:val="en-US" w:eastAsia="zh-CN"/>
                    </w:rPr>
                    <w:t>喷漆、烘干、加烤</w:t>
                  </w:r>
                  <w:r>
                    <w:rPr>
                      <w:rFonts w:hint="eastAsia"/>
                      <w:color w:val="auto"/>
                      <w:szCs w:val="22"/>
                      <w:lang w:val="en-US" w:eastAsia="zh-CN"/>
                    </w:rPr>
                    <w:t>）</w:t>
                  </w:r>
                </w:p>
              </w:tc>
              <w:tc>
                <w:tcPr>
                  <w:tcW w:w="942" w:type="dxa"/>
                  <w:shd w:val="clear" w:color="auto" w:fill="auto"/>
                  <w:noWrap w:val="0"/>
                  <w:vAlign w:val="center"/>
                </w:tcPr>
                <w:p w14:paraId="61424228">
                  <w:pPr>
                    <w:pStyle w:val="38"/>
                    <w:keepNext w:val="0"/>
                    <w:keepLines w:val="0"/>
                    <w:widowControl/>
                    <w:suppressLineNumbers w:val="0"/>
                    <w:bidi w:val="0"/>
                    <w:spacing w:before="0" w:beforeAutospacing="0" w:after="0" w:afterAutospacing="0"/>
                    <w:ind w:left="0" w:leftChars="0" w:right="0" w:rightChars="0"/>
                    <w:rPr>
                      <w:rFonts w:hint="eastAsia"/>
                      <w:szCs w:val="22"/>
                      <w:lang w:val="en-US" w:eastAsia="zh-CN"/>
                    </w:rPr>
                  </w:pPr>
                  <w:r>
                    <w:rPr>
                      <w:rFonts w:hint="default"/>
                      <w:szCs w:val="22"/>
                    </w:rPr>
                    <w:t>非甲烷总烃</w:t>
                  </w:r>
                </w:p>
              </w:tc>
              <w:tc>
                <w:tcPr>
                  <w:tcW w:w="933" w:type="dxa"/>
                  <w:vMerge w:val="restart"/>
                  <w:noWrap w:val="0"/>
                  <w:vAlign w:val="center"/>
                </w:tcPr>
                <w:p w14:paraId="0AE97211">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DA003</w:t>
                  </w:r>
                </w:p>
                <w:p w14:paraId="6819A3FD">
                  <w:pPr>
                    <w:pStyle w:val="38"/>
                    <w:keepNext w:val="0"/>
                    <w:keepLines w:val="0"/>
                    <w:widowControl/>
                    <w:suppressLineNumbers w:val="0"/>
                    <w:bidi w:val="0"/>
                    <w:spacing w:before="0" w:beforeAutospacing="0" w:after="0" w:afterAutospacing="0"/>
                    <w:ind w:left="0" w:leftChars="0" w:right="0" w:rightChars="0"/>
                    <w:rPr>
                      <w:rFonts w:hint="eastAsia"/>
                      <w:szCs w:val="22"/>
                      <w:lang w:val="en-US" w:eastAsia="zh-CN"/>
                    </w:rPr>
                  </w:pPr>
                  <w:r>
                    <w:rPr>
                      <w:rFonts w:hint="eastAsia"/>
                      <w:szCs w:val="22"/>
                      <w:lang w:val="en-US" w:eastAsia="zh-CN"/>
                    </w:rPr>
                    <w:t>（15m）</w:t>
                  </w:r>
                </w:p>
              </w:tc>
              <w:tc>
                <w:tcPr>
                  <w:tcW w:w="1334" w:type="dxa"/>
                  <w:noWrap w:val="0"/>
                  <w:vAlign w:val="center"/>
                </w:tcPr>
                <w:p w14:paraId="335F8248">
                  <w:pPr>
                    <w:pStyle w:val="38"/>
                    <w:keepNext w:val="0"/>
                    <w:keepLines w:val="0"/>
                    <w:widowControl/>
                    <w:suppressLineNumbers w:val="0"/>
                    <w:bidi w:val="0"/>
                    <w:spacing w:before="0" w:beforeAutospacing="0" w:after="0" w:afterAutospacing="0"/>
                    <w:ind w:left="0" w:leftChars="0" w:right="0" w:rightChars="0"/>
                    <w:rPr>
                      <w:rFonts w:hint="eastAsia"/>
                      <w:szCs w:val="22"/>
                      <w:lang w:val="en-US" w:eastAsia="zh-CN"/>
                    </w:rPr>
                  </w:pPr>
                  <w:r>
                    <w:rPr>
                      <w:rFonts w:hint="default"/>
                      <w:szCs w:val="22"/>
                    </w:rPr>
                    <w:t>60</w:t>
                  </w:r>
                </w:p>
              </w:tc>
              <w:tc>
                <w:tcPr>
                  <w:tcW w:w="1150" w:type="dxa"/>
                  <w:noWrap w:val="0"/>
                  <w:vAlign w:val="center"/>
                </w:tcPr>
                <w:p w14:paraId="06D7EA1E">
                  <w:pPr>
                    <w:pStyle w:val="38"/>
                    <w:keepNext w:val="0"/>
                    <w:keepLines w:val="0"/>
                    <w:widowControl/>
                    <w:suppressLineNumbers w:val="0"/>
                    <w:bidi w:val="0"/>
                    <w:spacing w:before="0" w:beforeAutospacing="0" w:after="0" w:afterAutospacing="0"/>
                    <w:ind w:left="0" w:leftChars="0" w:right="0" w:rightChars="0"/>
                    <w:rPr>
                      <w:rFonts w:hint="eastAsia"/>
                      <w:szCs w:val="22"/>
                      <w:lang w:val="en-US" w:eastAsia="zh-CN"/>
                    </w:rPr>
                  </w:pPr>
                  <w:r>
                    <w:rPr>
                      <w:rFonts w:hint="default"/>
                      <w:szCs w:val="22"/>
                    </w:rPr>
                    <w:t>2.5</w:t>
                  </w:r>
                </w:p>
              </w:tc>
              <w:tc>
                <w:tcPr>
                  <w:tcW w:w="2473" w:type="dxa"/>
                  <w:noWrap w:val="0"/>
                  <w:vAlign w:val="center"/>
                </w:tcPr>
                <w:p w14:paraId="49EA9C42">
                  <w:pPr>
                    <w:pStyle w:val="38"/>
                    <w:keepNext w:val="0"/>
                    <w:keepLines w:val="0"/>
                    <w:widowControl/>
                    <w:suppressLineNumbers w:val="0"/>
                    <w:bidi w:val="0"/>
                    <w:spacing w:before="0" w:beforeAutospacing="0" w:after="0" w:afterAutospacing="0"/>
                    <w:ind w:left="0" w:leftChars="0" w:right="0" w:rightChars="0"/>
                    <w:rPr>
                      <w:rFonts w:hint="eastAsia"/>
                      <w:szCs w:val="22"/>
                      <w:lang w:val="en-US" w:eastAsia="zh-CN"/>
                    </w:rPr>
                  </w:pPr>
                  <w:r>
                    <w:rPr>
                      <w:rFonts w:hint="default"/>
                      <w:szCs w:val="22"/>
                    </w:rPr>
                    <w:t>《工业涂装工序挥发性有机物排放标准》（DB35/1783-2018）</w:t>
                  </w:r>
                  <w:r>
                    <w:rPr>
                      <w:rFonts w:hint="default"/>
                      <w:szCs w:val="22"/>
                      <w:lang w:eastAsia="zh-CN"/>
                    </w:rPr>
                    <w:t>表</w:t>
                  </w:r>
                  <w:r>
                    <w:rPr>
                      <w:rFonts w:hint="default"/>
                      <w:szCs w:val="22"/>
                      <w:lang w:val="en-US" w:eastAsia="zh-CN"/>
                    </w:rPr>
                    <w:t>1标准</w:t>
                  </w:r>
                </w:p>
              </w:tc>
            </w:tr>
            <w:tr w14:paraId="77F2DB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1142" w:type="dxa"/>
                  <w:vMerge w:val="continue"/>
                  <w:noWrap w:val="0"/>
                  <w:vAlign w:val="center"/>
                </w:tcPr>
                <w:p w14:paraId="7430A5FC">
                  <w:pPr>
                    <w:pStyle w:val="38"/>
                    <w:keepNext w:val="0"/>
                    <w:keepLines w:val="0"/>
                    <w:widowControl/>
                    <w:suppressLineNumbers w:val="0"/>
                    <w:bidi w:val="0"/>
                    <w:spacing w:before="0" w:beforeAutospacing="0" w:after="0" w:afterAutospacing="0"/>
                    <w:ind w:left="0" w:leftChars="0" w:right="0" w:rightChars="0"/>
                    <w:rPr>
                      <w:rFonts w:hint="eastAsia"/>
                      <w:szCs w:val="22"/>
                      <w:lang w:val="en-US" w:eastAsia="zh-CN"/>
                    </w:rPr>
                  </w:pPr>
                </w:p>
              </w:tc>
              <w:tc>
                <w:tcPr>
                  <w:tcW w:w="942" w:type="dxa"/>
                  <w:shd w:val="clear" w:color="auto" w:fill="auto"/>
                  <w:noWrap w:val="0"/>
                  <w:vAlign w:val="center"/>
                </w:tcPr>
                <w:p w14:paraId="542DF7C6">
                  <w:pPr>
                    <w:pStyle w:val="38"/>
                    <w:keepNext w:val="0"/>
                    <w:keepLines w:val="0"/>
                    <w:widowControl/>
                    <w:suppressLineNumbers w:val="0"/>
                    <w:bidi w:val="0"/>
                    <w:spacing w:before="0" w:beforeAutospacing="0" w:after="0" w:afterAutospacing="0"/>
                    <w:ind w:left="0" w:leftChars="0" w:right="0" w:rightChars="0"/>
                    <w:rPr>
                      <w:rFonts w:hint="eastAsia"/>
                      <w:szCs w:val="22"/>
                      <w:lang w:val="en-US" w:eastAsia="zh-CN"/>
                    </w:rPr>
                  </w:pPr>
                  <w:r>
                    <w:rPr>
                      <w:rFonts w:hint="eastAsia"/>
                      <w:szCs w:val="22"/>
                      <w:lang w:val="en-US" w:eastAsia="zh-CN"/>
                    </w:rPr>
                    <w:t>颗粒物</w:t>
                  </w:r>
                </w:p>
              </w:tc>
              <w:tc>
                <w:tcPr>
                  <w:tcW w:w="933" w:type="dxa"/>
                  <w:vMerge w:val="continue"/>
                  <w:noWrap w:val="0"/>
                  <w:vAlign w:val="center"/>
                </w:tcPr>
                <w:p w14:paraId="5C95AAB2">
                  <w:pPr>
                    <w:pStyle w:val="38"/>
                    <w:keepNext w:val="0"/>
                    <w:keepLines w:val="0"/>
                    <w:widowControl/>
                    <w:suppressLineNumbers w:val="0"/>
                    <w:bidi w:val="0"/>
                    <w:spacing w:before="0" w:beforeAutospacing="0" w:after="0" w:afterAutospacing="0"/>
                    <w:ind w:left="0" w:leftChars="0" w:right="0" w:rightChars="0"/>
                    <w:rPr>
                      <w:rFonts w:hint="eastAsia"/>
                      <w:szCs w:val="22"/>
                      <w:lang w:val="en-US" w:eastAsia="zh-CN"/>
                    </w:rPr>
                  </w:pPr>
                </w:p>
              </w:tc>
              <w:tc>
                <w:tcPr>
                  <w:tcW w:w="1334" w:type="dxa"/>
                  <w:noWrap w:val="0"/>
                  <w:vAlign w:val="center"/>
                </w:tcPr>
                <w:p w14:paraId="13F19AE1">
                  <w:pPr>
                    <w:pStyle w:val="38"/>
                    <w:keepNext w:val="0"/>
                    <w:keepLines w:val="0"/>
                    <w:widowControl/>
                    <w:suppressLineNumbers w:val="0"/>
                    <w:bidi w:val="0"/>
                    <w:spacing w:before="0" w:beforeAutospacing="0" w:after="0" w:afterAutospacing="0"/>
                    <w:ind w:left="0" w:leftChars="0" w:right="0" w:rightChars="0"/>
                    <w:rPr>
                      <w:rFonts w:hint="eastAsia"/>
                      <w:szCs w:val="22"/>
                      <w:lang w:val="en-US" w:eastAsia="zh-CN"/>
                    </w:rPr>
                  </w:pPr>
                  <w:r>
                    <w:rPr>
                      <w:rFonts w:hint="eastAsia"/>
                      <w:szCs w:val="22"/>
                      <w:lang w:val="en-US" w:eastAsia="zh-CN"/>
                    </w:rPr>
                    <w:t>120</w:t>
                  </w:r>
                </w:p>
              </w:tc>
              <w:tc>
                <w:tcPr>
                  <w:tcW w:w="1150" w:type="dxa"/>
                  <w:noWrap w:val="0"/>
                  <w:vAlign w:val="center"/>
                </w:tcPr>
                <w:p w14:paraId="7D415603">
                  <w:pPr>
                    <w:pStyle w:val="38"/>
                    <w:keepNext w:val="0"/>
                    <w:keepLines w:val="0"/>
                    <w:widowControl/>
                    <w:suppressLineNumbers w:val="0"/>
                    <w:bidi w:val="0"/>
                    <w:spacing w:before="0" w:beforeAutospacing="0" w:after="0" w:afterAutospacing="0"/>
                    <w:ind w:left="0" w:leftChars="0" w:right="0" w:rightChars="0"/>
                    <w:rPr>
                      <w:rFonts w:hint="eastAsia"/>
                      <w:szCs w:val="22"/>
                      <w:lang w:val="en-US" w:eastAsia="zh-CN"/>
                    </w:rPr>
                  </w:pPr>
                  <w:r>
                    <w:rPr>
                      <w:rFonts w:hint="eastAsia"/>
                      <w:szCs w:val="22"/>
                      <w:lang w:val="en-US" w:eastAsia="zh-CN"/>
                    </w:rPr>
                    <w:t>3.5</w:t>
                  </w:r>
                </w:p>
              </w:tc>
              <w:tc>
                <w:tcPr>
                  <w:tcW w:w="2473" w:type="dxa"/>
                  <w:noWrap w:val="0"/>
                  <w:vAlign w:val="center"/>
                </w:tcPr>
                <w:p w14:paraId="4E0FC5AE">
                  <w:pPr>
                    <w:pStyle w:val="38"/>
                    <w:keepNext w:val="0"/>
                    <w:keepLines w:val="0"/>
                    <w:widowControl/>
                    <w:suppressLineNumbers w:val="0"/>
                    <w:bidi w:val="0"/>
                    <w:spacing w:before="0" w:beforeAutospacing="0" w:after="0" w:afterAutospacing="0"/>
                    <w:ind w:left="0" w:leftChars="0" w:right="0" w:rightChars="0"/>
                    <w:rPr>
                      <w:rFonts w:hint="eastAsia"/>
                      <w:szCs w:val="22"/>
                      <w:lang w:val="en-US" w:eastAsia="zh-CN"/>
                    </w:rPr>
                  </w:pPr>
                  <w:r>
                    <w:rPr>
                      <w:rFonts w:hint="eastAsia"/>
                      <w:szCs w:val="22"/>
                      <w:lang w:val="en-US" w:eastAsia="zh-CN"/>
                    </w:rPr>
                    <w:t>《大气污染物综合排放标准》（GB16297-1996）表2</w:t>
                  </w:r>
                </w:p>
              </w:tc>
            </w:tr>
          </w:tbl>
          <w:p w14:paraId="7501D9BA">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（2）无组织排放</w:t>
            </w:r>
          </w:p>
          <w:p w14:paraId="3CFD0681">
            <w:pPr>
              <w:keepNext w:val="0"/>
              <w:keepLines w:val="0"/>
              <w:suppressLineNumbers w:val="0"/>
              <w:bidi w:val="0"/>
              <w:spacing w:before="0" w:beforeAutospacing="0" w:after="0" w:afterAutospacing="0"/>
              <w:ind w:left="0" w:right="0"/>
              <w:rPr>
                <w:rFonts w:hint="default"/>
                <w:lang w:val="en-US" w:eastAsia="zh-CN"/>
              </w:rPr>
            </w:pPr>
            <w:r>
              <w:rPr>
                <w:rFonts w:hint="eastAsia"/>
              </w:rPr>
              <w:t>本项目</w:t>
            </w:r>
            <w:r>
              <w:rPr>
                <w:rFonts w:hint="eastAsia"/>
                <w:lang w:val="en-US" w:eastAsia="zh-CN"/>
              </w:rPr>
              <w:t>喷漆、烘干、加烤</w:t>
            </w:r>
            <w:r>
              <w:rPr>
                <w:rFonts w:hint="eastAsia"/>
              </w:rPr>
              <w:t>工序</w:t>
            </w:r>
            <w:r>
              <w:rPr>
                <w:rFonts w:hint="eastAsia"/>
                <w:lang w:val="en-US" w:eastAsia="zh-CN"/>
              </w:rPr>
              <w:t>部分</w:t>
            </w:r>
            <w:r>
              <w:rPr>
                <w:rFonts w:hint="eastAsia"/>
              </w:rPr>
              <w:t>非甲烷总烃</w:t>
            </w:r>
            <w:r>
              <w:rPr>
                <w:rFonts w:hint="eastAsia"/>
                <w:lang w:val="en-US" w:eastAsia="zh-CN"/>
              </w:rPr>
              <w:t>会</w:t>
            </w:r>
            <w:r>
              <w:rPr>
                <w:rFonts w:hint="eastAsia"/>
              </w:rPr>
              <w:t>以无组织形式逸散，</w:t>
            </w:r>
            <w:r>
              <w:rPr>
                <w:rFonts w:hint="eastAsia"/>
                <w:lang w:val="en-US" w:eastAsia="zh-CN"/>
              </w:rPr>
              <w:t>打磨</w:t>
            </w:r>
            <w:r>
              <w:rPr>
                <w:rFonts w:hint="eastAsia"/>
              </w:rPr>
              <w:t>工序</w:t>
            </w:r>
            <w:r>
              <w:rPr>
                <w:rFonts w:hint="eastAsia"/>
                <w:lang w:val="en-US" w:eastAsia="zh-CN"/>
              </w:rPr>
              <w:t>颗粒物</w:t>
            </w:r>
            <w:r>
              <w:rPr>
                <w:rFonts w:hint="eastAsia"/>
              </w:rPr>
              <w:t>产生量极小，统一按无组织排放。</w:t>
            </w:r>
          </w:p>
          <w:p w14:paraId="7CD2FA60">
            <w:pPr>
              <w:keepNext w:val="0"/>
              <w:keepLines w:val="0"/>
              <w:suppressLineNumbers w:val="0"/>
              <w:wordWrap w:val="0"/>
              <w:spacing w:before="0" w:beforeAutospacing="0" w:after="0" w:afterAutospacing="0"/>
              <w:ind w:left="0" w:right="0" w:firstLine="480" w:firstLineChars="200"/>
              <w:rPr>
                <w:rFonts w:hint="default" w:ascii="Times New Roman" w:hAnsi="Times New Roman" w:eastAsia="宋体" w:cs="Times New Roman"/>
                <w:b w:val="0"/>
                <w:bCs w:val="0"/>
                <w:iCs w:val="0"/>
                <w:color w:val="auto"/>
                <w:sz w:val="24"/>
                <w:szCs w:val="24"/>
                <w:highlight w:val="none"/>
                <w:u w:val="none"/>
                <w:shd w:val="clear" w:color="auto" w:fill="FFFFFF"/>
                <w:lang w:val="en-US" w:eastAsia="zh-CN"/>
              </w:rPr>
            </w:pPr>
            <w:r>
              <w:rPr>
                <w:rFonts w:hint="eastAsia" w:ascii="Times New Roman" w:hAnsi="Times New Roman" w:eastAsia="宋体" w:cs="Times New Roman"/>
                <w:b w:val="0"/>
                <w:bCs w:val="0"/>
                <w:iCs w:val="0"/>
                <w:color w:val="auto"/>
                <w:sz w:val="24"/>
                <w:szCs w:val="24"/>
                <w:highlight w:val="none"/>
                <w:u w:val="none"/>
                <w:shd w:val="clear" w:color="auto" w:fill="FFFFFF"/>
                <w:lang w:val="en-US" w:eastAsia="zh-CN"/>
              </w:rPr>
              <w:t>无组织排放的非甲烷总烃</w:t>
            </w:r>
            <w:r>
              <w:rPr>
                <w:rFonts w:hint="eastAsia" w:cs="Times New Roman"/>
                <w:b w:val="0"/>
                <w:bCs w:val="0"/>
                <w:iCs w:val="0"/>
                <w:color w:val="auto"/>
                <w:sz w:val="24"/>
                <w:szCs w:val="24"/>
                <w:highlight w:val="none"/>
                <w:u w:val="none"/>
                <w:shd w:val="clear" w:color="auto" w:fill="FFFFFF"/>
                <w:lang w:val="en-US" w:eastAsia="zh-CN"/>
              </w:rPr>
              <w:t>厂界、厂区内监控点处1h平均浓度</w:t>
            </w:r>
            <w:r>
              <w:rPr>
                <w:rFonts w:hint="eastAsia" w:ascii="Times New Roman" w:hAnsi="Times New Roman" w:eastAsia="宋体" w:cs="Times New Roman"/>
                <w:b w:val="0"/>
                <w:bCs w:val="0"/>
                <w:iCs w:val="0"/>
                <w:color w:val="auto"/>
                <w:sz w:val="24"/>
                <w:szCs w:val="24"/>
                <w:highlight w:val="none"/>
                <w:u w:val="none"/>
                <w:shd w:val="clear" w:color="auto" w:fill="FFFFFF"/>
                <w:lang w:val="en-US" w:eastAsia="zh-CN"/>
              </w:rPr>
              <w:t>执行</w:t>
            </w:r>
            <w:r>
              <w:rPr>
                <w:rFonts w:hint="eastAsia"/>
                <w:color w:val="auto"/>
              </w:rPr>
              <w:t>《工业涂装工序挥发性有机物排放标准》（DB35/1783-2018）表4</w:t>
            </w:r>
            <w:r>
              <w:rPr>
                <w:rFonts w:hint="default" w:ascii="Times New Roman" w:hAnsi="Times New Roman" w:eastAsia="宋体" w:cs="Times New Roman"/>
                <w:color w:val="auto"/>
                <w:kern w:val="0"/>
                <w:sz w:val="24"/>
                <w:szCs w:val="22"/>
                <w:highlight w:val="none"/>
                <w:lang w:val="en-US" w:eastAsia="zh-CN" w:bidi="ar-SA"/>
              </w:rPr>
              <w:t>中标准限值</w:t>
            </w:r>
            <w:r>
              <w:rPr>
                <w:rFonts w:hint="default" w:ascii="Times New Roman" w:hAnsi="Times New Roman" w:eastAsia="宋体" w:cs="Times New Roman"/>
                <w:b w:val="0"/>
                <w:bCs w:val="0"/>
                <w:iCs w:val="0"/>
                <w:color w:val="auto"/>
                <w:sz w:val="24"/>
                <w:szCs w:val="24"/>
                <w:highlight w:val="none"/>
                <w:u w:val="none"/>
                <w:shd w:val="clear" w:color="auto" w:fill="FFFFFF"/>
                <w:lang w:val="en-US" w:eastAsia="zh-CN"/>
              </w:rPr>
              <w:t>。</w:t>
            </w:r>
          </w:p>
          <w:p w14:paraId="151F5541">
            <w:pPr>
              <w:keepNext w:val="0"/>
              <w:keepLines w:val="0"/>
              <w:suppressLineNumbers w:val="0"/>
              <w:wordWrap w:val="0"/>
              <w:spacing w:before="0" w:beforeAutospacing="0" w:after="0" w:afterAutospacing="0"/>
              <w:ind w:left="0" w:right="0" w:firstLine="480" w:firstLineChars="200"/>
              <w:rPr>
                <w:rFonts w:hint="eastAsia" w:eastAsia="宋体" w:cs="Times New Roman"/>
                <w:b w:val="0"/>
                <w:bCs w:val="0"/>
                <w:iCs w:val="0"/>
                <w:color w:val="auto"/>
                <w:sz w:val="24"/>
                <w:szCs w:val="24"/>
                <w:highlight w:val="none"/>
                <w:u w:val="none"/>
                <w:shd w:val="clear" w:color="auto" w:fill="FFFFFF"/>
                <w:lang w:val="en-US" w:eastAsia="zh-CN"/>
              </w:rPr>
            </w:pPr>
            <w:r>
              <w:rPr>
                <w:rFonts w:hint="default" w:ascii="Times New Roman" w:hAnsi="Times New Roman" w:eastAsia="宋体" w:cs="Times New Roman"/>
                <w:b w:val="0"/>
                <w:bCs w:val="0"/>
                <w:iCs w:val="0"/>
                <w:color w:val="auto"/>
                <w:sz w:val="24"/>
                <w:szCs w:val="24"/>
                <w:highlight w:val="none"/>
                <w:u w:val="none"/>
                <w:shd w:val="clear" w:color="auto" w:fill="FFFFFF"/>
                <w:lang w:val="en-US" w:eastAsia="zh-CN"/>
              </w:rPr>
              <w:t>根据《福建省生态环境厅关于国家和地方相关大气污染物排放标准执行有关事项的通知》文中要求，非甲烷总烃厂区内监控点处</w:t>
            </w:r>
            <w:r>
              <w:rPr>
                <w:rFonts w:hint="eastAsia" w:cs="Times New Roman"/>
                <w:b w:val="0"/>
                <w:bCs w:val="0"/>
                <w:iCs w:val="0"/>
                <w:color w:val="auto"/>
                <w:sz w:val="24"/>
                <w:szCs w:val="24"/>
                <w:highlight w:val="none"/>
                <w:u w:val="none"/>
                <w:shd w:val="clear" w:color="auto" w:fill="FFFFFF"/>
                <w:lang w:val="en-US" w:eastAsia="zh-CN"/>
              </w:rPr>
              <w:t>任意一次浓度值</w:t>
            </w:r>
            <w:r>
              <w:rPr>
                <w:rFonts w:hint="default" w:ascii="Times New Roman" w:hAnsi="Times New Roman" w:eastAsia="宋体" w:cs="Times New Roman"/>
                <w:b w:val="0"/>
                <w:bCs w:val="0"/>
                <w:iCs w:val="0"/>
                <w:color w:val="auto"/>
                <w:sz w:val="24"/>
                <w:szCs w:val="24"/>
                <w:highlight w:val="none"/>
                <w:u w:val="none"/>
                <w:shd w:val="clear" w:color="auto" w:fill="FFFFFF"/>
                <w:lang w:val="en-US" w:eastAsia="zh-CN"/>
              </w:rPr>
              <w:t>应符合《挥发性有机物无组织排放控制标准》（GB37822-2019）中表A.1特别排放限值要求</w:t>
            </w:r>
            <w:r>
              <w:rPr>
                <w:rFonts w:hint="eastAsia" w:cs="Times New Roman"/>
                <w:b w:val="0"/>
                <w:bCs w:val="0"/>
                <w:iCs w:val="0"/>
                <w:color w:val="auto"/>
                <w:sz w:val="24"/>
                <w:szCs w:val="24"/>
                <w:highlight w:val="none"/>
                <w:u w:val="none"/>
                <w:shd w:val="clear" w:color="auto" w:fill="FFFFFF"/>
                <w:lang w:val="en-US" w:eastAsia="zh-CN"/>
              </w:rPr>
              <w:t>。</w:t>
            </w:r>
          </w:p>
          <w:p w14:paraId="229E18D8">
            <w:pPr>
              <w:keepNext w:val="0"/>
              <w:keepLines w:val="0"/>
              <w:suppressLineNumbers w:val="0"/>
              <w:bidi w:val="0"/>
              <w:spacing w:before="0" w:beforeAutospacing="0" w:after="0" w:afterAutospacing="0"/>
              <w:ind w:left="0" w:right="0"/>
              <w:rPr>
                <w:rFonts w:hint="default"/>
              </w:rPr>
            </w:pPr>
            <w:r>
              <w:rPr>
                <w:rFonts w:hint="eastAsia"/>
                <w:lang w:val="en-US" w:eastAsia="zh-CN"/>
              </w:rPr>
              <w:t>喷漆、烘干、加烤及打磨</w:t>
            </w:r>
            <w:r>
              <w:rPr>
                <w:rFonts w:hint="eastAsia"/>
              </w:rPr>
              <w:t>工序产生的少量颗粒物</w:t>
            </w:r>
            <w:r>
              <w:rPr>
                <w:rFonts w:hint="eastAsia"/>
                <w:lang w:val="en-US" w:eastAsia="zh-CN"/>
              </w:rPr>
              <w:t>厂界执行</w:t>
            </w:r>
            <w:r>
              <w:rPr>
                <w:rFonts w:hint="default"/>
              </w:rPr>
              <w:t>《大气污染物综合排放标准》</w:t>
            </w:r>
            <w:r>
              <w:rPr>
                <w:rFonts w:hint="eastAsia"/>
                <w:lang w:eastAsia="zh-CN"/>
              </w:rPr>
              <w:t>（</w:t>
            </w:r>
            <w:r>
              <w:rPr>
                <w:rFonts w:hint="default"/>
              </w:rPr>
              <w:t>GB 16297—1996</w:t>
            </w:r>
            <w:r>
              <w:rPr>
                <w:rFonts w:hint="eastAsia"/>
                <w:lang w:eastAsia="zh-CN"/>
              </w:rPr>
              <w:t>）</w:t>
            </w:r>
            <w:r>
              <w:rPr>
                <w:rFonts w:hint="eastAsia"/>
                <w:lang w:val="en-US" w:eastAsia="zh-CN"/>
              </w:rPr>
              <w:t>表2 “其他”，</w:t>
            </w:r>
            <w:r>
              <w:rPr>
                <w:rFonts w:hint="default"/>
                <w:lang w:val="en-US" w:eastAsia="zh-CN"/>
              </w:rPr>
              <w:t>具体见表3.7-4。</w:t>
            </w:r>
          </w:p>
          <w:p w14:paraId="2E6E631E">
            <w:pPr>
              <w:pStyle w:val="39"/>
              <w:keepNext w:val="0"/>
              <w:keepLines w:val="0"/>
              <w:suppressLineNumbers w:val="0"/>
              <w:bidi w:val="0"/>
              <w:spacing w:before="0" w:beforeAutospacing="0" w:after="0" w:afterAutospacing="0"/>
              <w:ind w:left="0" w:right="0"/>
              <w:rPr>
                <w:rFonts w:hint="default"/>
              </w:rPr>
            </w:pPr>
            <w:r>
              <w:rPr>
                <w:rFonts w:hint="default"/>
              </w:rPr>
              <w:t>表3.7-</w:t>
            </w:r>
            <w:r>
              <w:rPr>
                <w:rFonts w:hint="default"/>
                <w:lang w:val="en-US" w:eastAsia="zh-CN"/>
              </w:rPr>
              <w:t>4</w:t>
            </w:r>
            <w:r>
              <w:rPr>
                <w:rFonts w:hint="default"/>
              </w:rPr>
              <w:t xml:space="preserve"> 无组织废气污染物排放标准</w:t>
            </w:r>
          </w:p>
          <w:tbl>
            <w:tblPr>
              <w:tblStyle w:val="29"/>
              <w:tblW w:w="79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2"/>
              <w:gridCol w:w="1120"/>
              <w:gridCol w:w="1874"/>
              <w:gridCol w:w="3932"/>
            </w:tblGrid>
            <w:tr w14:paraId="71FB4E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052" w:type="dxa"/>
                  <w:vMerge w:val="restart"/>
                  <w:noWrap w:val="0"/>
                  <w:vAlign w:val="center"/>
                </w:tcPr>
                <w:p w14:paraId="34465C36">
                  <w:pPr>
                    <w:pStyle w:val="38"/>
                    <w:keepNext w:val="0"/>
                    <w:keepLines w:val="0"/>
                    <w:widowControl/>
                    <w:suppressLineNumbers w:val="0"/>
                    <w:bidi w:val="0"/>
                    <w:spacing w:before="0" w:beforeAutospacing="0" w:after="0" w:afterAutospacing="0"/>
                    <w:ind w:left="0" w:right="0"/>
                    <w:rPr>
                      <w:rFonts w:hint="eastAsia"/>
                      <w:color w:val="auto"/>
                      <w:szCs w:val="22"/>
                    </w:rPr>
                  </w:pPr>
                  <w:r>
                    <w:rPr>
                      <w:rFonts w:hint="eastAsia"/>
                      <w:szCs w:val="22"/>
                    </w:rPr>
                    <w:t>污染物</w:t>
                  </w:r>
                </w:p>
              </w:tc>
              <w:tc>
                <w:tcPr>
                  <w:tcW w:w="2994" w:type="dxa"/>
                  <w:gridSpan w:val="2"/>
                  <w:noWrap w:val="0"/>
                  <w:vAlign w:val="center"/>
                </w:tcPr>
                <w:p w14:paraId="0078A6FE">
                  <w:pPr>
                    <w:pStyle w:val="38"/>
                    <w:keepNext w:val="0"/>
                    <w:keepLines w:val="0"/>
                    <w:widowControl/>
                    <w:suppressLineNumbers w:val="0"/>
                    <w:bidi w:val="0"/>
                    <w:spacing w:before="0" w:beforeAutospacing="0" w:after="0" w:afterAutospacing="0"/>
                    <w:ind w:left="0" w:right="0"/>
                    <w:rPr>
                      <w:rFonts w:hint="eastAsia"/>
                      <w:color w:val="auto"/>
                      <w:szCs w:val="22"/>
                    </w:rPr>
                  </w:pPr>
                  <w:r>
                    <w:rPr>
                      <w:rFonts w:hint="eastAsia"/>
                      <w:szCs w:val="22"/>
                    </w:rPr>
                    <w:t>无组织排放浓度限值</w:t>
                  </w:r>
                </w:p>
              </w:tc>
              <w:tc>
                <w:tcPr>
                  <w:tcW w:w="3932" w:type="dxa"/>
                  <w:vMerge w:val="restart"/>
                  <w:noWrap w:val="0"/>
                  <w:vAlign w:val="center"/>
                </w:tcPr>
                <w:p w14:paraId="57CE3397">
                  <w:pPr>
                    <w:pStyle w:val="38"/>
                    <w:keepNext w:val="0"/>
                    <w:keepLines w:val="0"/>
                    <w:widowControl/>
                    <w:suppressLineNumbers w:val="0"/>
                    <w:bidi w:val="0"/>
                    <w:spacing w:before="0" w:beforeAutospacing="0" w:after="0" w:afterAutospacing="0"/>
                    <w:ind w:left="0" w:right="0"/>
                    <w:rPr>
                      <w:rFonts w:hint="eastAsia"/>
                      <w:color w:val="auto"/>
                      <w:szCs w:val="22"/>
                    </w:rPr>
                  </w:pPr>
                  <w:r>
                    <w:rPr>
                      <w:rFonts w:hint="eastAsia"/>
                      <w:szCs w:val="22"/>
                    </w:rPr>
                    <w:t>标准来源</w:t>
                  </w:r>
                </w:p>
              </w:tc>
            </w:tr>
            <w:tr w14:paraId="07EB40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052" w:type="dxa"/>
                  <w:vMerge w:val="continue"/>
                  <w:noWrap w:val="0"/>
                  <w:vAlign w:val="center"/>
                </w:tcPr>
                <w:p w14:paraId="01FAE462">
                  <w:pPr>
                    <w:keepNext w:val="0"/>
                    <w:keepLines w:val="0"/>
                    <w:suppressLineNumbers w:val="0"/>
                    <w:bidi w:val="0"/>
                    <w:spacing w:before="0" w:beforeAutospacing="0" w:after="0" w:afterAutospacing="0"/>
                    <w:ind w:left="0" w:right="0"/>
                    <w:rPr>
                      <w:rFonts w:hint="eastAsia"/>
                      <w:color w:val="auto"/>
                    </w:rPr>
                  </w:pPr>
                </w:p>
              </w:tc>
              <w:tc>
                <w:tcPr>
                  <w:tcW w:w="1120" w:type="dxa"/>
                  <w:noWrap w:val="0"/>
                  <w:vAlign w:val="center"/>
                </w:tcPr>
                <w:p w14:paraId="1F480C03">
                  <w:pPr>
                    <w:pStyle w:val="38"/>
                    <w:keepNext w:val="0"/>
                    <w:keepLines w:val="0"/>
                    <w:widowControl/>
                    <w:suppressLineNumbers w:val="0"/>
                    <w:bidi w:val="0"/>
                    <w:spacing w:before="0" w:beforeAutospacing="0" w:after="0" w:afterAutospacing="0"/>
                    <w:ind w:left="0" w:right="0"/>
                    <w:rPr>
                      <w:rFonts w:hint="eastAsia"/>
                      <w:color w:val="auto"/>
                      <w:szCs w:val="22"/>
                    </w:rPr>
                  </w:pPr>
                  <w:r>
                    <w:rPr>
                      <w:rFonts w:hint="eastAsia"/>
                      <w:szCs w:val="22"/>
                    </w:rPr>
                    <w:t>监控点</w:t>
                  </w:r>
                </w:p>
              </w:tc>
              <w:tc>
                <w:tcPr>
                  <w:tcW w:w="1874" w:type="dxa"/>
                  <w:noWrap w:val="0"/>
                  <w:vAlign w:val="center"/>
                </w:tcPr>
                <w:p w14:paraId="626431B1">
                  <w:pPr>
                    <w:pStyle w:val="38"/>
                    <w:keepNext w:val="0"/>
                    <w:keepLines w:val="0"/>
                    <w:widowControl/>
                    <w:suppressLineNumbers w:val="0"/>
                    <w:bidi w:val="0"/>
                    <w:spacing w:before="0" w:beforeAutospacing="0" w:after="0" w:afterAutospacing="0"/>
                    <w:ind w:left="0" w:right="0"/>
                    <w:rPr>
                      <w:rFonts w:hint="eastAsia"/>
                      <w:color w:val="auto"/>
                      <w:szCs w:val="22"/>
                    </w:rPr>
                  </w:pPr>
                  <w:r>
                    <w:rPr>
                      <w:rFonts w:hint="eastAsia"/>
                      <w:szCs w:val="22"/>
                    </w:rPr>
                    <w:t>浓度（mg/m</w:t>
                  </w:r>
                  <w:r>
                    <w:rPr>
                      <w:rFonts w:hint="eastAsia"/>
                      <w:szCs w:val="22"/>
                      <w:vertAlign w:val="superscript"/>
                    </w:rPr>
                    <w:t>3</w:t>
                  </w:r>
                  <w:r>
                    <w:rPr>
                      <w:rFonts w:hint="eastAsia"/>
                      <w:szCs w:val="22"/>
                    </w:rPr>
                    <w:t>）</w:t>
                  </w:r>
                </w:p>
              </w:tc>
              <w:tc>
                <w:tcPr>
                  <w:tcW w:w="3932" w:type="dxa"/>
                  <w:vMerge w:val="continue"/>
                  <w:noWrap w:val="0"/>
                  <w:vAlign w:val="center"/>
                </w:tcPr>
                <w:p w14:paraId="542F5893">
                  <w:pPr>
                    <w:keepNext w:val="0"/>
                    <w:keepLines w:val="0"/>
                    <w:suppressLineNumbers w:val="0"/>
                    <w:bidi w:val="0"/>
                    <w:spacing w:before="0" w:beforeAutospacing="0" w:after="0" w:afterAutospacing="0"/>
                    <w:ind w:left="0" w:right="0"/>
                    <w:rPr>
                      <w:rFonts w:hint="eastAsia"/>
                      <w:color w:val="auto"/>
                    </w:rPr>
                  </w:pPr>
                </w:p>
              </w:tc>
            </w:tr>
            <w:tr w14:paraId="007602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1052" w:type="dxa"/>
                  <w:vMerge w:val="restart"/>
                  <w:noWrap w:val="0"/>
                  <w:vAlign w:val="center"/>
                </w:tcPr>
                <w:p w14:paraId="0E9C3F41">
                  <w:pPr>
                    <w:pStyle w:val="38"/>
                    <w:keepNext w:val="0"/>
                    <w:keepLines w:val="0"/>
                    <w:widowControl/>
                    <w:suppressLineNumbers w:val="0"/>
                    <w:bidi w:val="0"/>
                    <w:spacing w:before="0" w:beforeAutospacing="0" w:after="0" w:afterAutospacing="0"/>
                    <w:ind w:left="0" w:right="0"/>
                    <w:rPr>
                      <w:rFonts w:hint="eastAsia"/>
                      <w:color w:val="auto"/>
                      <w:szCs w:val="22"/>
                    </w:rPr>
                  </w:pPr>
                  <w:r>
                    <w:rPr>
                      <w:rFonts w:hint="eastAsia"/>
                      <w:szCs w:val="22"/>
                    </w:rPr>
                    <w:t>非甲烷总烃</w:t>
                  </w:r>
                </w:p>
              </w:tc>
              <w:tc>
                <w:tcPr>
                  <w:tcW w:w="1120" w:type="dxa"/>
                  <w:noWrap w:val="0"/>
                  <w:vAlign w:val="center"/>
                </w:tcPr>
                <w:p w14:paraId="34CA2241">
                  <w:pPr>
                    <w:pStyle w:val="38"/>
                    <w:keepNext w:val="0"/>
                    <w:keepLines w:val="0"/>
                    <w:widowControl/>
                    <w:suppressLineNumbers w:val="0"/>
                    <w:bidi w:val="0"/>
                    <w:spacing w:before="0" w:beforeAutospacing="0" w:after="0" w:afterAutospacing="0"/>
                    <w:ind w:left="0" w:right="0"/>
                    <w:rPr>
                      <w:rFonts w:hint="eastAsia"/>
                      <w:color w:val="auto"/>
                      <w:szCs w:val="22"/>
                    </w:rPr>
                  </w:pPr>
                  <w:r>
                    <w:rPr>
                      <w:rFonts w:hint="default"/>
                      <w:szCs w:val="22"/>
                    </w:rPr>
                    <w:t>厂区内</w:t>
                  </w:r>
                </w:p>
              </w:tc>
              <w:tc>
                <w:tcPr>
                  <w:tcW w:w="1874" w:type="dxa"/>
                  <w:noWrap w:val="0"/>
                  <w:vAlign w:val="center"/>
                </w:tcPr>
                <w:p w14:paraId="15B74C69">
                  <w:pPr>
                    <w:pStyle w:val="38"/>
                    <w:keepNext w:val="0"/>
                    <w:keepLines w:val="0"/>
                    <w:widowControl/>
                    <w:suppressLineNumbers w:val="0"/>
                    <w:bidi w:val="0"/>
                    <w:spacing w:before="0" w:beforeAutospacing="0" w:after="0" w:afterAutospacing="0"/>
                    <w:ind w:left="0" w:right="0"/>
                    <w:rPr>
                      <w:rFonts w:hint="default"/>
                      <w:color w:val="auto"/>
                      <w:szCs w:val="22"/>
                      <w:lang w:val="en-US" w:eastAsia="zh-CN"/>
                    </w:rPr>
                  </w:pPr>
                  <w:r>
                    <w:rPr>
                      <w:rFonts w:hint="eastAsia"/>
                      <w:szCs w:val="22"/>
                      <w:lang w:val="en-US" w:eastAsia="zh-CN"/>
                    </w:rPr>
                    <w:t>30</w:t>
                  </w:r>
                  <w:r>
                    <w:rPr>
                      <w:rFonts w:hint="default"/>
                      <w:szCs w:val="22"/>
                      <w:lang w:val="en-US" w:eastAsia="zh-CN"/>
                    </w:rPr>
                    <w:t>（</w:t>
                  </w:r>
                  <w:r>
                    <w:rPr>
                      <w:rFonts w:hint="default"/>
                      <w:szCs w:val="22"/>
                    </w:rPr>
                    <w:t>监控点处任意一次浓度值</w:t>
                  </w:r>
                  <w:r>
                    <w:rPr>
                      <w:rFonts w:hint="default"/>
                      <w:szCs w:val="22"/>
                      <w:lang w:val="en-US" w:eastAsia="zh-CN"/>
                    </w:rPr>
                    <w:t>）</w:t>
                  </w:r>
                </w:p>
              </w:tc>
              <w:tc>
                <w:tcPr>
                  <w:tcW w:w="3932" w:type="dxa"/>
                  <w:vMerge w:val="restart"/>
                  <w:noWrap w:val="0"/>
                  <w:vAlign w:val="center"/>
                </w:tcPr>
                <w:p w14:paraId="6AE7B5E6">
                  <w:pPr>
                    <w:pStyle w:val="38"/>
                    <w:keepNext w:val="0"/>
                    <w:keepLines w:val="0"/>
                    <w:widowControl/>
                    <w:suppressLineNumbers w:val="0"/>
                    <w:bidi w:val="0"/>
                    <w:spacing w:before="0" w:beforeAutospacing="0" w:after="0" w:afterAutospacing="0"/>
                    <w:ind w:left="0" w:right="0"/>
                    <w:rPr>
                      <w:rFonts w:hint="eastAsia"/>
                      <w:color w:val="auto"/>
                      <w:szCs w:val="22"/>
                    </w:rPr>
                  </w:pPr>
                  <w:r>
                    <w:rPr>
                      <w:rFonts w:hint="default"/>
                      <w:szCs w:val="22"/>
                    </w:rPr>
                    <w:t>《挥发性有机物无组织排放控制标准》（GB37822-2019）附录A表A.1</w:t>
                  </w:r>
                </w:p>
              </w:tc>
            </w:tr>
            <w:tr w14:paraId="0D2EDA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2" w:type="dxa"/>
                  <w:vMerge w:val="continue"/>
                  <w:noWrap w:val="0"/>
                  <w:vAlign w:val="center"/>
                </w:tcPr>
                <w:p w14:paraId="44920AD3">
                  <w:pPr>
                    <w:keepNext w:val="0"/>
                    <w:keepLines w:val="0"/>
                    <w:suppressLineNumbers w:val="0"/>
                    <w:bidi w:val="0"/>
                    <w:spacing w:before="0" w:beforeAutospacing="0" w:after="0" w:afterAutospacing="0"/>
                    <w:ind w:left="0" w:right="0"/>
                    <w:rPr>
                      <w:rFonts w:hint="eastAsia"/>
                      <w:color w:val="auto"/>
                    </w:rPr>
                  </w:pPr>
                </w:p>
              </w:tc>
              <w:tc>
                <w:tcPr>
                  <w:tcW w:w="1120" w:type="dxa"/>
                  <w:noWrap w:val="0"/>
                  <w:vAlign w:val="center"/>
                </w:tcPr>
                <w:p w14:paraId="0E131339">
                  <w:pPr>
                    <w:pStyle w:val="38"/>
                    <w:keepNext w:val="0"/>
                    <w:keepLines w:val="0"/>
                    <w:widowControl/>
                    <w:suppressLineNumbers w:val="0"/>
                    <w:bidi w:val="0"/>
                    <w:spacing w:before="0" w:beforeAutospacing="0" w:after="0" w:afterAutospacing="0"/>
                    <w:ind w:left="0" w:right="0"/>
                    <w:rPr>
                      <w:rFonts w:hint="eastAsia"/>
                      <w:color w:val="auto"/>
                      <w:szCs w:val="22"/>
                    </w:rPr>
                  </w:pPr>
                  <w:r>
                    <w:rPr>
                      <w:rFonts w:hint="default"/>
                      <w:szCs w:val="22"/>
                    </w:rPr>
                    <w:t>厂区内</w:t>
                  </w:r>
                </w:p>
              </w:tc>
              <w:tc>
                <w:tcPr>
                  <w:tcW w:w="1874" w:type="dxa"/>
                  <w:noWrap w:val="0"/>
                  <w:vAlign w:val="center"/>
                </w:tcPr>
                <w:p w14:paraId="3A04393A">
                  <w:pPr>
                    <w:pStyle w:val="38"/>
                    <w:keepNext w:val="0"/>
                    <w:keepLines w:val="0"/>
                    <w:widowControl/>
                    <w:suppressLineNumbers w:val="0"/>
                    <w:bidi w:val="0"/>
                    <w:spacing w:before="0" w:beforeAutospacing="0" w:after="0" w:afterAutospacing="0"/>
                    <w:ind w:left="0" w:right="0"/>
                    <w:rPr>
                      <w:rFonts w:hint="eastAsia"/>
                      <w:color w:val="auto"/>
                      <w:szCs w:val="22"/>
                    </w:rPr>
                  </w:pPr>
                  <w:r>
                    <w:rPr>
                      <w:rFonts w:hint="eastAsia"/>
                      <w:szCs w:val="22"/>
                      <w:lang w:val="en-US" w:eastAsia="zh-CN"/>
                    </w:rPr>
                    <w:t>10</w:t>
                  </w:r>
                  <w:r>
                    <w:rPr>
                      <w:rFonts w:hint="eastAsia"/>
                      <w:szCs w:val="22"/>
                      <w:lang w:eastAsia="zh-CN"/>
                    </w:rPr>
                    <w:t>（监控点处1h平均浓度值）</w:t>
                  </w:r>
                </w:p>
              </w:tc>
              <w:tc>
                <w:tcPr>
                  <w:tcW w:w="3932" w:type="dxa"/>
                  <w:vMerge w:val="continue"/>
                  <w:noWrap w:val="0"/>
                  <w:vAlign w:val="center"/>
                </w:tcPr>
                <w:p w14:paraId="78DDA40F">
                  <w:pPr>
                    <w:keepNext w:val="0"/>
                    <w:keepLines w:val="0"/>
                    <w:suppressLineNumbers w:val="0"/>
                    <w:bidi w:val="0"/>
                    <w:spacing w:before="0" w:beforeAutospacing="0" w:after="0" w:afterAutospacing="0"/>
                    <w:ind w:left="0" w:right="0" w:firstLine="480" w:firstLineChars="200"/>
                    <w:rPr>
                      <w:rFonts w:hint="eastAsia"/>
                      <w:color w:val="auto"/>
                    </w:rPr>
                  </w:pPr>
                </w:p>
              </w:tc>
            </w:tr>
            <w:tr w14:paraId="657AC6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2" w:type="dxa"/>
                  <w:vMerge w:val="continue"/>
                  <w:noWrap w:val="0"/>
                  <w:vAlign w:val="center"/>
                </w:tcPr>
                <w:p w14:paraId="29800C73">
                  <w:pPr>
                    <w:keepNext w:val="0"/>
                    <w:keepLines w:val="0"/>
                    <w:suppressLineNumbers w:val="0"/>
                    <w:bidi w:val="0"/>
                    <w:spacing w:before="0" w:beforeAutospacing="0" w:after="0" w:afterAutospacing="0"/>
                    <w:ind w:left="0" w:right="0"/>
                    <w:rPr>
                      <w:rFonts w:hint="eastAsia"/>
                      <w:color w:val="auto"/>
                    </w:rPr>
                  </w:pPr>
                </w:p>
              </w:tc>
              <w:tc>
                <w:tcPr>
                  <w:tcW w:w="1120" w:type="dxa"/>
                  <w:noWrap w:val="0"/>
                  <w:vAlign w:val="center"/>
                </w:tcPr>
                <w:p w14:paraId="6E8C3B33">
                  <w:pPr>
                    <w:pStyle w:val="38"/>
                    <w:keepNext w:val="0"/>
                    <w:keepLines w:val="0"/>
                    <w:widowControl/>
                    <w:suppressLineNumbers w:val="0"/>
                    <w:bidi w:val="0"/>
                    <w:spacing w:before="0" w:beforeAutospacing="0" w:after="0" w:afterAutospacing="0"/>
                    <w:ind w:left="0" w:right="0"/>
                    <w:rPr>
                      <w:rFonts w:hint="eastAsia"/>
                      <w:color w:val="auto"/>
                      <w:szCs w:val="22"/>
                    </w:rPr>
                  </w:pPr>
                  <w:r>
                    <w:rPr>
                      <w:rFonts w:hint="default"/>
                      <w:szCs w:val="22"/>
                    </w:rPr>
                    <w:t>厂界</w:t>
                  </w:r>
                </w:p>
              </w:tc>
              <w:tc>
                <w:tcPr>
                  <w:tcW w:w="1874" w:type="dxa"/>
                  <w:noWrap w:val="0"/>
                  <w:vAlign w:val="center"/>
                </w:tcPr>
                <w:p w14:paraId="69415A13">
                  <w:pPr>
                    <w:pStyle w:val="38"/>
                    <w:keepNext w:val="0"/>
                    <w:keepLines w:val="0"/>
                    <w:widowControl/>
                    <w:suppressLineNumbers w:val="0"/>
                    <w:bidi w:val="0"/>
                    <w:spacing w:before="0" w:beforeAutospacing="0" w:after="0" w:afterAutospacing="0"/>
                    <w:ind w:left="0" w:right="0"/>
                    <w:rPr>
                      <w:rFonts w:hint="eastAsia"/>
                      <w:color w:val="auto"/>
                      <w:szCs w:val="22"/>
                    </w:rPr>
                  </w:pPr>
                  <w:r>
                    <w:rPr>
                      <w:rFonts w:hint="default"/>
                      <w:szCs w:val="22"/>
                    </w:rPr>
                    <w:t>2.0</w:t>
                  </w:r>
                </w:p>
              </w:tc>
              <w:tc>
                <w:tcPr>
                  <w:tcW w:w="3932" w:type="dxa"/>
                  <w:noWrap w:val="0"/>
                  <w:vAlign w:val="center"/>
                </w:tcPr>
                <w:p w14:paraId="41B61F99">
                  <w:pPr>
                    <w:pStyle w:val="38"/>
                    <w:keepNext w:val="0"/>
                    <w:keepLines w:val="0"/>
                    <w:widowControl/>
                    <w:suppressLineNumbers w:val="0"/>
                    <w:bidi w:val="0"/>
                    <w:spacing w:before="0" w:beforeAutospacing="0" w:after="0" w:afterAutospacing="0"/>
                    <w:ind w:left="0" w:right="0"/>
                    <w:rPr>
                      <w:rFonts w:hint="eastAsia"/>
                      <w:color w:val="auto"/>
                      <w:szCs w:val="22"/>
                    </w:rPr>
                  </w:pPr>
                  <w:r>
                    <w:rPr>
                      <w:rFonts w:hint="eastAsia"/>
                      <w:color w:val="auto"/>
                      <w:szCs w:val="22"/>
                    </w:rPr>
                    <w:t>《工业涂装工序挥发性有机物排放标准》（DB35/1783-2018）表4</w:t>
                  </w:r>
                </w:p>
              </w:tc>
            </w:tr>
            <w:tr w14:paraId="005849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52" w:type="dxa"/>
                  <w:noWrap w:val="0"/>
                  <w:vAlign w:val="center"/>
                </w:tcPr>
                <w:p w14:paraId="3A22FF61">
                  <w:pPr>
                    <w:pStyle w:val="38"/>
                    <w:keepNext w:val="0"/>
                    <w:keepLines w:val="0"/>
                    <w:widowControl/>
                    <w:suppressLineNumbers w:val="0"/>
                    <w:bidi w:val="0"/>
                    <w:spacing w:before="0" w:beforeAutospacing="0" w:after="0" w:afterAutospacing="0"/>
                    <w:ind w:left="0" w:right="0"/>
                    <w:rPr>
                      <w:rFonts w:hint="eastAsia" w:eastAsia="宋体"/>
                      <w:color w:val="auto"/>
                      <w:szCs w:val="22"/>
                      <w:lang w:val="en-US" w:eastAsia="zh-CN"/>
                    </w:rPr>
                  </w:pPr>
                  <w:r>
                    <w:rPr>
                      <w:rFonts w:hint="eastAsia"/>
                      <w:szCs w:val="22"/>
                      <w:lang w:val="en-US" w:eastAsia="zh-CN"/>
                    </w:rPr>
                    <w:t>颗粒物</w:t>
                  </w:r>
                </w:p>
              </w:tc>
              <w:tc>
                <w:tcPr>
                  <w:tcW w:w="1120" w:type="dxa"/>
                  <w:noWrap w:val="0"/>
                  <w:vAlign w:val="center"/>
                </w:tcPr>
                <w:p w14:paraId="7E4EEFAA">
                  <w:pPr>
                    <w:pStyle w:val="38"/>
                    <w:keepNext w:val="0"/>
                    <w:keepLines w:val="0"/>
                    <w:widowControl/>
                    <w:suppressLineNumbers w:val="0"/>
                    <w:bidi w:val="0"/>
                    <w:spacing w:before="0" w:beforeAutospacing="0" w:after="0" w:afterAutospacing="0"/>
                    <w:ind w:left="0" w:right="0"/>
                    <w:rPr>
                      <w:rFonts w:hint="default" w:eastAsia="宋体"/>
                      <w:color w:val="auto"/>
                      <w:szCs w:val="22"/>
                      <w:lang w:val="en-US" w:eastAsia="zh-CN"/>
                    </w:rPr>
                  </w:pPr>
                  <w:r>
                    <w:rPr>
                      <w:rFonts w:hint="default"/>
                      <w:szCs w:val="22"/>
                    </w:rPr>
                    <w:t>厂界</w:t>
                  </w:r>
                </w:p>
              </w:tc>
              <w:tc>
                <w:tcPr>
                  <w:tcW w:w="1874" w:type="dxa"/>
                  <w:noWrap w:val="0"/>
                  <w:vAlign w:val="center"/>
                </w:tcPr>
                <w:p w14:paraId="3F1B9712">
                  <w:pPr>
                    <w:pStyle w:val="38"/>
                    <w:keepNext w:val="0"/>
                    <w:keepLines w:val="0"/>
                    <w:widowControl/>
                    <w:suppressLineNumbers w:val="0"/>
                    <w:bidi w:val="0"/>
                    <w:spacing w:before="0" w:beforeAutospacing="0" w:after="0" w:afterAutospacing="0"/>
                    <w:ind w:left="0" w:right="0"/>
                    <w:rPr>
                      <w:rFonts w:hint="default" w:eastAsia="宋体"/>
                      <w:color w:val="auto"/>
                      <w:szCs w:val="22"/>
                      <w:lang w:val="en-US" w:eastAsia="zh-CN"/>
                    </w:rPr>
                  </w:pPr>
                  <w:r>
                    <w:rPr>
                      <w:rFonts w:hint="eastAsia"/>
                      <w:szCs w:val="22"/>
                      <w:lang w:val="en-US" w:eastAsia="zh-CN"/>
                    </w:rPr>
                    <w:t>1.0（周界外浓度最高点）</w:t>
                  </w:r>
                </w:p>
              </w:tc>
              <w:tc>
                <w:tcPr>
                  <w:tcW w:w="3932" w:type="dxa"/>
                  <w:noWrap w:val="0"/>
                  <w:vAlign w:val="center"/>
                </w:tcPr>
                <w:p w14:paraId="69C9F769">
                  <w:pPr>
                    <w:pStyle w:val="38"/>
                    <w:keepNext w:val="0"/>
                    <w:keepLines w:val="0"/>
                    <w:widowControl/>
                    <w:suppressLineNumbers w:val="0"/>
                    <w:bidi w:val="0"/>
                    <w:spacing w:before="0" w:beforeAutospacing="0" w:after="0" w:afterAutospacing="0"/>
                    <w:ind w:left="0" w:right="0"/>
                    <w:rPr>
                      <w:rFonts w:hint="default" w:eastAsia="宋体"/>
                      <w:color w:val="auto"/>
                      <w:szCs w:val="22"/>
                      <w:lang w:val="en-US" w:eastAsia="zh-CN"/>
                    </w:rPr>
                  </w:pPr>
                  <w:r>
                    <w:rPr>
                      <w:rFonts w:hint="default"/>
                      <w:szCs w:val="22"/>
                    </w:rPr>
                    <w:t>《大气污染物综合排放标准》</w:t>
                  </w:r>
                  <w:r>
                    <w:rPr>
                      <w:rFonts w:hint="eastAsia"/>
                      <w:szCs w:val="22"/>
                      <w:lang w:eastAsia="zh-CN"/>
                    </w:rPr>
                    <w:t>（</w:t>
                  </w:r>
                  <w:r>
                    <w:rPr>
                      <w:rFonts w:hint="default"/>
                      <w:szCs w:val="22"/>
                    </w:rPr>
                    <w:t>GB 16297—1996</w:t>
                  </w:r>
                  <w:r>
                    <w:rPr>
                      <w:rFonts w:hint="eastAsia"/>
                      <w:szCs w:val="22"/>
                      <w:lang w:eastAsia="zh-CN"/>
                    </w:rPr>
                    <w:t>）</w:t>
                  </w:r>
                  <w:r>
                    <w:rPr>
                      <w:rFonts w:hint="eastAsia"/>
                      <w:szCs w:val="22"/>
                      <w:lang w:val="en-US" w:eastAsia="zh-CN"/>
                    </w:rPr>
                    <w:t>表2 “其他”</w:t>
                  </w:r>
                </w:p>
              </w:tc>
            </w:tr>
          </w:tbl>
          <w:p w14:paraId="56B2378A">
            <w:pPr>
              <w:pStyle w:val="4"/>
              <w:suppressLineNumbers w:val="0"/>
              <w:bidi w:val="0"/>
              <w:spacing w:before="0" w:beforeAutospacing="0" w:after="0" w:afterAutospacing="0"/>
              <w:ind w:left="0" w:right="0"/>
              <w:rPr>
                <w:rFonts w:hint="eastAsia"/>
                <w:lang w:val="en-US" w:eastAsia="zh-CN"/>
              </w:rPr>
            </w:pPr>
            <w:r>
              <w:rPr>
                <w:rFonts w:hint="eastAsia"/>
                <w:lang w:val="en-US" w:eastAsia="zh-CN"/>
              </w:rPr>
              <w:t>噪声污染物排放标准</w:t>
            </w:r>
          </w:p>
          <w:p w14:paraId="4491F5B6">
            <w:pPr>
              <w:keepNext w:val="0"/>
              <w:keepLines w:val="0"/>
              <w:suppressLineNumbers w:val="0"/>
              <w:bidi w:val="0"/>
              <w:spacing w:before="0" w:beforeAutospacing="0" w:after="0" w:afterAutospacing="0"/>
              <w:ind w:left="0" w:right="0"/>
              <w:rPr>
                <w:rFonts w:hint="eastAsia"/>
              </w:rPr>
            </w:pPr>
            <w:r>
              <w:rPr>
                <w:rFonts w:hint="eastAsia"/>
              </w:rPr>
              <w:t>运营期厂界噪声执行《工业企业厂界环境噪声排放标准》（GB12348-2008）中的3类标准，详见表3.7-</w:t>
            </w:r>
            <w:r>
              <w:rPr>
                <w:rFonts w:hint="eastAsia"/>
                <w:lang w:val="en-US" w:eastAsia="zh-CN"/>
              </w:rPr>
              <w:t>4</w:t>
            </w:r>
            <w:r>
              <w:rPr>
                <w:rFonts w:hint="eastAsia"/>
              </w:rPr>
              <w:t>。</w:t>
            </w:r>
          </w:p>
          <w:p w14:paraId="3EB6649D">
            <w:pPr>
              <w:pStyle w:val="39"/>
              <w:keepNext w:val="0"/>
              <w:keepLines w:val="0"/>
              <w:suppressLineNumbers w:val="0"/>
              <w:bidi w:val="0"/>
              <w:spacing w:before="0" w:beforeAutospacing="0" w:after="0" w:afterAutospacing="0"/>
              <w:ind w:left="0" w:right="0"/>
              <w:rPr>
                <w:rFonts w:hint="default"/>
              </w:rPr>
            </w:pPr>
            <w:r>
              <w:rPr>
                <w:rFonts w:hint="default"/>
              </w:rPr>
              <w:t>表</w:t>
            </w:r>
            <w:r>
              <w:rPr>
                <w:rFonts w:hint="default"/>
                <w:lang w:val="en-US" w:eastAsia="zh-CN"/>
              </w:rPr>
              <w:t>3.</w:t>
            </w:r>
            <w:r>
              <w:rPr>
                <w:rFonts w:hint="eastAsia"/>
                <w:lang w:val="en-US" w:eastAsia="zh-CN"/>
              </w:rPr>
              <w:t>7</w:t>
            </w:r>
            <w:r>
              <w:rPr>
                <w:rFonts w:hint="default"/>
                <w:lang w:val="en-US" w:eastAsia="zh-CN"/>
              </w:rPr>
              <w:t>-</w:t>
            </w:r>
            <w:r>
              <w:rPr>
                <w:rFonts w:hint="eastAsia"/>
                <w:lang w:val="en-US" w:eastAsia="zh-CN"/>
              </w:rPr>
              <w:t>4</w:t>
            </w:r>
            <w:r>
              <w:rPr>
                <w:rFonts w:hint="default"/>
              </w:rPr>
              <w:t xml:space="preserve">  厂界噪声排放标准</w:t>
            </w:r>
          </w:p>
          <w:tbl>
            <w:tblPr>
              <w:tblStyle w:val="29"/>
              <w:tblW w:w="79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32"/>
              <w:gridCol w:w="3603"/>
              <w:gridCol w:w="1060"/>
              <w:gridCol w:w="1783"/>
            </w:tblGrid>
            <w:tr w14:paraId="5FB327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1532" w:type="dxa"/>
                  <w:noWrap w:val="0"/>
                  <w:vAlign w:val="center"/>
                </w:tcPr>
                <w:p w14:paraId="0FB2CD2C">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类别</w:t>
                  </w:r>
                </w:p>
              </w:tc>
              <w:tc>
                <w:tcPr>
                  <w:tcW w:w="3603" w:type="dxa"/>
                  <w:noWrap w:val="0"/>
                  <w:vAlign w:val="center"/>
                </w:tcPr>
                <w:p w14:paraId="39A3CBFF">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标准名称</w:t>
                  </w:r>
                </w:p>
              </w:tc>
              <w:tc>
                <w:tcPr>
                  <w:tcW w:w="1060" w:type="dxa"/>
                  <w:noWrap w:val="0"/>
                  <w:vAlign w:val="center"/>
                </w:tcPr>
                <w:p w14:paraId="12CFB29F">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项目</w:t>
                  </w:r>
                </w:p>
              </w:tc>
              <w:tc>
                <w:tcPr>
                  <w:tcW w:w="1783" w:type="dxa"/>
                  <w:noWrap w:val="0"/>
                  <w:vAlign w:val="center"/>
                </w:tcPr>
                <w:p w14:paraId="2E1B988D">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标准限值</w:t>
                  </w:r>
                </w:p>
              </w:tc>
            </w:tr>
            <w:tr w14:paraId="5210F1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532" w:type="dxa"/>
                  <w:vMerge w:val="restart"/>
                  <w:noWrap w:val="0"/>
                  <w:vAlign w:val="center"/>
                </w:tcPr>
                <w:p w14:paraId="3043DF42">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厂界噪声</w:t>
                  </w:r>
                </w:p>
              </w:tc>
              <w:tc>
                <w:tcPr>
                  <w:tcW w:w="3603" w:type="dxa"/>
                  <w:vMerge w:val="restart"/>
                  <w:noWrap w:val="0"/>
                  <w:vAlign w:val="center"/>
                </w:tcPr>
                <w:p w14:paraId="19834EA0">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《工业企业厂界环境噪声排放标准》（GB12348-2008）</w:t>
                  </w:r>
                  <w:r>
                    <w:rPr>
                      <w:rFonts w:hint="eastAsia"/>
                      <w:szCs w:val="22"/>
                      <w:lang w:val="en-US" w:eastAsia="zh-CN"/>
                    </w:rPr>
                    <w:t>3</w:t>
                  </w:r>
                  <w:r>
                    <w:rPr>
                      <w:rFonts w:hint="default"/>
                      <w:szCs w:val="22"/>
                    </w:rPr>
                    <w:t>类标准</w:t>
                  </w:r>
                </w:p>
              </w:tc>
              <w:tc>
                <w:tcPr>
                  <w:tcW w:w="1060" w:type="dxa"/>
                  <w:noWrap w:val="0"/>
                  <w:vAlign w:val="center"/>
                </w:tcPr>
                <w:p w14:paraId="4AB40FC5">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昼间</w:t>
                  </w:r>
                </w:p>
              </w:tc>
              <w:tc>
                <w:tcPr>
                  <w:tcW w:w="1783" w:type="dxa"/>
                  <w:noWrap w:val="0"/>
                  <w:vAlign w:val="center"/>
                </w:tcPr>
                <w:p w14:paraId="2B033019">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lang w:val="en-US" w:eastAsia="zh-CN"/>
                    </w:rPr>
                    <w:t>65</w:t>
                  </w:r>
                  <w:r>
                    <w:rPr>
                      <w:rFonts w:hint="default"/>
                      <w:szCs w:val="22"/>
                    </w:rPr>
                    <w:t>dB</w:t>
                  </w:r>
                  <w:r>
                    <w:rPr>
                      <w:rFonts w:hint="eastAsia"/>
                      <w:szCs w:val="22"/>
                      <w:lang w:eastAsia="zh-CN"/>
                    </w:rPr>
                    <w:t>（</w:t>
                  </w:r>
                  <w:r>
                    <w:rPr>
                      <w:rFonts w:hint="default"/>
                      <w:szCs w:val="22"/>
                    </w:rPr>
                    <w:t>A</w:t>
                  </w:r>
                  <w:r>
                    <w:rPr>
                      <w:rFonts w:hint="eastAsia"/>
                      <w:szCs w:val="22"/>
                      <w:lang w:eastAsia="zh-CN"/>
                    </w:rPr>
                    <w:t>）</w:t>
                  </w:r>
                </w:p>
              </w:tc>
            </w:tr>
            <w:tr w14:paraId="5E1BD1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532" w:type="dxa"/>
                  <w:vMerge w:val="continue"/>
                  <w:noWrap w:val="0"/>
                  <w:vAlign w:val="center"/>
                </w:tcPr>
                <w:p w14:paraId="58F2C4CB">
                  <w:pPr>
                    <w:pStyle w:val="38"/>
                    <w:keepNext w:val="0"/>
                    <w:keepLines w:val="0"/>
                    <w:widowControl/>
                    <w:suppressLineNumbers w:val="0"/>
                    <w:bidi w:val="0"/>
                    <w:spacing w:before="0" w:beforeAutospacing="0" w:after="0" w:afterAutospacing="0"/>
                    <w:ind w:left="0" w:right="0"/>
                    <w:rPr>
                      <w:rFonts w:hint="default"/>
                      <w:szCs w:val="22"/>
                    </w:rPr>
                  </w:pPr>
                </w:p>
              </w:tc>
              <w:tc>
                <w:tcPr>
                  <w:tcW w:w="3603" w:type="dxa"/>
                  <w:vMerge w:val="continue"/>
                  <w:noWrap w:val="0"/>
                  <w:vAlign w:val="center"/>
                </w:tcPr>
                <w:p w14:paraId="224C847A">
                  <w:pPr>
                    <w:pStyle w:val="38"/>
                    <w:keepNext w:val="0"/>
                    <w:keepLines w:val="0"/>
                    <w:widowControl/>
                    <w:suppressLineNumbers w:val="0"/>
                    <w:bidi w:val="0"/>
                    <w:spacing w:before="0" w:beforeAutospacing="0" w:after="0" w:afterAutospacing="0"/>
                    <w:ind w:left="0" w:right="0"/>
                    <w:rPr>
                      <w:rFonts w:hint="default"/>
                      <w:szCs w:val="22"/>
                    </w:rPr>
                  </w:pPr>
                </w:p>
              </w:tc>
              <w:tc>
                <w:tcPr>
                  <w:tcW w:w="1060" w:type="dxa"/>
                  <w:noWrap w:val="0"/>
                  <w:vAlign w:val="center"/>
                </w:tcPr>
                <w:p w14:paraId="00D103ED">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夜间</w:t>
                  </w:r>
                </w:p>
              </w:tc>
              <w:tc>
                <w:tcPr>
                  <w:tcW w:w="1783" w:type="dxa"/>
                  <w:noWrap w:val="0"/>
                  <w:vAlign w:val="center"/>
                </w:tcPr>
                <w:p w14:paraId="78C8BDFF">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lang w:val="en-US" w:eastAsia="zh-CN"/>
                    </w:rPr>
                    <w:t>55</w:t>
                  </w:r>
                  <w:r>
                    <w:rPr>
                      <w:rFonts w:hint="default"/>
                      <w:szCs w:val="22"/>
                    </w:rPr>
                    <w:t>dB</w:t>
                  </w:r>
                  <w:r>
                    <w:rPr>
                      <w:rFonts w:hint="eastAsia"/>
                      <w:szCs w:val="22"/>
                      <w:lang w:eastAsia="zh-CN"/>
                    </w:rPr>
                    <w:t>（</w:t>
                  </w:r>
                  <w:r>
                    <w:rPr>
                      <w:rFonts w:hint="default"/>
                      <w:szCs w:val="22"/>
                    </w:rPr>
                    <w:t>A</w:t>
                  </w:r>
                  <w:r>
                    <w:rPr>
                      <w:rFonts w:hint="eastAsia"/>
                      <w:szCs w:val="22"/>
                      <w:lang w:eastAsia="zh-CN"/>
                    </w:rPr>
                    <w:t>）</w:t>
                  </w:r>
                </w:p>
              </w:tc>
            </w:tr>
          </w:tbl>
          <w:p w14:paraId="7DABC502">
            <w:pPr>
              <w:pStyle w:val="4"/>
              <w:suppressLineNumbers w:val="0"/>
              <w:bidi w:val="0"/>
              <w:spacing w:before="0" w:beforeAutospacing="0" w:after="0" w:afterAutospacing="0"/>
              <w:ind w:left="0" w:right="0"/>
              <w:rPr>
                <w:rFonts w:hint="eastAsia"/>
                <w:lang w:val="en-US" w:eastAsia="zh-CN"/>
              </w:rPr>
            </w:pPr>
            <w:r>
              <w:rPr>
                <w:rFonts w:hint="eastAsia"/>
                <w:lang w:val="en-US" w:eastAsia="zh-CN"/>
              </w:rPr>
              <w:t>固体废物污染物排放标准</w:t>
            </w:r>
          </w:p>
          <w:p w14:paraId="74FB7768">
            <w:pPr>
              <w:keepNext w:val="0"/>
              <w:keepLines w:val="0"/>
              <w:suppressLineNumbers w:val="0"/>
              <w:bidi w:val="0"/>
              <w:spacing w:before="0" w:beforeAutospacing="0" w:after="0" w:afterAutospacing="0"/>
              <w:ind w:left="0" w:right="0"/>
              <w:rPr>
                <w:rFonts w:hint="eastAsia"/>
                <w:color w:val="auto"/>
              </w:rPr>
            </w:pPr>
            <w:r>
              <w:rPr>
                <w:rFonts w:hint="default"/>
                <w:lang w:val="en-US" w:eastAsia="zh-CN"/>
              </w:rPr>
              <w:t>一般工业固废应按照《一般工业固体废物贮存和填埋污染控制标准》</w:t>
            </w:r>
            <w:r>
              <w:rPr>
                <w:rFonts w:hint="eastAsia"/>
                <w:lang w:val="en-US" w:eastAsia="zh-CN"/>
              </w:rPr>
              <w:t>（</w:t>
            </w:r>
            <w:r>
              <w:rPr>
                <w:rFonts w:hint="default"/>
                <w:lang w:val="en-US" w:eastAsia="zh-CN"/>
              </w:rPr>
              <w:t>GB 18599-2020</w:t>
            </w:r>
            <w:r>
              <w:rPr>
                <w:rFonts w:hint="eastAsia"/>
                <w:lang w:val="en-US" w:eastAsia="zh-CN"/>
              </w:rPr>
              <w:t>）</w:t>
            </w:r>
            <w:r>
              <w:rPr>
                <w:rFonts w:hint="default"/>
                <w:lang w:val="en-US" w:eastAsia="zh-CN"/>
              </w:rPr>
              <w:t>的要求进行</w:t>
            </w:r>
            <w:r>
              <w:rPr>
                <w:rFonts w:hint="eastAsia"/>
                <w:lang w:val="en-US" w:eastAsia="zh-CN"/>
              </w:rPr>
              <w:t>暂存管理</w:t>
            </w:r>
            <w:r>
              <w:rPr>
                <w:rFonts w:hint="default"/>
                <w:lang w:val="en-US" w:eastAsia="zh-CN"/>
              </w:rPr>
              <w:t>；危险废物处置执行《危险废物贮存污染控制标准》（GB18597-2023）中相关要求，危险废物外运处置执行《危险废物转移联单管理办法》</w:t>
            </w:r>
            <w:r>
              <w:rPr>
                <w:rFonts w:hint="eastAsia"/>
                <w:lang w:val="en-US" w:eastAsia="zh-CN"/>
              </w:rPr>
              <w:t>。</w:t>
            </w:r>
          </w:p>
        </w:tc>
      </w:tr>
      <w:tr w14:paraId="3056A0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800" w:type="dxa"/>
            <w:noWrap w:val="0"/>
            <w:vAlign w:val="center"/>
          </w:tcPr>
          <w:p w14:paraId="495436B0">
            <w:pPr>
              <w:pStyle w:val="40"/>
              <w:keepNext w:val="0"/>
              <w:keepLines w:val="0"/>
              <w:suppressLineNumbers w:val="0"/>
              <w:bidi w:val="0"/>
              <w:spacing w:before="0" w:beforeAutospacing="0" w:after="0" w:afterAutospacing="0"/>
              <w:ind w:left="0" w:right="0"/>
              <w:rPr>
                <w:rFonts w:hint="eastAsia"/>
              </w:rPr>
            </w:pPr>
            <w:r>
              <w:rPr>
                <w:rFonts w:hint="eastAsia"/>
              </w:rPr>
              <w:t>总量控制指标</w:t>
            </w:r>
          </w:p>
        </w:tc>
        <w:tc>
          <w:tcPr>
            <w:tcW w:w="8190" w:type="dxa"/>
            <w:noWrap w:val="0"/>
            <w:vAlign w:val="center"/>
          </w:tcPr>
          <w:p w14:paraId="50F28AA0">
            <w:pPr>
              <w:pStyle w:val="3"/>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总量控制指标</w:t>
            </w:r>
          </w:p>
          <w:p w14:paraId="026E5835">
            <w:pPr>
              <w:pStyle w:val="3"/>
              <w:keepNext w:val="0"/>
              <w:keepLines w:val="0"/>
              <w:suppressLineNumbers w:val="0"/>
              <w:tabs>
                <w:tab w:val="left" w:pos="420"/>
                <w:tab w:val="clear" w:pos="0"/>
              </w:tabs>
              <w:bidi w:val="0"/>
              <w:spacing w:before="0" w:beforeAutospacing="0" w:after="0" w:afterAutospacing="0"/>
              <w:ind w:left="0" w:right="0"/>
              <w:rPr>
                <w:rFonts w:hint="eastAsia"/>
              </w:rPr>
            </w:pPr>
            <w:bookmarkStart w:id="28" w:name="_Toc24563"/>
            <w:r>
              <w:rPr>
                <w:rFonts w:hint="eastAsia"/>
              </w:rPr>
              <w:t>总量控制</w:t>
            </w:r>
            <w:bookmarkEnd w:id="28"/>
          </w:p>
          <w:p w14:paraId="407143B0">
            <w:pPr>
              <w:keepNext w:val="0"/>
              <w:keepLines w:val="0"/>
              <w:suppressLineNumbers w:val="0"/>
              <w:bidi w:val="0"/>
              <w:spacing w:before="0" w:beforeAutospacing="0" w:after="0" w:afterAutospacing="0"/>
              <w:ind w:left="0" w:right="0"/>
              <w:rPr>
                <w:rFonts w:hint="eastAsia"/>
                <w:b w:val="0"/>
                <w:bCs w:val="0"/>
                <w:iCs w:val="0"/>
              </w:rPr>
            </w:pPr>
            <w:r>
              <w:rPr>
                <w:rFonts w:hint="eastAsia"/>
                <w:b w:val="0"/>
                <w:bCs w:val="0"/>
                <w:iCs w:val="0"/>
              </w:rPr>
              <w:t>总量控制是我国环境保护管理工作的一项重要举措，而实行污染物排放总量是环境保护法律法规的要求，它不仅是促进经济结构战略性调整和经济增长方式根本性转变的有力措施，同时也是促进工业技术进步和管理水平的提高，做到环保与经济的相互促进。实施以环境容量为基础的排污总量控制制度是改善环境质量的根本手段。</w:t>
            </w:r>
          </w:p>
          <w:p w14:paraId="14236234">
            <w:pPr>
              <w:keepNext w:val="0"/>
              <w:keepLines w:val="0"/>
              <w:suppressLineNumbers w:val="0"/>
              <w:bidi w:val="0"/>
              <w:spacing w:before="0" w:beforeAutospacing="0" w:after="0" w:afterAutospacing="0"/>
              <w:ind w:left="0" w:right="0"/>
              <w:rPr>
                <w:rFonts w:hint="eastAsia"/>
                <w:b w:val="0"/>
                <w:bCs w:val="0"/>
                <w:iCs w:val="0"/>
              </w:rPr>
            </w:pPr>
            <w:r>
              <w:rPr>
                <w:rFonts w:hint="eastAsia"/>
                <w:b w:val="0"/>
                <w:bCs w:val="0"/>
                <w:iCs w:val="0"/>
              </w:rPr>
              <w:t>国家</w:t>
            </w:r>
            <w:r>
              <w:rPr>
                <w:rFonts w:hint="eastAsia"/>
                <w:b w:val="0"/>
                <w:bCs w:val="0"/>
                <w:iCs w:val="0"/>
                <w:lang w:eastAsia="zh-CN"/>
              </w:rPr>
              <w:t>“</w:t>
            </w:r>
            <w:r>
              <w:rPr>
                <w:rFonts w:hint="eastAsia"/>
                <w:b w:val="0"/>
                <w:bCs w:val="0"/>
                <w:iCs w:val="0"/>
              </w:rPr>
              <w:t>十四五</w:t>
            </w:r>
            <w:r>
              <w:rPr>
                <w:rFonts w:hint="eastAsia"/>
                <w:b w:val="0"/>
                <w:bCs w:val="0"/>
                <w:iCs w:val="0"/>
                <w:lang w:eastAsia="zh-CN"/>
              </w:rPr>
              <w:t>”</w:t>
            </w:r>
            <w:r>
              <w:rPr>
                <w:rFonts w:hint="eastAsia"/>
                <w:b w:val="0"/>
                <w:bCs w:val="0"/>
                <w:iCs w:val="0"/>
              </w:rPr>
              <w:t>期间污染物总量控制要求、《福建省人民政府关于推进排污权有偿使用和交易工作的意见</w:t>
            </w:r>
            <w:r>
              <w:rPr>
                <w:rFonts w:hint="eastAsia"/>
                <w:b w:val="0"/>
                <w:bCs w:val="0"/>
                <w:iCs w:val="0"/>
                <w:lang w:eastAsia="zh-CN"/>
              </w:rPr>
              <w:t>（</w:t>
            </w:r>
            <w:r>
              <w:rPr>
                <w:rFonts w:hint="eastAsia"/>
                <w:b w:val="0"/>
                <w:bCs w:val="0"/>
                <w:iCs w:val="0"/>
              </w:rPr>
              <w:t>试行</w:t>
            </w:r>
            <w:r>
              <w:rPr>
                <w:rFonts w:hint="eastAsia"/>
                <w:b w:val="0"/>
                <w:bCs w:val="0"/>
                <w:iCs w:val="0"/>
                <w:lang w:eastAsia="zh-CN"/>
              </w:rPr>
              <w:t>）</w:t>
            </w:r>
            <w:r>
              <w:rPr>
                <w:rFonts w:hint="eastAsia"/>
                <w:b w:val="0"/>
                <w:bCs w:val="0"/>
                <w:iCs w:val="0"/>
              </w:rPr>
              <w:t>》</w:t>
            </w:r>
            <w:r>
              <w:rPr>
                <w:rFonts w:hint="eastAsia"/>
                <w:b w:val="0"/>
                <w:bCs w:val="0"/>
                <w:iCs w:val="0"/>
                <w:lang w:eastAsia="zh-CN"/>
              </w:rPr>
              <w:t>（</w:t>
            </w:r>
            <w:r>
              <w:rPr>
                <w:rFonts w:hint="eastAsia"/>
                <w:b w:val="0"/>
                <w:bCs w:val="0"/>
                <w:iCs w:val="0"/>
              </w:rPr>
              <w:t>闽政〔2014〕24号</w:t>
            </w:r>
            <w:r>
              <w:rPr>
                <w:rFonts w:hint="eastAsia"/>
                <w:b w:val="0"/>
                <w:bCs w:val="0"/>
                <w:iCs w:val="0"/>
                <w:lang w:eastAsia="zh-CN"/>
              </w:rPr>
              <w:t>）</w:t>
            </w:r>
            <w:r>
              <w:rPr>
                <w:rFonts w:hint="eastAsia"/>
                <w:b w:val="0"/>
                <w:bCs w:val="0"/>
                <w:iCs w:val="0"/>
              </w:rPr>
              <w:t>、《福建省环保厅关于贯彻落实〈推进排污权有偿使用和交易工作的意见</w:t>
            </w:r>
            <w:r>
              <w:rPr>
                <w:rFonts w:hint="eastAsia"/>
                <w:b w:val="0"/>
                <w:bCs w:val="0"/>
                <w:iCs w:val="0"/>
                <w:lang w:eastAsia="zh-CN"/>
              </w:rPr>
              <w:t>（</w:t>
            </w:r>
            <w:r>
              <w:rPr>
                <w:rFonts w:hint="eastAsia"/>
                <w:b w:val="0"/>
                <w:bCs w:val="0"/>
                <w:iCs w:val="0"/>
              </w:rPr>
              <w:t>试行</w:t>
            </w:r>
            <w:r>
              <w:rPr>
                <w:rFonts w:hint="eastAsia"/>
                <w:b w:val="0"/>
                <w:bCs w:val="0"/>
                <w:iCs w:val="0"/>
                <w:lang w:eastAsia="zh-CN"/>
              </w:rPr>
              <w:t>）</w:t>
            </w:r>
            <w:r>
              <w:rPr>
                <w:rFonts w:hint="eastAsia"/>
                <w:b w:val="0"/>
                <w:bCs w:val="0"/>
                <w:iCs w:val="0"/>
              </w:rPr>
              <w:t>〉的通知》</w:t>
            </w:r>
            <w:r>
              <w:rPr>
                <w:rFonts w:hint="eastAsia"/>
                <w:b w:val="0"/>
                <w:bCs w:val="0"/>
                <w:iCs w:val="0"/>
                <w:lang w:eastAsia="zh-CN"/>
              </w:rPr>
              <w:t>（</w:t>
            </w:r>
            <w:r>
              <w:rPr>
                <w:rFonts w:hint="eastAsia"/>
                <w:b w:val="0"/>
                <w:bCs w:val="0"/>
                <w:iCs w:val="0"/>
              </w:rPr>
              <w:t>闽环发〔2014〕9号</w:t>
            </w:r>
            <w:r>
              <w:rPr>
                <w:rFonts w:hint="eastAsia"/>
                <w:b w:val="0"/>
                <w:bCs w:val="0"/>
                <w:iCs w:val="0"/>
                <w:lang w:eastAsia="zh-CN"/>
              </w:rPr>
              <w:t>）</w:t>
            </w:r>
            <w:r>
              <w:rPr>
                <w:rFonts w:hint="eastAsia"/>
                <w:b w:val="0"/>
                <w:bCs w:val="0"/>
                <w:iCs w:val="0"/>
              </w:rPr>
              <w:t>、《福建省环保厅关于环评审批中落实排污权交易工作要求的通知》</w:t>
            </w:r>
            <w:r>
              <w:rPr>
                <w:rFonts w:hint="eastAsia"/>
                <w:b w:val="0"/>
                <w:bCs w:val="0"/>
                <w:iCs w:val="0"/>
                <w:lang w:eastAsia="zh-CN"/>
              </w:rPr>
              <w:t>（</w:t>
            </w:r>
            <w:r>
              <w:rPr>
                <w:rFonts w:hint="eastAsia"/>
                <w:b w:val="0"/>
                <w:bCs w:val="0"/>
                <w:iCs w:val="0"/>
              </w:rPr>
              <w:t>闽环保评〔2014〕43号</w:t>
            </w:r>
            <w:r>
              <w:rPr>
                <w:rFonts w:hint="eastAsia"/>
                <w:b w:val="0"/>
                <w:bCs w:val="0"/>
                <w:iCs w:val="0"/>
                <w:lang w:eastAsia="zh-CN"/>
              </w:rPr>
              <w:t>）</w:t>
            </w:r>
            <w:r>
              <w:rPr>
                <w:rFonts w:hint="eastAsia"/>
                <w:b w:val="0"/>
                <w:bCs w:val="0"/>
                <w:iCs w:val="0"/>
              </w:rPr>
              <w:t>等有关文件要求。</w:t>
            </w:r>
          </w:p>
          <w:p w14:paraId="247401CA">
            <w:pPr>
              <w:pStyle w:val="4"/>
              <w:suppressLineNumbers w:val="0"/>
              <w:tabs>
                <w:tab w:val="left" w:pos="420"/>
                <w:tab w:val="clear" w:pos="0"/>
              </w:tabs>
              <w:bidi w:val="0"/>
              <w:spacing w:before="0" w:beforeAutospacing="0" w:after="0" w:afterAutospacing="0"/>
              <w:ind w:left="0" w:right="0"/>
              <w:rPr>
                <w:rFonts w:hint="eastAsia"/>
              </w:rPr>
            </w:pPr>
            <w:r>
              <w:rPr>
                <w:rFonts w:hint="eastAsia"/>
                <w:lang w:eastAsia="zh-CN"/>
              </w:rPr>
              <w:t>水污染物排放</w:t>
            </w:r>
            <w:r>
              <w:rPr>
                <w:rFonts w:hint="eastAsia"/>
              </w:rPr>
              <w:t>总量控制</w:t>
            </w:r>
          </w:p>
          <w:p w14:paraId="228DDE11">
            <w:pPr>
              <w:keepNext w:val="0"/>
              <w:keepLines w:val="0"/>
              <w:suppressLineNumbers w:val="0"/>
              <w:bidi w:val="0"/>
              <w:spacing w:before="0" w:beforeAutospacing="0" w:after="0" w:afterAutospacing="0"/>
              <w:ind w:left="0" w:right="0"/>
              <w:rPr>
                <w:rFonts w:hint="eastAsia"/>
                <w:b w:val="0"/>
                <w:bCs w:val="0"/>
                <w:iCs w:val="0"/>
              </w:rPr>
            </w:pPr>
            <w:r>
              <w:rPr>
                <w:rFonts w:hint="eastAsia"/>
                <w:b w:val="0"/>
                <w:bCs w:val="0"/>
                <w:iCs w:val="0"/>
              </w:rPr>
              <w:t>本项目职工生活污水依托园区内已建化粪池处理</w:t>
            </w:r>
            <w:r>
              <w:rPr>
                <w:rFonts w:hint="eastAsia"/>
                <w:b w:val="0"/>
                <w:bCs w:val="0"/>
                <w:iCs w:val="0"/>
                <w:lang w:eastAsia="zh-CN"/>
              </w:rPr>
              <w:t>达到</w:t>
            </w:r>
            <w:r>
              <w:rPr>
                <w:rFonts w:hint="eastAsia"/>
                <w:b w:val="0"/>
                <w:bCs w:val="0"/>
                <w:iCs w:val="0"/>
              </w:rPr>
              <w:t>《污水综合排放标准》（GB8978-1996）表4中三级标准（其中，氨氮参照执行《污水排入城市下水道水质标准》（GB/T31962-2015）表1的B级标准）后统一纳入市政污水管网，由</w:t>
            </w:r>
            <w:r>
              <w:rPr>
                <w:rFonts w:hint="eastAsia"/>
                <w:b w:val="0"/>
                <w:bCs w:val="0"/>
                <w:iCs w:val="0"/>
                <w:lang w:eastAsia="zh-CN"/>
              </w:rPr>
              <w:t>福清市融元污水处理厂</w:t>
            </w:r>
            <w:r>
              <w:rPr>
                <w:rFonts w:hint="eastAsia"/>
                <w:b w:val="0"/>
                <w:bCs w:val="0"/>
                <w:iCs w:val="0"/>
              </w:rPr>
              <w:t>集中处理，对周边环境影响较小。</w:t>
            </w:r>
            <w:r>
              <w:rPr>
                <w:rFonts w:hint="eastAsia"/>
                <w:b w:val="0"/>
                <w:bCs w:val="0"/>
                <w:iCs w:val="0"/>
                <w:lang w:val="en-US" w:eastAsia="zh-CN"/>
              </w:rPr>
              <w:t>生</w:t>
            </w:r>
            <w:r>
              <w:rPr>
                <w:rFonts w:hint="eastAsia"/>
                <w:b w:val="0"/>
                <w:bCs w:val="0"/>
                <w:iCs w:val="0"/>
              </w:rPr>
              <w:t>活污水排放暂不需要购买相应的排污权指标，因此，无需申请总量控制指标。</w:t>
            </w:r>
          </w:p>
          <w:p w14:paraId="73781B81">
            <w:pPr>
              <w:pStyle w:val="4"/>
              <w:suppressLineNumbers w:val="0"/>
              <w:tabs>
                <w:tab w:val="left" w:pos="420"/>
                <w:tab w:val="clear" w:pos="0"/>
              </w:tabs>
              <w:bidi w:val="0"/>
              <w:spacing w:before="0" w:beforeAutospacing="0" w:after="0" w:afterAutospacing="0"/>
              <w:ind w:left="0" w:right="0"/>
              <w:rPr>
                <w:rFonts w:hint="eastAsia"/>
              </w:rPr>
            </w:pPr>
            <w:r>
              <w:rPr>
                <w:rFonts w:hint="eastAsia"/>
              </w:rPr>
              <w:t>废气总量</w:t>
            </w:r>
          </w:p>
          <w:p w14:paraId="28722E85">
            <w:pPr>
              <w:keepNext w:val="0"/>
              <w:keepLines w:val="0"/>
              <w:suppressLineNumbers w:val="0"/>
              <w:bidi w:val="0"/>
              <w:spacing w:before="0" w:beforeAutospacing="0" w:after="0" w:afterAutospacing="0"/>
              <w:ind w:left="0" w:right="0"/>
              <w:rPr>
                <w:rFonts w:hint="eastAsia"/>
                <w:lang w:eastAsia="zh-CN"/>
              </w:rPr>
            </w:pPr>
            <w:r>
              <w:rPr>
                <w:rFonts w:hint="eastAsia"/>
              </w:rPr>
              <w:t>本项目</w:t>
            </w:r>
            <w:r>
              <w:rPr>
                <w:rFonts w:hint="eastAsia" w:ascii="Times New Roman" w:hAnsi="Times New Roman" w:eastAsia="宋体"/>
                <w:color w:val="auto"/>
                <w:sz w:val="24"/>
                <w:szCs w:val="24"/>
                <w:lang w:eastAsia="zh-CN"/>
              </w:rPr>
              <w:t>烘干废气及加烤废气各自经密闭管道集气收集，然后与经水帘柜净化后的喷漆废气一起并入</w:t>
            </w:r>
            <w:r>
              <w:rPr>
                <w:rFonts w:hint="eastAsia"/>
                <w:color w:val="auto"/>
                <w:sz w:val="24"/>
                <w:szCs w:val="24"/>
                <w:lang w:eastAsia="zh-CN"/>
              </w:rPr>
              <w:t>“</w:t>
            </w:r>
            <w:r>
              <w:rPr>
                <w:rFonts w:hint="eastAsia" w:ascii="Times New Roman" w:hAnsi="Times New Roman" w:eastAsia="宋体"/>
                <w:color w:val="auto"/>
                <w:sz w:val="24"/>
                <w:szCs w:val="24"/>
                <w:lang w:eastAsia="zh-CN"/>
              </w:rPr>
              <w:t>过滤棉+活性炭吸附装置</w:t>
            </w:r>
            <w:r>
              <w:rPr>
                <w:rFonts w:hint="eastAsia"/>
                <w:color w:val="auto"/>
                <w:sz w:val="24"/>
                <w:szCs w:val="24"/>
                <w:lang w:eastAsia="zh-CN"/>
              </w:rPr>
              <w:t>”</w:t>
            </w:r>
            <w:r>
              <w:rPr>
                <w:rFonts w:hint="eastAsia" w:ascii="Times New Roman" w:hAnsi="Times New Roman" w:eastAsia="宋体"/>
                <w:color w:val="auto"/>
                <w:sz w:val="24"/>
                <w:szCs w:val="24"/>
                <w:lang w:eastAsia="zh-CN"/>
              </w:rPr>
              <w:t>处理达标后通过一根15m高排气筒</w:t>
            </w:r>
            <w:r>
              <w:rPr>
                <w:rFonts w:hint="eastAsia" w:ascii="Times New Roman" w:hAnsi="Times New Roman" w:eastAsia="宋体" w:cs="Times New Roman"/>
                <w:color w:val="auto"/>
                <w:kern w:val="0"/>
                <w:sz w:val="24"/>
                <w:szCs w:val="24"/>
                <w:lang w:val="en-US" w:eastAsia="zh-CN" w:bidi="ar-SA"/>
              </w:rPr>
              <w:t>（DA001）</w:t>
            </w:r>
            <w:r>
              <w:rPr>
                <w:rFonts w:hint="eastAsia" w:ascii="Times New Roman" w:hAnsi="Times New Roman" w:eastAsia="宋体"/>
                <w:color w:val="auto"/>
                <w:sz w:val="24"/>
                <w:szCs w:val="24"/>
                <w:lang w:eastAsia="zh-CN"/>
              </w:rPr>
              <w:t>排放</w:t>
            </w:r>
            <w:r>
              <w:rPr>
                <w:rFonts w:hint="eastAsia"/>
              </w:rPr>
              <w:t>经</w:t>
            </w:r>
            <w:r>
              <w:rPr>
                <w:rFonts w:hint="eastAsia"/>
                <w:lang w:val="en-US" w:eastAsia="zh-CN"/>
              </w:rPr>
              <w:t>二级</w:t>
            </w:r>
            <w:r>
              <w:rPr>
                <w:rFonts w:hint="eastAsia"/>
              </w:rPr>
              <w:t>活性炭</w:t>
            </w:r>
            <w:r>
              <w:rPr>
                <w:rFonts w:hint="eastAsia"/>
                <w:lang w:val="en-US" w:eastAsia="zh-CN"/>
              </w:rPr>
              <w:t>吸附装置</w:t>
            </w:r>
            <w:r>
              <w:rPr>
                <w:rFonts w:hint="eastAsia"/>
              </w:rPr>
              <w:t>处理后经</w:t>
            </w:r>
            <w:r>
              <w:rPr>
                <w:rFonts w:hint="eastAsia"/>
                <w:lang w:val="en-US" w:eastAsia="zh-CN"/>
              </w:rPr>
              <w:t>15</w:t>
            </w:r>
            <w:r>
              <w:rPr>
                <w:rFonts w:hint="eastAsia"/>
              </w:rPr>
              <w:t>m高排气筒排放，</w:t>
            </w:r>
            <w:r>
              <w:rPr>
                <w:rFonts w:hint="eastAsia"/>
                <w:highlight w:val="none"/>
                <w:lang w:val="en-US" w:eastAsia="zh-CN"/>
              </w:rPr>
              <w:t>合计排放总量为0.4725t/a。</w:t>
            </w:r>
            <w:r>
              <w:rPr>
                <w:rFonts w:hint="eastAsia"/>
                <w:highlight w:val="none"/>
              </w:rPr>
              <w:t>项目所在福州地区实行区域内VOCs排放1.2及以上倍量替代，并将替代方案落实到企业排污</w:t>
            </w:r>
            <w:r>
              <w:rPr>
                <w:rFonts w:hint="eastAsia"/>
              </w:rPr>
              <w:t>许可证中，纳入环境执法管理</w:t>
            </w:r>
            <w:r>
              <w:rPr>
                <w:rFonts w:hint="eastAsia"/>
                <w:lang w:eastAsia="zh-CN"/>
              </w:rPr>
              <w:t>。</w:t>
            </w:r>
            <w:r>
              <w:rPr>
                <w:rFonts w:hint="eastAsia"/>
              </w:rPr>
              <w:t>由建设单位向当地生态环境主管部门申请区域削减替代。</w:t>
            </w:r>
          </w:p>
          <w:p w14:paraId="21538151">
            <w:pPr>
              <w:pStyle w:val="39"/>
              <w:keepNext w:val="0"/>
              <w:keepLines w:val="0"/>
              <w:suppressLineNumbers w:val="0"/>
              <w:bidi w:val="0"/>
              <w:spacing w:before="0" w:beforeAutospacing="0" w:after="0" w:afterAutospacing="0"/>
              <w:ind w:left="0" w:right="0"/>
              <w:rPr>
                <w:rFonts w:hint="eastAsia"/>
              </w:rPr>
            </w:pPr>
            <w:r>
              <w:rPr>
                <w:rFonts w:hint="eastAsia"/>
              </w:rPr>
              <w:t>表3.8-1 本项目废气污染物建议性控制指标总量一览表  单位：t/a</w:t>
            </w:r>
          </w:p>
          <w:tbl>
            <w:tblPr>
              <w:tblStyle w:val="29"/>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55"/>
              <w:gridCol w:w="855"/>
              <w:gridCol w:w="1395"/>
              <w:gridCol w:w="1035"/>
              <w:gridCol w:w="1245"/>
              <w:gridCol w:w="1095"/>
              <w:gridCol w:w="1314"/>
            </w:tblGrid>
            <w:tr w14:paraId="579DCF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1455" w:type="dxa"/>
                  <w:tcBorders>
                    <w:top w:val="single" w:color="000000" w:sz="12" w:space="0"/>
                    <w:left w:val="nil"/>
                    <w:bottom w:val="single" w:color="000000" w:sz="8" w:space="0"/>
                    <w:right w:val="single" w:color="000000" w:sz="8" w:space="0"/>
                  </w:tcBorders>
                  <w:shd w:val="clear" w:color="auto" w:fill="auto"/>
                  <w:vAlign w:val="center"/>
                </w:tcPr>
                <w:p w14:paraId="0D94497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总量控制项目</w:t>
                  </w:r>
                </w:p>
              </w:tc>
              <w:tc>
                <w:tcPr>
                  <w:tcW w:w="855" w:type="dxa"/>
                  <w:tcBorders>
                    <w:top w:val="single" w:color="000000" w:sz="12" w:space="0"/>
                    <w:left w:val="single" w:color="000000" w:sz="8" w:space="0"/>
                    <w:bottom w:val="single" w:color="000000" w:sz="8" w:space="0"/>
                    <w:right w:val="single" w:color="000000" w:sz="8" w:space="0"/>
                  </w:tcBorders>
                  <w:shd w:val="clear" w:color="auto" w:fill="auto"/>
                  <w:vAlign w:val="center"/>
                </w:tcPr>
                <w:p w14:paraId="6D1161A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已核定总量</w:t>
                  </w:r>
                </w:p>
              </w:tc>
              <w:tc>
                <w:tcPr>
                  <w:tcW w:w="1395" w:type="dxa"/>
                  <w:tcBorders>
                    <w:top w:val="single" w:color="000000" w:sz="12" w:space="0"/>
                    <w:left w:val="single" w:color="000000" w:sz="8" w:space="0"/>
                    <w:bottom w:val="single" w:color="000000" w:sz="8" w:space="0"/>
                    <w:right w:val="single" w:color="000000" w:sz="8" w:space="0"/>
                  </w:tcBorders>
                  <w:shd w:val="clear" w:color="auto" w:fill="auto"/>
                  <w:vAlign w:val="center"/>
                </w:tcPr>
                <w:p w14:paraId="13782E4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迁扩建工程排放总量</w:t>
                  </w:r>
                </w:p>
              </w:tc>
              <w:tc>
                <w:tcPr>
                  <w:tcW w:w="1035" w:type="dxa"/>
                  <w:tcBorders>
                    <w:top w:val="single" w:color="000000" w:sz="12" w:space="0"/>
                    <w:left w:val="single" w:color="000000" w:sz="8" w:space="0"/>
                    <w:bottom w:val="single" w:color="000000" w:sz="8" w:space="0"/>
                    <w:right w:val="single" w:color="000000" w:sz="8" w:space="0"/>
                  </w:tcBorders>
                  <w:shd w:val="clear" w:color="auto" w:fill="auto"/>
                  <w:vAlign w:val="center"/>
                </w:tcPr>
                <w:p w14:paraId="186D07B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“以新带老”削减量</w:t>
                  </w:r>
                </w:p>
              </w:tc>
              <w:tc>
                <w:tcPr>
                  <w:tcW w:w="1245" w:type="dxa"/>
                  <w:tcBorders>
                    <w:top w:val="single" w:color="000000" w:sz="12" w:space="0"/>
                    <w:left w:val="single" w:color="000000" w:sz="8" w:space="0"/>
                    <w:bottom w:val="single" w:color="000000" w:sz="8" w:space="0"/>
                    <w:right w:val="single" w:color="000000" w:sz="8" w:space="0"/>
                  </w:tcBorders>
                  <w:shd w:val="clear" w:color="auto" w:fill="auto"/>
                  <w:vAlign w:val="center"/>
                </w:tcPr>
                <w:p w14:paraId="7E3739A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迁建后全厂排放量</w:t>
                  </w:r>
                </w:p>
              </w:tc>
              <w:tc>
                <w:tcPr>
                  <w:tcW w:w="1095" w:type="dxa"/>
                  <w:tcBorders>
                    <w:top w:val="single" w:color="000000" w:sz="12" w:space="0"/>
                    <w:left w:val="single" w:color="000000" w:sz="8" w:space="0"/>
                    <w:bottom w:val="single" w:color="000000" w:sz="8" w:space="0"/>
                    <w:right w:val="nil"/>
                  </w:tcBorders>
                  <w:shd w:val="clear" w:color="auto" w:fill="auto"/>
                  <w:vAlign w:val="center"/>
                </w:tcPr>
                <w:p w14:paraId="12E3FB0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变化量</w:t>
                  </w:r>
                </w:p>
              </w:tc>
              <w:tc>
                <w:tcPr>
                  <w:tcW w:w="1314" w:type="dxa"/>
                  <w:tcBorders>
                    <w:top w:val="single" w:color="000000" w:sz="12" w:space="0"/>
                    <w:left w:val="single" w:color="000000" w:sz="8" w:space="0"/>
                    <w:bottom w:val="single" w:color="000000" w:sz="8" w:space="0"/>
                    <w:right w:val="nil"/>
                  </w:tcBorders>
                  <w:shd w:val="clear" w:color="auto" w:fill="auto"/>
                  <w:vAlign w:val="center"/>
                </w:tcPr>
                <w:p w14:paraId="2618998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评价建议总量控制指标（污染物</w:t>
                  </w:r>
                  <w:r>
                    <w:rPr>
                      <w:rFonts w:hint="default"/>
                      <w:szCs w:val="22"/>
                      <w:lang w:val="en-US" w:eastAsia="zh-CN"/>
                    </w:rPr>
                    <w:t>*1.2</w:t>
                  </w:r>
                  <w:r>
                    <w:rPr>
                      <w:rFonts w:hint="eastAsia"/>
                      <w:szCs w:val="22"/>
                      <w:lang w:val="en-US" w:eastAsia="zh-CN"/>
                    </w:rPr>
                    <w:t>倍）</w:t>
                  </w:r>
                </w:p>
              </w:tc>
            </w:tr>
            <w:tr w14:paraId="604F82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jc w:val="center"/>
              </w:trPr>
              <w:tc>
                <w:tcPr>
                  <w:tcW w:w="1455" w:type="dxa"/>
                  <w:tcBorders>
                    <w:top w:val="single" w:color="000000" w:sz="8" w:space="0"/>
                    <w:left w:val="nil"/>
                    <w:bottom w:val="single" w:color="000000" w:sz="8" w:space="0"/>
                    <w:right w:val="single" w:color="000000" w:sz="8" w:space="0"/>
                  </w:tcBorders>
                  <w:shd w:val="clear" w:color="auto" w:fill="auto"/>
                  <w:vAlign w:val="center"/>
                </w:tcPr>
                <w:p w14:paraId="021500EF">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非甲烷总烃</w:t>
                  </w:r>
                </w:p>
              </w:tc>
              <w:tc>
                <w:tcPr>
                  <w:tcW w:w="855"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200F3F5">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0.407</w:t>
                  </w:r>
                </w:p>
              </w:tc>
              <w:tc>
                <w:tcPr>
                  <w:tcW w:w="1395"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F96770D">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0.4725</w:t>
                  </w:r>
                </w:p>
              </w:tc>
              <w:tc>
                <w:tcPr>
                  <w:tcW w:w="1035"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87EC9E8">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0.407</w:t>
                  </w:r>
                </w:p>
              </w:tc>
              <w:tc>
                <w:tcPr>
                  <w:tcW w:w="1245"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38B03DD">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0.4725</w:t>
                  </w:r>
                </w:p>
              </w:tc>
              <w:tc>
                <w:tcPr>
                  <w:tcW w:w="1095" w:type="dxa"/>
                  <w:tcBorders>
                    <w:top w:val="single" w:color="000000" w:sz="8" w:space="0"/>
                    <w:left w:val="single" w:color="000000" w:sz="8" w:space="0"/>
                    <w:bottom w:val="single" w:color="000000" w:sz="8" w:space="0"/>
                    <w:right w:val="nil"/>
                  </w:tcBorders>
                  <w:shd w:val="clear" w:color="auto" w:fill="auto"/>
                  <w:vAlign w:val="center"/>
                </w:tcPr>
                <w:p w14:paraId="4F57E80D">
                  <w:pPr>
                    <w:pStyle w:val="38"/>
                    <w:keepNext w:val="0"/>
                    <w:keepLines w:val="0"/>
                    <w:widowControl/>
                    <w:suppressLineNumbers w:val="0"/>
                    <w:bidi w:val="0"/>
                    <w:spacing w:before="0" w:beforeAutospacing="0" w:after="0" w:afterAutospacing="0"/>
                    <w:ind w:left="0" w:right="0"/>
                    <w:rPr>
                      <w:rFonts w:hint="default"/>
                      <w:szCs w:val="22"/>
                    </w:rPr>
                  </w:pPr>
                  <w:r>
                    <w:rPr>
                      <w:rFonts w:hint="eastAsia"/>
                      <w:szCs w:val="22"/>
                      <w:lang w:val="en-US" w:eastAsia="zh-CN"/>
                    </w:rPr>
                    <w:t>+</w:t>
                  </w:r>
                  <w:r>
                    <w:rPr>
                      <w:rFonts w:hint="default"/>
                      <w:szCs w:val="22"/>
                      <w:lang w:val="en-US" w:eastAsia="zh-CN"/>
                    </w:rPr>
                    <w:t>0.0655</w:t>
                  </w:r>
                </w:p>
              </w:tc>
              <w:tc>
                <w:tcPr>
                  <w:tcW w:w="1314" w:type="dxa"/>
                  <w:tcBorders>
                    <w:top w:val="single" w:color="000000" w:sz="8" w:space="0"/>
                    <w:left w:val="single" w:color="000000" w:sz="8" w:space="0"/>
                    <w:bottom w:val="single" w:color="000000" w:sz="8" w:space="0"/>
                    <w:right w:val="nil"/>
                  </w:tcBorders>
                  <w:shd w:val="clear" w:color="auto" w:fill="auto"/>
                  <w:vAlign w:val="center"/>
                </w:tcPr>
                <w:p w14:paraId="03B835A2">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0.0786</w:t>
                  </w:r>
                </w:p>
              </w:tc>
            </w:tr>
            <w:tr w14:paraId="51FC1F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jc w:val="center"/>
              </w:trPr>
              <w:tc>
                <w:tcPr>
                  <w:tcW w:w="1455" w:type="dxa"/>
                  <w:tcBorders>
                    <w:top w:val="single" w:color="000000" w:sz="8" w:space="0"/>
                    <w:left w:val="nil"/>
                    <w:bottom w:val="single" w:color="000000" w:sz="8" w:space="0"/>
                    <w:right w:val="single" w:color="000000" w:sz="8" w:space="0"/>
                  </w:tcBorders>
                  <w:shd w:val="clear" w:color="auto" w:fill="auto"/>
                  <w:vAlign w:val="center"/>
                </w:tcPr>
                <w:p w14:paraId="095E6F52">
                  <w:pPr>
                    <w:pStyle w:val="38"/>
                    <w:keepNext w:val="0"/>
                    <w:keepLines w:val="0"/>
                    <w:widowControl/>
                    <w:suppressLineNumbers w:val="0"/>
                    <w:bidi w:val="0"/>
                    <w:spacing w:before="0" w:beforeAutospacing="0" w:after="0" w:afterAutospacing="0"/>
                    <w:ind w:left="0" w:right="0"/>
                    <w:rPr>
                      <w:rFonts w:hint="default"/>
                      <w:szCs w:val="22"/>
                      <w:lang w:val="en-US"/>
                    </w:rPr>
                  </w:pPr>
                  <w:r>
                    <w:rPr>
                      <w:rFonts w:hint="default"/>
                      <w:szCs w:val="22"/>
                      <w:lang w:val="en-US" w:eastAsia="zh-CN"/>
                    </w:rPr>
                    <w:t>合计</w:t>
                  </w:r>
                </w:p>
              </w:tc>
              <w:tc>
                <w:tcPr>
                  <w:tcW w:w="855"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3075E94">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0.407</w:t>
                  </w:r>
                </w:p>
              </w:tc>
              <w:tc>
                <w:tcPr>
                  <w:tcW w:w="1395"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73A40A3">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0.4725</w:t>
                  </w:r>
                </w:p>
              </w:tc>
              <w:tc>
                <w:tcPr>
                  <w:tcW w:w="1035"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9563D21">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0.407</w:t>
                  </w:r>
                </w:p>
              </w:tc>
              <w:tc>
                <w:tcPr>
                  <w:tcW w:w="1245"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14E36F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0.4725</w:t>
                  </w:r>
                </w:p>
              </w:tc>
              <w:tc>
                <w:tcPr>
                  <w:tcW w:w="1095" w:type="dxa"/>
                  <w:tcBorders>
                    <w:top w:val="single" w:color="000000" w:sz="8" w:space="0"/>
                    <w:left w:val="single" w:color="000000" w:sz="8" w:space="0"/>
                    <w:bottom w:val="single" w:color="000000" w:sz="8" w:space="0"/>
                    <w:right w:val="nil"/>
                  </w:tcBorders>
                  <w:shd w:val="clear" w:color="auto" w:fill="auto"/>
                  <w:vAlign w:val="center"/>
                </w:tcPr>
                <w:p w14:paraId="2696D30C">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w:t>
                  </w:r>
                  <w:r>
                    <w:rPr>
                      <w:rFonts w:hint="default"/>
                      <w:szCs w:val="22"/>
                      <w:lang w:val="en-US" w:eastAsia="zh-CN"/>
                    </w:rPr>
                    <w:t>0.0655</w:t>
                  </w:r>
                </w:p>
              </w:tc>
              <w:tc>
                <w:tcPr>
                  <w:tcW w:w="1314" w:type="dxa"/>
                  <w:tcBorders>
                    <w:top w:val="single" w:color="000000" w:sz="8" w:space="0"/>
                    <w:left w:val="single" w:color="000000" w:sz="8" w:space="0"/>
                    <w:bottom w:val="single" w:color="000000" w:sz="8" w:space="0"/>
                    <w:right w:val="nil"/>
                  </w:tcBorders>
                  <w:shd w:val="clear" w:color="auto" w:fill="auto"/>
                  <w:vAlign w:val="center"/>
                </w:tcPr>
                <w:p w14:paraId="67A0990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0.0786</w:t>
                  </w:r>
                </w:p>
              </w:tc>
            </w:tr>
          </w:tbl>
          <w:p w14:paraId="0C6BC567">
            <w:pPr>
              <w:keepNext w:val="0"/>
              <w:keepLines w:val="0"/>
              <w:suppressLineNumbers w:val="0"/>
              <w:spacing w:before="0" w:beforeAutospacing="0" w:after="0" w:afterAutospacing="0"/>
              <w:ind w:left="0" w:right="0"/>
              <w:rPr>
                <w:rFonts w:hint="eastAsia"/>
              </w:rPr>
            </w:pPr>
            <w:r>
              <w:rPr>
                <w:rFonts w:hint="eastAsia"/>
              </w:rPr>
              <w:t>根据《福州市</w:t>
            </w:r>
            <w:r>
              <w:rPr>
                <w:rFonts w:hint="eastAsia"/>
                <w:lang w:eastAsia="zh-CN"/>
              </w:rPr>
              <w:t>生态环境局</w:t>
            </w:r>
            <w:r>
              <w:rPr>
                <w:rFonts w:hint="eastAsia"/>
              </w:rPr>
              <w:t>关于印发福州市大气污染联</w:t>
            </w:r>
            <w:r>
              <w:rPr>
                <w:rFonts w:hint="eastAsia"/>
                <w:lang w:eastAsia="zh-CN"/>
              </w:rPr>
              <w:t>防联</w:t>
            </w:r>
            <w:r>
              <w:rPr>
                <w:rFonts w:hint="eastAsia"/>
              </w:rPr>
              <w:t>控联治工作方案的通知》榕环保综</w:t>
            </w:r>
            <w:r>
              <w:rPr>
                <w:rFonts w:hint="eastAsia"/>
                <w:lang w:eastAsia="zh-CN"/>
              </w:rPr>
              <w:t>〔2018〕386号</w:t>
            </w:r>
            <w:r>
              <w:rPr>
                <w:rFonts w:hint="eastAsia"/>
              </w:rPr>
              <w:t>：VOCs排放实行区域内倍量替代，新、扩建涉VOCs排放项目，应从源头加强控制，使用低（无）VOCs含量的原辅材料，加强废气收集、安装高效治理设施。根据报告分析可知，本项目VOCs（以非甲烷总烃计）的排放总量为：</w:t>
            </w:r>
            <w:r>
              <w:rPr>
                <w:rFonts w:hint="eastAsia"/>
                <w:lang w:val="en-US" w:eastAsia="zh-CN"/>
              </w:rPr>
              <w:t>0.4725</w:t>
            </w:r>
            <w:r>
              <w:rPr>
                <w:rFonts w:hint="eastAsia"/>
              </w:rPr>
              <w:t>t/a</w:t>
            </w:r>
            <w:r>
              <w:rPr>
                <w:rFonts w:hint="eastAsia"/>
                <w:lang w:eastAsia="zh-CN"/>
              </w:rPr>
              <w:t>，</w:t>
            </w:r>
            <w:r>
              <w:rPr>
                <w:rFonts w:hint="eastAsia"/>
                <w:lang w:val="en-US" w:eastAsia="zh-CN"/>
              </w:rPr>
              <w:t>已核定总量0.407t/a（详见</w:t>
            </w:r>
            <w:r>
              <w:rPr>
                <w:rFonts w:hint="eastAsia"/>
                <w:lang w:val="en-US" w:eastAsia="zh-CN"/>
              </w:rPr>
              <w:fldChar w:fldCharType="begin"/>
            </w:r>
            <w:r>
              <w:rPr>
                <w:rFonts w:hint="eastAsia"/>
                <w:lang w:val="en-US" w:eastAsia="zh-CN"/>
              </w:rPr>
              <w:instrText xml:space="preserve"> REF _Ref31338 \h </w:instrText>
            </w:r>
            <w:r>
              <w:rPr>
                <w:rFonts w:hint="eastAsia"/>
                <w:lang w:val="en-US" w:eastAsia="zh-CN"/>
              </w:rPr>
              <w:fldChar w:fldCharType="separate"/>
            </w:r>
            <w:r>
              <w:rPr>
                <w:rFonts w:hint="eastAsia"/>
              </w:rPr>
              <w:t>附件 18</w:t>
            </w:r>
            <w:r>
              <w:rPr>
                <w:rFonts w:hint="eastAsia"/>
                <w:lang w:val="en-US" w:eastAsia="zh-CN"/>
              </w:rPr>
              <w:fldChar w:fldCharType="end"/>
            </w:r>
            <w:r>
              <w:rPr>
                <w:rFonts w:hint="eastAsia"/>
                <w:lang w:val="en-US" w:eastAsia="zh-CN"/>
              </w:rPr>
              <w:t>）</w:t>
            </w:r>
            <w:r>
              <w:rPr>
                <w:rFonts w:hint="eastAsia"/>
              </w:rPr>
              <w:t>。</w:t>
            </w:r>
            <w:r>
              <w:rPr>
                <w:rFonts w:hint="eastAsia"/>
                <w:lang w:val="en-US" w:eastAsia="zh-CN"/>
              </w:rPr>
              <w:t>还需要</w:t>
            </w:r>
            <w:r>
              <w:rPr>
                <w:rFonts w:hint="eastAsia"/>
              </w:rPr>
              <w:t>由建设单位向当地生态环境主管部门申请区域倍量调剂，调剂量为</w:t>
            </w:r>
            <w:r>
              <w:rPr>
                <w:rFonts w:hint="eastAsia"/>
                <w:lang w:val="en-US" w:eastAsia="zh-CN"/>
              </w:rPr>
              <w:t>0.0786</w:t>
            </w:r>
            <w:r>
              <w:rPr>
                <w:rFonts w:hint="eastAsia"/>
              </w:rPr>
              <w:t>t/a。</w:t>
            </w:r>
          </w:p>
          <w:p w14:paraId="6978A1C5">
            <w:pPr>
              <w:keepNext w:val="0"/>
              <w:keepLines w:val="0"/>
              <w:suppressLineNumbers w:val="0"/>
              <w:bidi w:val="0"/>
              <w:spacing w:before="0" w:beforeAutospacing="0" w:after="0" w:afterAutospacing="0"/>
              <w:ind w:left="0" w:right="0"/>
              <w:rPr>
                <w:rFonts w:hint="eastAsia"/>
                <w:color w:val="auto"/>
              </w:rPr>
            </w:pPr>
            <w:r>
              <w:rPr>
                <w:rFonts w:hint="eastAsia"/>
              </w:rPr>
              <w:t>建设单位</w:t>
            </w:r>
            <w:r>
              <w:rPr>
                <w:rFonts w:hint="eastAsia"/>
                <w:lang w:val="en-US" w:eastAsia="zh-CN"/>
              </w:rPr>
              <w:t>按</w:t>
            </w:r>
            <w:r>
              <w:rPr>
                <w:rFonts w:hint="default"/>
                <w:b w:val="0"/>
                <w:bCs w:val="0"/>
                <w:color w:val="auto"/>
              </w:rPr>
              <w:t>照标准严格控制其排放</w:t>
            </w:r>
            <w:r>
              <w:rPr>
                <w:rFonts w:hint="default"/>
                <w:b w:val="0"/>
                <w:bCs w:val="0"/>
                <w:color w:val="auto"/>
                <w:lang w:eastAsia="zh-CN"/>
              </w:rPr>
              <w:t>，</w:t>
            </w:r>
            <w:r>
              <w:rPr>
                <w:rFonts w:hint="default"/>
                <w:b w:val="0"/>
                <w:bCs w:val="0"/>
                <w:color w:val="auto"/>
              </w:rPr>
              <w:t>最终的总量控制指标以本报告表报批环保行政主管部门后核定的总量为准。</w:t>
            </w:r>
          </w:p>
        </w:tc>
      </w:tr>
    </w:tbl>
    <w:p w14:paraId="1DA56BCC">
      <w:pPr>
        <w:pStyle w:val="2"/>
        <w:tabs>
          <w:tab w:val="left" w:pos="420"/>
          <w:tab w:val="clear" w:pos="715"/>
        </w:tabs>
        <w:bidi w:val="0"/>
        <w:rPr>
          <w:color w:val="auto"/>
        </w:rPr>
      </w:pPr>
      <w:r>
        <w:rPr>
          <w:color w:val="auto"/>
          <w:sz w:val="36"/>
          <w:szCs w:val="36"/>
        </w:rPr>
        <w:br w:type="page"/>
      </w:r>
      <w:bookmarkStart w:id="29" w:name="_Toc10069"/>
      <w:bookmarkStart w:id="30" w:name="_Toc5321"/>
      <w:r>
        <w:rPr>
          <w:color w:val="auto"/>
        </w:rPr>
        <w:t>主要环境影响和保护措施</w:t>
      </w:r>
      <w:bookmarkEnd w:id="29"/>
      <w:bookmarkEnd w:id="30"/>
    </w:p>
    <w:tbl>
      <w:tblPr>
        <w:tblStyle w:val="29"/>
        <w:tblW w:w="898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85"/>
        <w:gridCol w:w="8595"/>
      </w:tblGrid>
      <w:tr w14:paraId="3D8E4D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92" w:hRule="atLeast"/>
          <w:jc w:val="center"/>
        </w:trPr>
        <w:tc>
          <w:tcPr>
            <w:tcW w:w="385" w:type="dxa"/>
            <w:noWrap w:val="0"/>
            <w:tcMar>
              <w:left w:w="28" w:type="dxa"/>
              <w:right w:w="28" w:type="dxa"/>
            </w:tcMar>
            <w:vAlign w:val="center"/>
          </w:tcPr>
          <w:p w14:paraId="17BADB6F">
            <w:pPr>
              <w:pStyle w:val="40"/>
              <w:keepNext w:val="0"/>
              <w:keepLines w:val="0"/>
              <w:suppressLineNumbers w:val="0"/>
              <w:bidi w:val="0"/>
              <w:spacing w:before="0" w:beforeAutospacing="0" w:after="0" w:afterAutospacing="0"/>
              <w:ind w:left="0" w:right="0"/>
              <w:rPr>
                <w:rFonts w:hint="eastAsia"/>
              </w:rPr>
            </w:pPr>
            <w:r>
              <w:rPr>
                <w:rFonts w:hint="eastAsia"/>
              </w:rPr>
              <w:t>施工期环境保护措施</w:t>
            </w:r>
          </w:p>
        </w:tc>
        <w:tc>
          <w:tcPr>
            <w:tcW w:w="8595" w:type="dxa"/>
            <w:noWrap w:val="0"/>
            <w:vAlign w:val="center"/>
          </w:tcPr>
          <w:p w14:paraId="098A41A6">
            <w:pPr>
              <w:keepNext w:val="0"/>
              <w:keepLines w:val="0"/>
              <w:suppressLineNumbers w:val="0"/>
              <w:bidi w:val="0"/>
              <w:spacing w:before="0" w:beforeAutospacing="0" w:after="0" w:afterAutospacing="0"/>
              <w:ind w:left="0" w:right="0"/>
              <w:rPr>
                <w:rFonts w:hint="eastAsia" w:eastAsia="宋体"/>
                <w:bCs/>
                <w:color w:val="auto"/>
                <w:spacing w:val="-10"/>
                <w:szCs w:val="21"/>
                <w:lang w:val="en-US" w:eastAsia="zh-CN"/>
              </w:rPr>
            </w:pPr>
            <w:r>
              <w:rPr>
                <w:rFonts w:hint="eastAsia"/>
              </w:rPr>
              <w:t>本项目位于</w:t>
            </w:r>
            <w:r>
              <w:rPr>
                <w:rFonts w:hint="eastAsia"/>
                <w:lang w:val="en-US" w:eastAsia="zh-CN"/>
              </w:rPr>
              <w:t>福建省福州市福清融侨经济技术开发区内（</w:t>
            </w:r>
            <w:r>
              <w:rPr>
                <w:rFonts w:hint="eastAsia"/>
                <w:color w:val="auto"/>
                <w:lang w:eastAsia="zh-CN"/>
              </w:rPr>
              <w:t>福建省福州市福清市阳下街道玉岭村147号车间2三楼</w:t>
            </w:r>
            <w:r>
              <w:rPr>
                <w:rFonts w:hint="eastAsia"/>
                <w:lang w:val="en-US" w:eastAsia="zh-CN"/>
              </w:rPr>
              <w:t>）</w:t>
            </w:r>
            <w:r>
              <w:rPr>
                <w:rFonts w:hint="eastAsia"/>
              </w:rPr>
              <w:t>，根据现场勘查，该厂房主体结构已经建成，</w:t>
            </w:r>
            <w:r>
              <w:rPr>
                <w:rFonts w:hint="eastAsia"/>
                <w:b w:val="0"/>
                <w:bCs w:val="0"/>
                <w:iCs w:val="0"/>
              </w:rPr>
              <w:t>项目施工期主要为设备安装、调试阶段产生的环境问题，本项目设备安装、调试简单</w:t>
            </w:r>
            <w:r>
              <w:rPr>
                <w:rFonts w:hint="eastAsia"/>
                <w:b w:val="0"/>
                <w:bCs w:val="0"/>
                <w:iCs w:val="0"/>
                <w:lang w:eastAsia="zh-CN"/>
              </w:rPr>
              <w:t>且</w:t>
            </w:r>
            <w:r>
              <w:rPr>
                <w:rFonts w:hint="eastAsia"/>
                <w:b w:val="0"/>
                <w:bCs w:val="0"/>
                <w:iCs w:val="0"/>
              </w:rPr>
              <w:t>时间较短，因此，随着设备安装、调试完毕后，项目施工期也将结束，施工期环境影响也</w:t>
            </w:r>
            <w:r>
              <w:rPr>
                <w:rFonts w:hint="eastAsia"/>
                <w:b w:val="0"/>
                <w:bCs w:val="0"/>
                <w:iCs w:val="0"/>
                <w:lang w:eastAsia="zh-CN"/>
              </w:rPr>
              <w:t>随之</w:t>
            </w:r>
            <w:r>
              <w:rPr>
                <w:rFonts w:hint="eastAsia"/>
                <w:b w:val="0"/>
                <w:bCs w:val="0"/>
                <w:iCs w:val="0"/>
              </w:rPr>
              <w:t>消失，不会对周边环境噪声影响。</w:t>
            </w:r>
          </w:p>
        </w:tc>
      </w:tr>
      <w:tr w14:paraId="34E22F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92" w:hRule="atLeast"/>
          <w:jc w:val="center"/>
        </w:trPr>
        <w:tc>
          <w:tcPr>
            <w:tcW w:w="385" w:type="dxa"/>
            <w:noWrap w:val="0"/>
            <w:tcMar>
              <w:left w:w="28" w:type="dxa"/>
              <w:right w:w="28" w:type="dxa"/>
            </w:tcMar>
            <w:vAlign w:val="center"/>
          </w:tcPr>
          <w:p w14:paraId="150AE2CB">
            <w:pPr>
              <w:pStyle w:val="40"/>
              <w:keepNext w:val="0"/>
              <w:keepLines w:val="0"/>
              <w:suppressLineNumbers w:val="0"/>
              <w:bidi w:val="0"/>
              <w:spacing w:before="0" w:beforeAutospacing="0" w:after="0" w:afterAutospacing="0"/>
              <w:ind w:left="0" w:right="0"/>
              <w:rPr>
                <w:rFonts w:hint="eastAsia"/>
              </w:rPr>
            </w:pPr>
            <w:r>
              <w:rPr>
                <w:rFonts w:hint="eastAsia"/>
              </w:rPr>
              <w:t>运营期环境影响和保护措施</w:t>
            </w:r>
          </w:p>
        </w:tc>
        <w:tc>
          <w:tcPr>
            <w:tcW w:w="8595" w:type="dxa"/>
            <w:noWrap w:val="0"/>
            <w:vAlign w:val="center"/>
          </w:tcPr>
          <w:p w14:paraId="1379142E">
            <w:pPr>
              <w:pStyle w:val="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eastAsia"/>
              </w:rPr>
            </w:pPr>
            <w:r>
              <w:rPr>
                <w:rFonts w:hint="eastAsia"/>
              </w:rPr>
              <w:t>运营期水环境影响分析和污染防治措施</w:t>
            </w:r>
          </w:p>
          <w:p w14:paraId="345DD508">
            <w:pPr>
              <w:pStyle w:val="4"/>
              <w:keepNext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eastAsia"/>
              </w:rPr>
            </w:pPr>
            <w:bookmarkStart w:id="31" w:name="_Toc18741"/>
            <w:r>
              <w:rPr>
                <w:rFonts w:hint="eastAsia"/>
              </w:rPr>
              <w:t>运营期废水源强核算</w:t>
            </w:r>
            <w:bookmarkEnd w:id="31"/>
          </w:p>
          <w:p w14:paraId="2D4E59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eastAsia"/>
                <w:lang w:val="en-US" w:eastAsia="zh-CN"/>
              </w:rPr>
            </w:pPr>
            <w:r>
              <w:rPr>
                <w:rFonts w:hint="eastAsia"/>
                <w:lang w:val="en-US" w:eastAsia="zh-CN"/>
              </w:rPr>
              <w:t>本项目无生产废水产生，水帘喷漆用水循环使用不外排</w:t>
            </w:r>
            <w:r>
              <w:rPr>
                <w:rFonts w:hint="default"/>
                <w:lang w:eastAsia="zh-CN"/>
              </w:rPr>
              <w:t>，</w:t>
            </w:r>
            <w:r>
              <w:rPr>
                <w:rFonts w:hint="eastAsia"/>
                <w:lang w:eastAsia="zh-CN"/>
              </w:rPr>
              <w:t>定期捞漆渣，喷漆废水不属于危险废物，但为了控制生产过程中可能发生的环境风险，</w:t>
            </w:r>
            <w:r>
              <w:rPr>
                <w:rFonts w:hint="default"/>
                <w:lang w:eastAsia="zh-CN"/>
              </w:rPr>
              <w:t>待浓度过高时按危废委托有资质的</w:t>
            </w:r>
            <w:r>
              <w:rPr>
                <w:rFonts w:hint="eastAsia"/>
                <w:lang w:eastAsia="zh-CN"/>
              </w:rPr>
              <w:t>危废处置</w:t>
            </w:r>
            <w:r>
              <w:rPr>
                <w:rFonts w:hint="default"/>
                <w:lang w:eastAsia="zh-CN"/>
              </w:rPr>
              <w:t>单位处置</w:t>
            </w:r>
            <w:r>
              <w:rPr>
                <w:rFonts w:hint="eastAsia"/>
                <w:lang w:eastAsia="zh-CN"/>
              </w:rPr>
              <w:t>，</w:t>
            </w:r>
            <w:r>
              <w:rPr>
                <w:rFonts w:hint="eastAsia"/>
                <w:lang w:val="en-US" w:eastAsia="zh-CN"/>
              </w:rPr>
              <w:t>因此</w:t>
            </w:r>
            <w:r>
              <w:rPr>
                <w:rFonts w:hint="eastAsia"/>
                <w:lang w:eastAsia="zh-CN"/>
              </w:rPr>
              <w:t>，</w:t>
            </w:r>
            <w:r>
              <w:rPr>
                <w:rFonts w:hint="eastAsia"/>
                <w:lang w:val="en-US" w:eastAsia="zh-CN"/>
              </w:rPr>
              <w:t>外排废水仅有生活污水。</w:t>
            </w:r>
          </w:p>
          <w:p w14:paraId="433224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eastAsia"/>
              </w:rPr>
            </w:pPr>
            <w:r>
              <w:rPr>
                <w:rFonts w:hint="eastAsia"/>
              </w:rPr>
              <w:t>（</w:t>
            </w:r>
            <w:r>
              <w:rPr>
                <w:rFonts w:hint="eastAsia"/>
                <w:lang w:val="en-US" w:eastAsia="zh-CN"/>
              </w:rPr>
              <w:t>1</w:t>
            </w:r>
            <w:r>
              <w:rPr>
                <w:rFonts w:hint="eastAsia"/>
              </w:rPr>
              <w:t>）职工生活用水</w:t>
            </w:r>
          </w:p>
          <w:p w14:paraId="517812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eastAsia"/>
              </w:rPr>
            </w:pPr>
            <w:r>
              <w:rPr>
                <w:rFonts w:hint="eastAsia"/>
              </w:rPr>
              <w:t>项目劳动定员</w:t>
            </w:r>
            <w:r>
              <w:rPr>
                <w:rFonts w:hint="eastAsia"/>
                <w:lang w:val="en-US" w:eastAsia="zh-CN"/>
              </w:rPr>
              <w:t>13</w:t>
            </w:r>
            <w:r>
              <w:rPr>
                <w:rFonts w:hint="eastAsia"/>
              </w:rPr>
              <w:t>人，</w:t>
            </w:r>
            <w:r>
              <w:rPr>
                <w:rFonts w:hint="eastAsia"/>
                <w:lang w:val="en-US" w:eastAsia="zh-CN"/>
              </w:rPr>
              <w:t>均</w:t>
            </w:r>
            <w:r>
              <w:rPr>
                <w:rFonts w:hint="eastAsia"/>
              </w:rPr>
              <w:t>不</w:t>
            </w:r>
            <w:r>
              <w:rPr>
                <w:rFonts w:hint="eastAsia"/>
                <w:lang w:val="en-US" w:eastAsia="zh-CN"/>
              </w:rPr>
              <w:t>在</w:t>
            </w:r>
            <w:r>
              <w:rPr>
                <w:rFonts w:hint="eastAsia"/>
              </w:rPr>
              <w:t>厂</w:t>
            </w:r>
            <w:r>
              <w:rPr>
                <w:rFonts w:hint="eastAsia"/>
                <w:lang w:val="en-US" w:eastAsia="zh-CN"/>
              </w:rPr>
              <w:t>食宿</w:t>
            </w:r>
            <w:r>
              <w:rPr>
                <w:rFonts w:hint="eastAsia"/>
              </w:rPr>
              <w:t>，根据《建筑给水排水设计规范》（GB</w:t>
            </w:r>
            <w:r>
              <w:rPr>
                <w:rFonts w:hint="eastAsia"/>
                <w:lang w:eastAsia="zh-CN"/>
              </w:rPr>
              <w:t>50</w:t>
            </w:r>
            <w:r>
              <w:rPr>
                <w:rFonts w:hint="eastAsia"/>
              </w:rPr>
              <w:t>015-2019），不住宿员工用水量按</w:t>
            </w:r>
            <w:r>
              <w:rPr>
                <w:rFonts w:hint="eastAsia"/>
                <w:lang w:val="en-US" w:eastAsia="zh-CN"/>
              </w:rPr>
              <w:t>50</w:t>
            </w:r>
            <w:r>
              <w:rPr>
                <w:rFonts w:hint="eastAsia"/>
              </w:rPr>
              <w:t>L/人·d计算，则职工生活用水量为</w:t>
            </w:r>
            <w:r>
              <w:rPr>
                <w:rFonts w:hint="eastAsia"/>
                <w:lang w:val="en-US" w:eastAsia="zh-CN"/>
              </w:rPr>
              <w:t>0.65</w:t>
            </w:r>
            <w:r>
              <w:rPr>
                <w:rFonts w:hint="eastAsia"/>
              </w:rPr>
              <w:t>t/d（</w:t>
            </w:r>
            <w:r>
              <w:rPr>
                <w:rFonts w:hint="eastAsia"/>
                <w:lang w:val="en-US" w:eastAsia="zh-CN"/>
              </w:rPr>
              <w:t>195</w:t>
            </w:r>
            <w:r>
              <w:rPr>
                <w:rFonts w:hint="eastAsia"/>
              </w:rPr>
              <w:t>t/a），排放系数按80%计，则项目职工生活污水产生量为</w:t>
            </w:r>
            <w:r>
              <w:rPr>
                <w:rFonts w:hint="eastAsia"/>
                <w:lang w:val="en-US" w:eastAsia="zh-CN"/>
              </w:rPr>
              <w:t>0.52</w:t>
            </w:r>
            <w:r>
              <w:rPr>
                <w:rFonts w:hint="eastAsia"/>
              </w:rPr>
              <w:t>t/d（</w:t>
            </w:r>
            <w:r>
              <w:rPr>
                <w:rFonts w:hint="eastAsia"/>
                <w:lang w:val="en-US" w:eastAsia="zh-CN"/>
              </w:rPr>
              <w:t>156t</w:t>
            </w:r>
            <w:r>
              <w:rPr>
                <w:rFonts w:hint="eastAsia"/>
              </w:rPr>
              <w:t>/a）。</w:t>
            </w:r>
          </w:p>
          <w:p w14:paraId="1E9738E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eastAsia"/>
              </w:rPr>
            </w:pPr>
            <w:r>
              <w:rPr>
                <w:rFonts w:hint="default"/>
                <w:lang w:val="en-US" w:eastAsia="zh-CN"/>
              </w:rPr>
              <w:t>根据</w:t>
            </w:r>
            <w:r>
              <w:rPr>
                <w:rFonts w:hint="eastAsia"/>
                <w:lang w:val="en-US" w:eastAsia="zh-CN"/>
              </w:rPr>
              <w:t>《</w:t>
            </w:r>
            <w:r>
              <w:rPr>
                <w:rFonts w:hint="default"/>
                <w:lang w:val="en-US" w:eastAsia="zh-CN"/>
              </w:rPr>
              <w:t>给水排水设计手册</w:t>
            </w:r>
            <w:r>
              <w:rPr>
                <w:rFonts w:hint="eastAsia"/>
                <w:lang w:val="en-US" w:eastAsia="zh-CN"/>
              </w:rPr>
              <w:t>》（</w:t>
            </w:r>
            <w:r>
              <w:rPr>
                <w:rFonts w:hint="default"/>
                <w:lang w:val="en-US" w:eastAsia="zh-CN"/>
              </w:rPr>
              <w:t>第5册</w:t>
            </w:r>
            <w:r>
              <w:rPr>
                <w:rFonts w:hint="eastAsia"/>
                <w:lang w:val="en-US" w:eastAsia="zh-CN"/>
              </w:rPr>
              <w:t>）</w:t>
            </w:r>
            <w:r>
              <w:rPr>
                <w:rFonts w:hint="default"/>
                <w:lang w:val="en-US" w:eastAsia="zh-CN"/>
              </w:rPr>
              <w:t>中城镇污水水质，生活污水中各主要污染物浓度COD：400mg/L，BOD</w:t>
            </w:r>
            <w:r>
              <w:rPr>
                <w:rFonts w:hint="default"/>
                <w:vertAlign w:val="subscript"/>
                <w:lang w:val="en-US" w:eastAsia="zh-CN"/>
              </w:rPr>
              <w:t>5</w:t>
            </w:r>
            <w:r>
              <w:rPr>
                <w:rFonts w:hint="eastAsia"/>
                <w:vertAlign w:val="subscript"/>
                <w:lang w:val="en-US" w:eastAsia="zh-CN"/>
              </w:rPr>
              <w:t>:</w:t>
            </w:r>
            <w:r>
              <w:rPr>
                <w:rFonts w:hint="default"/>
                <w:lang w:val="en-US" w:eastAsia="zh-CN"/>
              </w:rPr>
              <w:t>220mg/L，SS：200mg/L，NH</w:t>
            </w:r>
            <w:r>
              <w:rPr>
                <w:rFonts w:hint="eastAsia"/>
                <w:vertAlign w:val="subscript"/>
                <w:lang w:val="en-US" w:eastAsia="zh-CN"/>
              </w:rPr>
              <w:t>3</w:t>
            </w:r>
            <w:r>
              <w:rPr>
                <w:rFonts w:hint="default"/>
                <w:lang w:val="en-US" w:eastAsia="zh-CN"/>
              </w:rPr>
              <w:t>-N：35mg/L</w:t>
            </w:r>
            <w:r>
              <w:rPr>
                <w:rFonts w:hint="eastAsia"/>
              </w:rPr>
              <w:t>。项目属于福清融元污水处理厂服务范围，项目生活污水经出租方现有的化粪池处理</w:t>
            </w:r>
            <w:r>
              <w:rPr>
                <w:rFonts w:hint="eastAsia"/>
                <w:lang w:eastAsia="zh-CN"/>
              </w:rPr>
              <w:t>达到</w:t>
            </w:r>
            <w:r>
              <w:rPr>
                <w:rFonts w:hint="eastAsia"/>
              </w:rPr>
              <w:t>《污水综合排放标准》（GB8978-1996）三级标准</w:t>
            </w:r>
            <w:r>
              <w:rPr>
                <w:rFonts w:hint="eastAsia"/>
                <w:lang w:eastAsia="zh-CN"/>
              </w:rPr>
              <w:t>（</w:t>
            </w:r>
            <w:r>
              <w:rPr>
                <w:rFonts w:hint="eastAsia"/>
              </w:rPr>
              <w:t>氨氮达到《污水排入城镇下水道水质标准》（GB/T31962-2015）B级标准</w:t>
            </w:r>
            <w:r>
              <w:rPr>
                <w:rFonts w:hint="eastAsia"/>
                <w:lang w:eastAsia="zh-CN"/>
              </w:rPr>
              <w:t>）</w:t>
            </w:r>
            <w:r>
              <w:rPr>
                <w:rFonts w:hint="eastAsia"/>
              </w:rPr>
              <w:t>后，接入园区污水管网</w:t>
            </w:r>
            <w:r>
              <w:rPr>
                <w:rFonts w:hint="eastAsia"/>
                <w:lang w:eastAsia="zh-CN"/>
              </w:rPr>
              <w:t>，</w:t>
            </w:r>
            <w:r>
              <w:rPr>
                <w:rFonts w:hint="eastAsia"/>
                <w:lang w:val="en-US" w:eastAsia="zh-CN"/>
              </w:rPr>
              <w:t>最终排入福清融元污水处理厂处理统一处理</w:t>
            </w:r>
            <w:r>
              <w:rPr>
                <w:rFonts w:hint="eastAsia"/>
              </w:rPr>
              <w:t>。各污染物产生排放情况见表4.</w:t>
            </w:r>
            <w:r>
              <w:rPr>
                <w:rFonts w:hint="eastAsia"/>
                <w:lang w:val="en-US" w:eastAsia="zh-CN"/>
              </w:rPr>
              <w:t>1</w:t>
            </w:r>
            <w:r>
              <w:rPr>
                <w:rFonts w:hint="eastAsia"/>
              </w:rPr>
              <w:t>-1。</w:t>
            </w:r>
          </w:p>
          <w:p w14:paraId="7EDBAC08">
            <w:pPr>
              <w:keepNext w:val="0"/>
              <w:keepLines w:val="0"/>
              <w:suppressLineNumbers w:val="0"/>
              <w:bidi w:val="0"/>
              <w:spacing w:before="0" w:beforeAutospacing="0" w:after="0" w:afterAutospacing="0"/>
              <w:ind w:left="0" w:right="0"/>
              <w:rPr>
                <w:rFonts w:hint="eastAsia"/>
              </w:rPr>
            </w:pPr>
          </w:p>
        </w:tc>
      </w:tr>
      <w:tr w14:paraId="0F53B5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75" w:hRule="atLeast"/>
          <w:jc w:val="center"/>
        </w:trPr>
        <w:tc>
          <w:tcPr>
            <w:tcW w:w="385" w:type="dxa"/>
            <w:noWrap w:val="0"/>
            <w:tcMar>
              <w:left w:w="28" w:type="dxa"/>
              <w:right w:w="28" w:type="dxa"/>
            </w:tcMar>
            <w:vAlign w:val="center"/>
          </w:tcPr>
          <w:p w14:paraId="36E1F6E3">
            <w:pPr>
              <w:pStyle w:val="40"/>
              <w:keepNext w:val="0"/>
              <w:keepLines w:val="0"/>
              <w:suppressLineNumbers w:val="0"/>
              <w:bidi w:val="0"/>
              <w:spacing w:before="0" w:beforeAutospacing="0" w:after="0" w:afterAutospacing="0"/>
              <w:ind w:left="0" w:right="0"/>
              <w:rPr>
                <w:rFonts w:hint="eastAsia"/>
              </w:rPr>
            </w:pPr>
            <w:r>
              <w:rPr>
                <w:rFonts w:hint="eastAsia"/>
              </w:rPr>
              <w:t>运营期环境影响和保护措施</w:t>
            </w:r>
          </w:p>
        </w:tc>
        <w:tc>
          <w:tcPr>
            <w:tcW w:w="8595" w:type="dxa"/>
            <w:vMerge w:val="restart"/>
            <w:noWrap w:val="0"/>
            <w:vAlign w:val="center"/>
          </w:tcPr>
          <w:p w14:paraId="184E199C">
            <w:pPr>
              <w:pStyle w:val="39"/>
              <w:keepNext w:val="0"/>
              <w:keepLines w:val="0"/>
              <w:suppressLineNumbers w:val="0"/>
              <w:bidi w:val="0"/>
              <w:spacing w:before="0" w:beforeAutospacing="0" w:after="0" w:afterAutospacing="0"/>
              <w:ind w:left="0" w:right="0"/>
              <w:rPr>
                <w:rFonts w:hint="default"/>
              </w:rPr>
            </w:pPr>
            <w:r>
              <w:rPr>
                <w:rFonts w:hint="default"/>
              </w:rPr>
              <w:t>表4.</w:t>
            </w:r>
            <w:r>
              <w:rPr>
                <w:rFonts w:hint="default"/>
                <w:lang w:val="en-US" w:eastAsia="zh-CN"/>
              </w:rPr>
              <w:t>1</w:t>
            </w:r>
            <w:r>
              <w:rPr>
                <w:rFonts w:hint="default"/>
              </w:rPr>
              <w:t>-1   项目污水污染源源强核算结果及相关参数一览表</w:t>
            </w:r>
          </w:p>
          <w:tbl>
            <w:tblPr>
              <w:tblStyle w:val="29"/>
              <w:tblW w:w="0" w:type="auto"/>
              <w:jc w:val="center"/>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753"/>
              <w:gridCol w:w="2849"/>
              <w:gridCol w:w="864"/>
              <w:gridCol w:w="864"/>
              <w:gridCol w:w="864"/>
              <w:gridCol w:w="882"/>
            </w:tblGrid>
            <w:tr w14:paraId="4B865DFD">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7" w:hRule="atLeast"/>
                <w:jc w:val="center"/>
              </w:trPr>
              <w:tc>
                <w:tcPr>
                  <w:tcW w:w="1753" w:type="dxa"/>
                  <w:tcBorders>
                    <w:top w:val="single" w:color="000000" w:sz="12" w:space="0"/>
                    <w:left w:val="nil"/>
                    <w:tl2br w:val="nil"/>
                  </w:tcBorders>
                  <w:shd w:val="clear" w:color="auto" w:fill="auto"/>
                  <w:vAlign w:val="center"/>
                </w:tcPr>
                <w:p w14:paraId="4096AAB0">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废水量</w:t>
                  </w:r>
                </w:p>
              </w:tc>
              <w:tc>
                <w:tcPr>
                  <w:tcW w:w="2849" w:type="dxa"/>
                  <w:tcBorders>
                    <w:top w:val="single" w:color="000000" w:sz="12" w:space="0"/>
                  </w:tcBorders>
                  <w:shd w:val="clear" w:color="auto" w:fill="auto"/>
                  <w:vAlign w:val="center"/>
                </w:tcPr>
                <w:p w14:paraId="2C195DFF">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项目</w:t>
                  </w:r>
                </w:p>
              </w:tc>
              <w:tc>
                <w:tcPr>
                  <w:tcW w:w="864" w:type="dxa"/>
                  <w:tcBorders>
                    <w:top w:val="single" w:color="000000" w:sz="12" w:space="0"/>
                  </w:tcBorders>
                  <w:shd w:val="clear" w:color="auto" w:fill="auto"/>
                  <w:vAlign w:val="center"/>
                </w:tcPr>
                <w:p w14:paraId="04524EA6">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COD</w:t>
                  </w:r>
                </w:p>
              </w:tc>
              <w:tc>
                <w:tcPr>
                  <w:tcW w:w="864" w:type="dxa"/>
                  <w:tcBorders>
                    <w:top w:val="single" w:color="000000" w:sz="12" w:space="0"/>
                  </w:tcBorders>
                  <w:shd w:val="clear" w:color="auto" w:fill="auto"/>
                  <w:vAlign w:val="center"/>
                </w:tcPr>
                <w:p w14:paraId="231DC3FB">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BOD</w:t>
                  </w:r>
                  <w:r>
                    <w:rPr>
                      <w:rFonts w:hint="eastAsia"/>
                      <w:b w:val="0"/>
                      <w:color w:val="000000"/>
                      <w:szCs w:val="22"/>
                      <w:vertAlign w:val="subscript"/>
                      <w:lang w:val="en-US" w:eastAsia="zh-CN"/>
                    </w:rPr>
                    <w:t>5</w:t>
                  </w:r>
                </w:p>
              </w:tc>
              <w:tc>
                <w:tcPr>
                  <w:tcW w:w="864" w:type="dxa"/>
                  <w:tcBorders>
                    <w:top w:val="single" w:color="000000" w:sz="12" w:space="0"/>
                  </w:tcBorders>
                  <w:shd w:val="clear" w:color="auto" w:fill="auto"/>
                  <w:vAlign w:val="center"/>
                </w:tcPr>
                <w:p w14:paraId="2D52E379">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SS</w:t>
                  </w:r>
                </w:p>
              </w:tc>
              <w:tc>
                <w:tcPr>
                  <w:tcW w:w="882" w:type="dxa"/>
                  <w:tcBorders>
                    <w:top w:val="single" w:color="000000" w:sz="12" w:space="0"/>
                    <w:right w:val="nil"/>
                  </w:tcBorders>
                  <w:shd w:val="clear" w:color="auto" w:fill="auto"/>
                  <w:vAlign w:val="center"/>
                </w:tcPr>
                <w:p w14:paraId="7245372E">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NH</w:t>
                  </w:r>
                  <w:r>
                    <w:rPr>
                      <w:rFonts w:hint="eastAsia"/>
                      <w:b w:val="0"/>
                      <w:color w:val="000000"/>
                      <w:szCs w:val="22"/>
                      <w:vertAlign w:val="subscript"/>
                      <w:lang w:val="en-US" w:eastAsia="zh-CN"/>
                    </w:rPr>
                    <w:t>3</w:t>
                  </w:r>
                  <w:r>
                    <w:rPr>
                      <w:rFonts w:hint="eastAsia"/>
                      <w:b w:val="0"/>
                      <w:color w:val="000000"/>
                      <w:szCs w:val="22"/>
                      <w:lang w:val="en-US" w:eastAsia="zh-CN"/>
                    </w:rPr>
                    <w:t>-N</w:t>
                  </w:r>
                </w:p>
              </w:tc>
            </w:tr>
            <w:tr w14:paraId="342C2E84">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9" w:hRule="atLeast"/>
                <w:jc w:val="center"/>
              </w:trPr>
              <w:tc>
                <w:tcPr>
                  <w:tcW w:w="1753" w:type="dxa"/>
                  <w:vMerge w:val="restart"/>
                  <w:tcBorders>
                    <w:left w:val="nil"/>
                  </w:tcBorders>
                  <w:shd w:val="clear" w:color="auto" w:fill="auto"/>
                  <w:vAlign w:val="center"/>
                </w:tcPr>
                <w:p w14:paraId="68027CF7">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生活用水（195t/a）</w:t>
                  </w:r>
                </w:p>
              </w:tc>
              <w:tc>
                <w:tcPr>
                  <w:tcW w:w="2849" w:type="dxa"/>
                  <w:shd w:val="clear" w:color="auto" w:fill="auto"/>
                  <w:vAlign w:val="center"/>
                </w:tcPr>
                <w:p w14:paraId="261F34AE">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污染物产生浓度（mg/L）</w:t>
                  </w:r>
                </w:p>
              </w:tc>
              <w:tc>
                <w:tcPr>
                  <w:tcW w:w="864" w:type="dxa"/>
                  <w:shd w:val="clear" w:color="auto" w:fill="auto"/>
                  <w:vAlign w:val="center"/>
                </w:tcPr>
                <w:p w14:paraId="534D7CFF">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400</w:t>
                  </w:r>
                </w:p>
              </w:tc>
              <w:tc>
                <w:tcPr>
                  <w:tcW w:w="864" w:type="dxa"/>
                  <w:shd w:val="clear" w:color="auto" w:fill="auto"/>
                  <w:vAlign w:val="center"/>
                </w:tcPr>
                <w:p w14:paraId="70A531F4">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220</w:t>
                  </w:r>
                </w:p>
              </w:tc>
              <w:tc>
                <w:tcPr>
                  <w:tcW w:w="864" w:type="dxa"/>
                  <w:shd w:val="clear" w:color="auto" w:fill="auto"/>
                  <w:vAlign w:val="center"/>
                </w:tcPr>
                <w:p w14:paraId="24D3D859">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200</w:t>
                  </w:r>
                </w:p>
              </w:tc>
              <w:tc>
                <w:tcPr>
                  <w:tcW w:w="882" w:type="dxa"/>
                  <w:tcBorders>
                    <w:right w:val="nil"/>
                  </w:tcBorders>
                  <w:shd w:val="clear" w:color="auto" w:fill="auto"/>
                  <w:vAlign w:val="center"/>
                </w:tcPr>
                <w:p w14:paraId="467549AD">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35</w:t>
                  </w:r>
                </w:p>
              </w:tc>
            </w:tr>
            <w:tr w14:paraId="68D349CA">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4" w:hRule="atLeast"/>
                <w:jc w:val="center"/>
              </w:trPr>
              <w:tc>
                <w:tcPr>
                  <w:tcW w:w="1753" w:type="dxa"/>
                  <w:vMerge w:val="continue"/>
                  <w:tcBorders>
                    <w:left w:val="nil"/>
                  </w:tcBorders>
                  <w:shd w:val="clear" w:color="auto" w:fill="auto"/>
                  <w:vAlign w:val="center"/>
                </w:tcPr>
                <w:p w14:paraId="6955E289">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2849" w:type="dxa"/>
                  <w:shd w:val="clear" w:color="auto" w:fill="auto"/>
                  <w:vAlign w:val="center"/>
                </w:tcPr>
                <w:p w14:paraId="430DDADE">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污染物产生量（t/a）</w:t>
                  </w:r>
                </w:p>
              </w:tc>
              <w:tc>
                <w:tcPr>
                  <w:tcW w:w="864" w:type="dxa"/>
                  <w:shd w:val="clear" w:color="auto" w:fill="auto"/>
                  <w:vAlign w:val="center"/>
                </w:tcPr>
                <w:p w14:paraId="685CE73F">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0.0624</w:t>
                  </w:r>
                </w:p>
              </w:tc>
              <w:tc>
                <w:tcPr>
                  <w:tcW w:w="864" w:type="dxa"/>
                  <w:shd w:val="clear" w:color="auto" w:fill="auto"/>
                  <w:vAlign w:val="center"/>
                </w:tcPr>
                <w:p w14:paraId="08E36746">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0.0343</w:t>
                  </w:r>
                </w:p>
              </w:tc>
              <w:tc>
                <w:tcPr>
                  <w:tcW w:w="864" w:type="dxa"/>
                  <w:shd w:val="clear" w:color="auto" w:fill="auto"/>
                  <w:vAlign w:val="center"/>
                </w:tcPr>
                <w:p w14:paraId="38E26942">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0.0312</w:t>
                  </w:r>
                </w:p>
              </w:tc>
              <w:tc>
                <w:tcPr>
                  <w:tcW w:w="882" w:type="dxa"/>
                  <w:tcBorders>
                    <w:right w:val="nil"/>
                  </w:tcBorders>
                  <w:shd w:val="clear" w:color="auto" w:fill="auto"/>
                  <w:vAlign w:val="center"/>
                </w:tcPr>
                <w:p w14:paraId="6EC0A14D">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0.0055</w:t>
                  </w:r>
                </w:p>
              </w:tc>
            </w:tr>
            <w:tr w14:paraId="458856D3">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99" w:hRule="atLeast"/>
                <w:jc w:val="center"/>
              </w:trPr>
              <w:tc>
                <w:tcPr>
                  <w:tcW w:w="1753" w:type="dxa"/>
                  <w:tcBorders>
                    <w:left w:val="nil"/>
                  </w:tcBorders>
                  <w:shd w:val="clear" w:color="auto" w:fill="auto"/>
                  <w:vAlign w:val="center"/>
                </w:tcPr>
                <w:p w14:paraId="1B2A6E2B">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处理措施</w:t>
                  </w:r>
                </w:p>
              </w:tc>
              <w:tc>
                <w:tcPr>
                  <w:tcW w:w="6323" w:type="dxa"/>
                  <w:gridSpan w:val="5"/>
                  <w:tcBorders>
                    <w:right w:val="nil"/>
                  </w:tcBorders>
                  <w:shd w:val="clear" w:color="auto" w:fill="auto"/>
                  <w:vAlign w:val="center"/>
                </w:tcPr>
                <w:p w14:paraId="36A7E8EC">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依托厂区现有的化粪池处理达标后排入市政污水管网，最终进入福清市融元污水处理厂进行处理</w:t>
                  </w:r>
                </w:p>
              </w:tc>
            </w:tr>
            <w:tr w14:paraId="762895A8">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24" w:hRule="atLeast"/>
                <w:jc w:val="center"/>
              </w:trPr>
              <w:tc>
                <w:tcPr>
                  <w:tcW w:w="1753" w:type="dxa"/>
                  <w:vMerge w:val="restart"/>
                  <w:tcBorders>
                    <w:left w:val="nil"/>
                  </w:tcBorders>
                  <w:shd w:val="clear" w:color="auto" w:fill="auto"/>
                  <w:vAlign w:val="center"/>
                </w:tcPr>
                <w:p w14:paraId="51BA72B3">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生活污水（156t/a）</w:t>
                  </w:r>
                </w:p>
              </w:tc>
              <w:tc>
                <w:tcPr>
                  <w:tcW w:w="2849" w:type="dxa"/>
                  <w:shd w:val="clear" w:color="auto" w:fill="auto"/>
                  <w:vAlign w:val="center"/>
                </w:tcPr>
                <w:p w14:paraId="40056DD6">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化粪池处理效率</w:t>
                  </w:r>
                </w:p>
              </w:tc>
              <w:tc>
                <w:tcPr>
                  <w:tcW w:w="864" w:type="dxa"/>
                  <w:shd w:val="clear" w:color="auto" w:fill="auto"/>
                  <w:vAlign w:val="center"/>
                </w:tcPr>
                <w:p w14:paraId="79F91706">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20.3%</w:t>
                  </w:r>
                </w:p>
              </w:tc>
              <w:tc>
                <w:tcPr>
                  <w:tcW w:w="864" w:type="dxa"/>
                  <w:shd w:val="clear" w:color="auto" w:fill="auto"/>
                  <w:vAlign w:val="center"/>
                </w:tcPr>
                <w:p w14:paraId="58620837">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21.2%</w:t>
                  </w:r>
                </w:p>
              </w:tc>
              <w:tc>
                <w:tcPr>
                  <w:tcW w:w="864" w:type="dxa"/>
                  <w:shd w:val="clear" w:color="auto" w:fill="auto"/>
                  <w:vAlign w:val="center"/>
                </w:tcPr>
                <w:p w14:paraId="7FF6B807">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47.0%</w:t>
                  </w:r>
                </w:p>
              </w:tc>
              <w:tc>
                <w:tcPr>
                  <w:tcW w:w="882" w:type="dxa"/>
                  <w:tcBorders>
                    <w:right w:val="nil"/>
                  </w:tcBorders>
                  <w:shd w:val="clear" w:color="auto" w:fill="auto"/>
                  <w:vAlign w:val="center"/>
                </w:tcPr>
                <w:p w14:paraId="7179A33B">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3.1%</w:t>
                  </w:r>
                </w:p>
              </w:tc>
            </w:tr>
            <w:tr w14:paraId="64298131">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99" w:hRule="atLeast"/>
                <w:jc w:val="center"/>
              </w:trPr>
              <w:tc>
                <w:tcPr>
                  <w:tcW w:w="1753" w:type="dxa"/>
                  <w:vMerge w:val="continue"/>
                  <w:tcBorders>
                    <w:left w:val="nil"/>
                  </w:tcBorders>
                  <w:shd w:val="clear" w:color="auto" w:fill="auto"/>
                  <w:vAlign w:val="center"/>
                </w:tcPr>
                <w:p w14:paraId="58E3F0E9">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2849" w:type="dxa"/>
                  <w:shd w:val="clear" w:color="auto" w:fill="auto"/>
                  <w:vAlign w:val="center"/>
                </w:tcPr>
                <w:p w14:paraId="691FBFF9">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经化粪池处理后废水排放浓度（mg/L）</w:t>
                  </w:r>
                </w:p>
              </w:tc>
              <w:tc>
                <w:tcPr>
                  <w:tcW w:w="864" w:type="dxa"/>
                  <w:shd w:val="clear" w:color="auto" w:fill="auto"/>
                  <w:vAlign w:val="center"/>
                </w:tcPr>
                <w:p w14:paraId="2CEDF9B3">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318.8</w:t>
                  </w:r>
                </w:p>
              </w:tc>
              <w:tc>
                <w:tcPr>
                  <w:tcW w:w="864" w:type="dxa"/>
                  <w:shd w:val="clear" w:color="auto" w:fill="auto"/>
                  <w:vAlign w:val="center"/>
                </w:tcPr>
                <w:p w14:paraId="5EF3E516">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173.4</w:t>
                  </w:r>
                </w:p>
              </w:tc>
              <w:tc>
                <w:tcPr>
                  <w:tcW w:w="864" w:type="dxa"/>
                  <w:shd w:val="clear" w:color="auto" w:fill="auto"/>
                  <w:vAlign w:val="center"/>
                </w:tcPr>
                <w:p w14:paraId="7A06FCF4">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106</w:t>
                  </w:r>
                </w:p>
              </w:tc>
              <w:tc>
                <w:tcPr>
                  <w:tcW w:w="882" w:type="dxa"/>
                  <w:tcBorders>
                    <w:right w:val="nil"/>
                  </w:tcBorders>
                  <w:shd w:val="clear" w:color="auto" w:fill="auto"/>
                  <w:vAlign w:val="center"/>
                </w:tcPr>
                <w:p w14:paraId="45CAAD69">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33.9</w:t>
                  </w:r>
                </w:p>
              </w:tc>
            </w:tr>
            <w:tr w14:paraId="62AE2762">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99" w:hRule="atLeast"/>
                <w:jc w:val="center"/>
              </w:trPr>
              <w:tc>
                <w:tcPr>
                  <w:tcW w:w="1753" w:type="dxa"/>
                  <w:vMerge w:val="continue"/>
                  <w:tcBorders>
                    <w:left w:val="nil"/>
                  </w:tcBorders>
                  <w:shd w:val="clear" w:color="auto" w:fill="auto"/>
                  <w:vAlign w:val="center"/>
                </w:tcPr>
                <w:p w14:paraId="0329F8EA">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2849" w:type="dxa"/>
                  <w:shd w:val="clear" w:color="auto" w:fill="auto"/>
                  <w:vAlign w:val="center"/>
                </w:tcPr>
                <w:p w14:paraId="081F7A34">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经化粪池处理后废水排放量（t/a）</w:t>
                  </w:r>
                </w:p>
              </w:tc>
              <w:tc>
                <w:tcPr>
                  <w:tcW w:w="864" w:type="dxa"/>
                  <w:shd w:val="clear" w:color="auto" w:fill="auto"/>
                  <w:vAlign w:val="center"/>
                </w:tcPr>
                <w:p w14:paraId="7E0808BA">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0.0497</w:t>
                  </w:r>
                </w:p>
              </w:tc>
              <w:tc>
                <w:tcPr>
                  <w:tcW w:w="864" w:type="dxa"/>
                  <w:shd w:val="clear" w:color="auto" w:fill="auto"/>
                  <w:vAlign w:val="center"/>
                </w:tcPr>
                <w:p w14:paraId="451D9C9B">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0.0271</w:t>
                  </w:r>
                </w:p>
              </w:tc>
              <w:tc>
                <w:tcPr>
                  <w:tcW w:w="864" w:type="dxa"/>
                  <w:shd w:val="clear" w:color="auto" w:fill="auto"/>
                  <w:vAlign w:val="center"/>
                </w:tcPr>
                <w:p w14:paraId="08ED01F3">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0.0165</w:t>
                  </w:r>
                </w:p>
              </w:tc>
              <w:tc>
                <w:tcPr>
                  <w:tcW w:w="882" w:type="dxa"/>
                  <w:tcBorders>
                    <w:right w:val="nil"/>
                  </w:tcBorders>
                  <w:shd w:val="clear" w:color="auto" w:fill="auto"/>
                  <w:vAlign w:val="center"/>
                </w:tcPr>
                <w:p w14:paraId="594B4264">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0.0053</w:t>
                  </w:r>
                </w:p>
              </w:tc>
            </w:tr>
            <w:tr w14:paraId="33D3DE5D">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24" w:hRule="atLeast"/>
                <w:jc w:val="center"/>
              </w:trPr>
              <w:tc>
                <w:tcPr>
                  <w:tcW w:w="4602" w:type="dxa"/>
                  <w:gridSpan w:val="2"/>
                  <w:tcBorders>
                    <w:left w:val="nil"/>
                  </w:tcBorders>
                  <w:shd w:val="clear" w:color="auto" w:fill="auto"/>
                  <w:vAlign w:val="center"/>
                </w:tcPr>
                <w:p w14:paraId="78AB198C">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福清市融元污水处理厂纳污指标（mg/L）</w:t>
                  </w:r>
                </w:p>
              </w:tc>
              <w:tc>
                <w:tcPr>
                  <w:tcW w:w="864" w:type="dxa"/>
                  <w:shd w:val="clear" w:color="auto" w:fill="auto"/>
                  <w:vAlign w:val="center"/>
                </w:tcPr>
                <w:p w14:paraId="58872579">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w:t>
                  </w:r>
                  <w:r>
                    <w:rPr>
                      <w:rFonts w:hint="eastAsia"/>
                      <w:b w:val="0"/>
                      <w:color w:val="000000"/>
                      <w:szCs w:val="22"/>
                      <w:lang w:val="en-US" w:eastAsia="zh-CN"/>
                    </w:rPr>
                    <w:t>400</w:t>
                  </w:r>
                </w:p>
              </w:tc>
              <w:tc>
                <w:tcPr>
                  <w:tcW w:w="864" w:type="dxa"/>
                  <w:shd w:val="clear" w:color="auto" w:fill="auto"/>
                  <w:vAlign w:val="center"/>
                </w:tcPr>
                <w:p w14:paraId="14D006B4">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w:t>
                  </w:r>
                  <w:r>
                    <w:rPr>
                      <w:rFonts w:hint="eastAsia"/>
                      <w:b w:val="0"/>
                      <w:color w:val="000000"/>
                      <w:szCs w:val="22"/>
                      <w:lang w:val="en-US" w:eastAsia="zh-CN"/>
                    </w:rPr>
                    <w:t>220</w:t>
                  </w:r>
                </w:p>
              </w:tc>
              <w:tc>
                <w:tcPr>
                  <w:tcW w:w="864" w:type="dxa"/>
                  <w:shd w:val="clear" w:color="auto" w:fill="auto"/>
                  <w:vAlign w:val="center"/>
                </w:tcPr>
                <w:p w14:paraId="1AA06FA1">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≤2</w:t>
                  </w:r>
                  <w:r>
                    <w:rPr>
                      <w:rFonts w:hint="eastAsia"/>
                      <w:b w:val="0"/>
                      <w:color w:val="000000"/>
                      <w:szCs w:val="22"/>
                      <w:lang w:val="en-US" w:eastAsia="zh-CN"/>
                    </w:rPr>
                    <w:t>80</w:t>
                  </w:r>
                </w:p>
              </w:tc>
              <w:tc>
                <w:tcPr>
                  <w:tcW w:w="882" w:type="dxa"/>
                  <w:tcBorders>
                    <w:right w:val="nil"/>
                  </w:tcBorders>
                  <w:shd w:val="clear" w:color="auto" w:fill="auto"/>
                  <w:vAlign w:val="center"/>
                </w:tcPr>
                <w:p w14:paraId="0F65BD9A">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w:t>
                  </w:r>
                  <w:r>
                    <w:rPr>
                      <w:rFonts w:hint="eastAsia"/>
                      <w:b w:val="0"/>
                      <w:color w:val="000000"/>
                      <w:szCs w:val="22"/>
                      <w:lang w:val="en-US" w:eastAsia="zh-CN"/>
                    </w:rPr>
                    <w:t>37</w:t>
                  </w:r>
                </w:p>
              </w:tc>
            </w:tr>
            <w:tr w14:paraId="21E9693A">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24" w:hRule="atLeast"/>
                <w:jc w:val="center"/>
              </w:trPr>
              <w:tc>
                <w:tcPr>
                  <w:tcW w:w="4602" w:type="dxa"/>
                  <w:gridSpan w:val="2"/>
                  <w:tcBorders>
                    <w:left w:val="nil"/>
                  </w:tcBorders>
                  <w:shd w:val="clear" w:color="auto" w:fill="auto"/>
                  <w:vAlign w:val="center"/>
                </w:tcPr>
                <w:p w14:paraId="761E1C24">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福清市融元污水处理厂尾水排放指标（mg/L）</w:t>
                  </w:r>
                </w:p>
              </w:tc>
              <w:tc>
                <w:tcPr>
                  <w:tcW w:w="864" w:type="dxa"/>
                  <w:shd w:val="clear" w:color="auto" w:fill="auto"/>
                  <w:vAlign w:val="center"/>
                </w:tcPr>
                <w:p w14:paraId="7E3B4B21">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w:t>
                  </w:r>
                  <w:r>
                    <w:rPr>
                      <w:rFonts w:hint="eastAsia"/>
                      <w:b w:val="0"/>
                      <w:color w:val="000000"/>
                      <w:szCs w:val="22"/>
                      <w:lang w:val="en-US" w:eastAsia="zh-CN"/>
                    </w:rPr>
                    <w:t>50</w:t>
                  </w:r>
                </w:p>
              </w:tc>
              <w:tc>
                <w:tcPr>
                  <w:tcW w:w="864" w:type="dxa"/>
                  <w:shd w:val="clear" w:color="auto" w:fill="auto"/>
                  <w:vAlign w:val="center"/>
                </w:tcPr>
                <w:p w14:paraId="36D4DD2F">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w:t>
                  </w:r>
                  <w:r>
                    <w:rPr>
                      <w:rFonts w:hint="eastAsia"/>
                      <w:b w:val="0"/>
                      <w:color w:val="000000"/>
                      <w:szCs w:val="22"/>
                      <w:lang w:val="en-US" w:eastAsia="zh-CN"/>
                    </w:rPr>
                    <w:t>10</w:t>
                  </w:r>
                </w:p>
              </w:tc>
              <w:tc>
                <w:tcPr>
                  <w:tcW w:w="864" w:type="dxa"/>
                  <w:shd w:val="clear" w:color="auto" w:fill="auto"/>
                  <w:vAlign w:val="center"/>
                </w:tcPr>
                <w:p w14:paraId="2C029192">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w:t>
                  </w:r>
                  <w:r>
                    <w:rPr>
                      <w:rFonts w:hint="eastAsia"/>
                      <w:b w:val="0"/>
                      <w:color w:val="000000"/>
                      <w:szCs w:val="22"/>
                      <w:lang w:val="en-US" w:eastAsia="zh-CN"/>
                    </w:rPr>
                    <w:t>10</w:t>
                  </w:r>
                </w:p>
              </w:tc>
              <w:tc>
                <w:tcPr>
                  <w:tcW w:w="882" w:type="dxa"/>
                  <w:tcBorders>
                    <w:right w:val="nil"/>
                  </w:tcBorders>
                  <w:shd w:val="clear" w:color="auto" w:fill="auto"/>
                  <w:vAlign w:val="center"/>
                </w:tcPr>
                <w:p w14:paraId="78AD5B1C">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w:t>
                  </w:r>
                  <w:r>
                    <w:rPr>
                      <w:rFonts w:hint="eastAsia"/>
                      <w:b w:val="0"/>
                      <w:color w:val="000000"/>
                      <w:szCs w:val="22"/>
                      <w:lang w:val="en-US" w:eastAsia="zh-CN"/>
                    </w:rPr>
                    <w:t>5</w:t>
                  </w:r>
                </w:p>
              </w:tc>
            </w:tr>
            <w:tr w14:paraId="08B80485">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6" w:hRule="atLeast"/>
                <w:jc w:val="center"/>
              </w:trPr>
              <w:tc>
                <w:tcPr>
                  <w:tcW w:w="4602" w:type="dxa"/>
                  <w:gridSpan w:val="2"/>
                  <w:tcBorders>
                    <w:left w:val="nil"/>
                    <w:bottom w:val="single" w:color="000000" w:sz="12" w:space="0"/>
                  </w:tcBorders>
                  <w:shd w:val="clear" w:color="auto" w:fill="auto"/>
                  <w:vAlign w:val="center"/>
                </w:tcPr>
                <w:p w14:paraId="2E7B7F50">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排口排放达标分析</w:t>
                  </w:r>
                </w:p>
              </w:tc>
              <w:tc>
                <w:tcPr>
                  <w:tcW w:w="864" w:type="dxa"/>
                  <w:tcBorders>
                    <w:bottom w:val="single" w:color="000000" w:sz="12" w:space="0"/>
                  </w:tcBorders>
                  <w:shd w:val="clear" w:color="auto" w:fill="auto"/>
                  <w:vAlign w:val="center"/>
                </w:tcPr>
                <w:p w14:paraId="09DE6C89">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达标</w:t>
                  </w:r>
                </w:p>
              </w:tc>
              <w:tc>
                <w:tcPr>
                  <w:tcW w:w="864" w:type="dxa"/>
                  <w:tcBorders>
                    <w:bottom w:val="single" w:color="000000" w:sz="12" w:space="0"/>
                  </w:tcBorders>
                  <w:shd w:val="clear" w:color="auto" w:fill="auto"/>
                  <w:vAlign w:val="center"/>
                </w:tcPr>
                <w:p w14:paraId="7D8AED73">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达标</w:t>
                  </w:r>
                </w:p>
              </w:tc>
              <w:tc>
                <w:tcPr>
                  <w:tcW w:w="864" w:type="dxa"/>
                  <w:tcBorders>
                    <w:bottom w:val="single" w:color="000000" w:sz="12" w:space="0"/>
                  </w:tcBorders>
                  <w:shd w:val="clear" w:color="auto" w:fill="auto"/>
                  <w:vAlign w:val="center"/>
                </w:tcPr>
                <w:p w14:paraId="17A1FF73">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达标</w:t>
                  </w:r>
                </w:p>
              </w:tc>
              <w:tc>
                <w:tcPr>
                  <w:tcW w:w="882" w:type="dxa"/>
                  <w:tcBorders>
                    <w:bottom w:val="single" w:color="000000" w:sz="12" w:space="0"/>
                    <w:right w:val="nil"/>
                  </w:tcBorders>
                  <w:shd w:val="clear" w:color="auto" w:fill="auto"/>
                  <w:vAlign w:val="center"/>
                </w:tcPr>
                <w:p w14:paraId="3D4BF507">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达标</w:t>
                  </w:r>
                </w:p>
              </w:tc>
            </w:tr>
          </w:tbl>
          <w:p w14:paraId="44D32402">
            <w:pPr>
              <w:keepNext w:val="0"/>
              <w:keepLines w:val="0"/>
              <w:suppressLineNumbers w:val="0"/>
              <w:spacing w:before="0" w:beforeAutospacing="0" w:after="0" w:afterAutospacing="0" w:line="360" w:lineRule="auto"/>
              <w:ind w:left="0" w:right="0" w:firstLine="480"/>
              <w:rPr>
                <w:rFonts w:hint="eastAsia"/>
                <w:color w:val="auto"/>
                <w:szCs w:val="21"/>
              </w:rPr>
            </w:pPr>
            <w:r>
              <w:rPr>
                <w:rFonts w:hint="eastAsia"/>
                <w:color w:val="auto"/>
                <w:szCs w:val="21"/>
              </w:rPr>
              <w:t>备注：COD、BOD</w:t>
            </w:r>
            <w:r>
              <w:rPr>
                <w:rFonts w:hint="eastAsia"/>
                <w:color w:val="auto"/>
                <w:szCs w:val="21"/>
                <w:vertAlign w:val="subscript"/>
              </w:rPr>
              <w:t>5</w:t>
            </w:r>
            <w:r>
              <w:rPr>
                <w:rFonts w:hint="eastAsia"/>
                <w:color w:val="auto"/>
                <w:szCs w:val="21"/>
              </w:rPr>
              <w:t>、氨氮的去除率参照《第一次全国污染源普查城镇生活</w:t>
            </w:r>
            <w:r>
              <w:rPr>
                <w:rFonts w:hint="eastAsia"/>
                <w:color w:val="auto"/>
                <w:szCs w:val="21"/>
                <w:lang w:eastAsia="zh-CN"/>
              </w:rPr>
              <w:t>污</w:t>
            </w:r>
            <w:r>
              <w:rPr>
                <w:rFonts w:hint="eastAsia"/>
                <w:color w:val="auto"/>
                <w:szCs w:val="21"/>
              </w:rPr>
              <w:t>染源产排污系数手册》中</w:t>
            </w:r>
            <w:r>
              <w:rPr>
                <w:rFonts w:hint="eastAsia"/>
                <w:color w:val="auto"/>
                <w:szCs w:val="21"/>
                <w:lang w:eastAsia="zh-CN"/>
              </w:rPr>
              <w:t>“</w:t>
            </w:r>
            <w:r>
              <w:rPr>
                <w:rFonts w:hint="eastAsia"/>
                <w:color w:val="auto"/>
                <w:szCs w:val="21"/>
              </w:rPr>
              <w:t>二区一类区生活污水</w:t>
            </w:r>
            <w:r>
              <w:rPr>
                <w:rFonts w:hint="eastAsia"/>
                <w:color w:val="auto"/>
                <w:szCs w:val="21"/>
                <w:lang w:eastAsia="zh-CN"/>
              </w:rPr>
              <w:t>”</w:t>
            </w:r>
            <w:r>
              <w:rPr>
                <w:rFonts w:hint="eastAsia"/>
                <w:color w:val="auto"/>
                <w:szCs w:val="21"/>
              </w:rPr>
              <w:t>经化粪池预处理后的推荐数据，去除效率分别为20.3%、21.2%、3.1%，SS参照刘毅梁发表的《武汉市住宅小区化粪池污染物去除效果调查与分析》中得出的结论：SS的去除率为47%。</w:t>
            </w:r>
          </w:p>
          <w:p w14:paraId="6206F768">
            <w:pPr>
              <w:pStyle w:val="4"/>
              <w:suppressLineNumbers w:val="0"/>
              <w:bidi w:val="0"/>
              <w:spacing w:before="0" w:beforeAutospacing="0" w:after="0" w:afterAutospacing="0"/>
              <w:ind w:left="0" w:right="0"/>
              <w:rPr>
                <w:rFonts w:hint="eastAsia"/>
              </w:rPr>
            </w:pPr>
            <w:r>
              <w:rPr>
                <w:rFonts w:hint="eastAsia"/>
              </w:rPr>
              <w:t>运营期水环境影响及污染防治措施可行性分析</w:t>
            </w:r>
          </w:p>
          <w:p w14:paraId="737DDBAE">
            <w:pPr>
              <w:keepNext w:val="0"/>
              <w:keepLines w:val="0"/>
              <w:suppressLineNumbers w:val="0"/>
              <w:bidi w:val="0"/>
              <w:spacing w:before="0" w:beforeAutospacing="0" w:after="0" w:afterAutospacing="0"/>
              <w:ind w:left="0" w:right="0"/>
              <w:rPr>
                <w:rFonts w:hint="eastAsia"/>
                <w:b w:val="0"/>
                <w:bCs w:val="0"/>
                <w:iCs w:val="0"/>
              </w:rPr>
            </w:pPr>
            <w:r>
              <w:rPr>
                <w:rFonts w:hint="eastAsia"/>
                <w:b w:val="0"/>
                <w:bCs w:val="0"/>
                <w:iCs w:val="0"/>
              </w:rPr>
              <w:t>（</w:t>
            </w:r>
            <w:r>
              <w:rPr>
                <w:rFonts w:hint="eastAsia"/>
                <w:b w:val="0"/>
                <w:bCs w:val="0"/>
                <w:iCs w:val="0"/>
                <w:lang w:val="en-US" w:eastAsia="zh-CN"/>
              </w:rPr>
              <w:t>1</w:t>
            </w:r>
            <w:r>
              <w:rPr>
                <w:rFonts w:hint="eastAsia"/>
                <w:b w:val="0"/>
                <w:bCs w:val="0"/>
                <w:iCs w:val="0"/>
              </w:rPr>
              <w:t>）化粪池治理措施可行性分析</w:t>
            </w:r>
          </w:p>
          <w:p w14:paraId="1B91EC59">
            <w:pPr>
              <w:keepNext w:val="0"/>
              <w:keepLines w:val="0"/>
              <w:suppressLineNumbers w:val="0"/>
              <w:bidi w:val="0"/>
              <w:spacing w:before="0" w:beforeAutospacing="0" w:after="0" w:afterAutospacing="0"/>
              <w:ind w:left="0" w:right="0"/>
              <w:rPr>
                <w:rFonts w:hint="eastAsia"/>
                <w:b w:val="0"/>
                <w:bCs w:val="0"/>
                <w:iCs w:val="0"/>
              </w:rPr>
            </w:pPr>
            <w:r>
              <w:rPr>
                <w:rFonts w:hint="eastAsia"/>
                <w:b w:val="0"/>
                <w:bCs w:val="0"/>
                <w:iCs w:val="0"/>
              </w:rPr>
              <w:t>三级化粪池是化粪池的一种，由一级池中部通过管道上弯转入下一级池中进行二次净化，再由二次净化后的粪水再导入下一级再次净化，这样经过三次净化后就已全部化尽为水。</w:t>
            </w:r>
          </w:p>
          <w:p w14:paraId="1AA27996">
            <w:pPr>
              <w:keepNext w:val="0"/>
              <w:keepLines w:val="0"/>
              <w:suppressLineNumbers w:val="0"/>
              <w:spacing w:before="0" w:beforeAutospacing="0" w:after="0" w:afterAutospacing="0"/>
              <w:ind w:left="0" w:right="0" w:firstLine="480" w:firstLineChars="200"/>
              <w:jc w:val="both"/>
              <w:rPr>
                <w:rFonts w:hint="eastAsia"/>
                <w:b w:val="0"/>
                <w:bCs w:val="0"/>
                <w:iCs w:val="0"/>
                <w:color w:val="auto"/>
              </w:rPr>
            </w:pPr>
            <w:r>
              <w:rPr>
                <w:rFonts w:hint="eastAsia"/>
                <w:b w:val="0"/>
                <w:bCs w:val="0"/>
                <w:iCs w:val="0"/>
                <w:color w:val="auto"/>
              </w:rPr>
              <w:t>三级化粪池原理：新鲜粪便由进粪口进入第一池，池内粪便开始发酵分解、因比重不同粪液可自然分为三层，上层为糊状粪皮，下层为块状或颗状粪渣，中层为比较澄清的粪液。在上层粪皮和下层粪渣中含细菌和寄生虫卵最多，中层含虫卵最少，初步发酵的中层粪液经过粪管溢流至第二池，而将大部分未经充分发酵的粪皮和粪渣阻留在第一池内继续发酵。流入第二池的粪液进一步发酵分解，虫卵继续下沉，病原体逐渐死亡，粪液得到进一步无害化，产生的粪皮和粪厚度比第一池显著减少。流入第三池的粪液一般已经腐熟，其中病菌和寄生虫卵已基本杀灭。第三池功能主要起储存已基本无害化的粪液作用。</w:t>
            </w:r>
          </w:p>
          <w:p w14:paraId="26F20C66">
            <w:pPr>
              <w:keepNext w:val="0"/>
              <w:keepLines w:val="0"/>
              <w:suppressLineNumbers w:val="0"/>
              <w:spacing w:before="0" w:beforeAutospacing="0" w:after="0" w:afterAutospacing="0"/>
              <w:ind w:left="0" w:right="0" w:firstLine="480" w:firstLineChars="200"/>
              <w:jc w:val="both"/>
              <w:rPr>
                <w:rFonts w:hint="eastAsia"/>
                <w:b w:val="0"/>
                <w:bCs w:val="0"/>
                <w:iCs w:val="0"/>
                <w:color w:val="auto"/>
              </w:rPr>
            </w:pPr>
            <w:r>
              <w:rPr>
                <w:rFonts w:hint="eastAsia"/>
                <w:b w:val="0"/>
                <w:bCs w:val="0"/>
                <w:iCs w:val="0"/>
                <w:color w:val="auto"/>
              </w:rPr>
              <w:t>本项目生活污水经园区内化粪池处理后污染物能达到《污水综合排放标准》（GB8978-1996）表4中三级排放标准（其中氨氮参照执行《污水排入城镇下水道水质标准》（GB/T31962-2015）表1中B级标准），所以该措施可行。</w:t>
            </w:r>
          </w:p>
          <w:p w14:paraId="7DD60E28">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（2）生活污水</w:t>
            </w:r>
            <w:r>
              <w:rPr>
                <w:rFonts w:hint="default"/>
                <w:lang w:val="en-US" w:eastAsia="zh-CN"/>
              </w:rPr>
              <w:t>依托集中污水处理厂的可行性分析</w:t>
            </w:r>
          </w:p>
          <w:p w14:paraId="31DCDE7B">
            <w:pPr>
              <w:keepNext w:val="0"/>
              <w:keepLines w:val="0"/>
              <w:suppressLineNumbers w:val="0"/>
              <w:bidi w:val="0"/>
              <w:spacing w:before="0" w:beforeAutospacing="0" w:after="0" w:afterAutospacing="0"/>
              <w:ind w:left="0" w:right="0"/>
              <w:rPr>
                <w:rFonts w:hint="eastAsia"/>
              </w:rPr>
            </w:pPr>
            <w:r>
              <w:rPr>
                <w:rFonts w:hint="eastAsia"/>
              </w:rPr>
              <w:t>项目生活污水经处理达标后通过厂区污水总排放口</w:t>
            </w:r>
            <w:r>
              <w:rPr>
                <w:rFonts w:hint="default"/>
              </w:rPr>
              <w:t>排入市政污水管网，送往</w:t>
            </w:r>
            <w:r>
              <w:rPr>
                <w:rFonts w:hint="eastAsia"/>
              </w:rPr>
              <w:t>福清市融元污水处理厂</w:t>
            </w:r>
            <w:r>
              <w:rPr>
                <w:rFonts w:hint="default"/>
              </w:rPr>
              <w:t>集中处理</w:t>
            </w:r>
            <w:r>
              <w:rPr>
                <w:rFonts w:hint="eastAsia"/>
              </w:rPr>
              <w:t>，属于间接排放，根据</w:t>
            </w:r>
            <w:r>
              <w:rPr>
                <w:rFonts w:hint="default"/>
              </w:rPr>
              <w:t>《建设项目环境影响报告表编制技术指南</w:t>
            </w:r>
            <w:r>
              <w:rPr>
                <w:rFonts w:hint="eastAsia"/>
                <w:lang w:eastAsia="zh-CN"/>
              </w:rPr>
              <w:t>（</w:t>
            </w:r>
            <w:r>
              <w:rPr>
                <w:rFonts w:hint="default"/>
              </w:rPr>
              <w:t>污染影响类</w:t>
            </w:r>
            <w:r>
              <w:rPr>
                <w:rFonts w:hint="eastAsia"/>
                <w:lang w:eastAsia="zh-CN"/>
              </w:rPr>
              <w:t>）（</w:t>
            </w:r>
            <w:r>
              <w:rPr>
                <w:rFonts w:hint="default"/>
              </w:rPr>
              <w:t>试行</w:t>
            </w:r>
            <w:r>
              <w:rPr>
                <w:rFonts w:hint="eastAsia"/>
                <w:lang w:eastAsia="zh-CN"/>
              </w:rPr>
              <w:t>）</w:t>
            </w:r>
            <w:r>
              <w:rPr>
                <w:rFonts w:hint="default"/>
              </w:rPr>
              <w:t>》</w:t>
            </w:r>
            <w:r>
              <w:rPr>
                <w:rFonts w:hint="eastAsia"/>
                <w:lang w:eastAsia="zh-CN"/>
              </w:rPr>
              <w:t>（</w:t>
            </w:r>
            <w:r>
              <w:rPr>
                <w:rFonts w:hint="default"/>
              </w:rPr>
              <w:t>环办环评〔2020〕33号</w:t>
            </w:r>
            <w:r>
              <w:rPr>
                <w:rFonts w:hint="eastAsia"/>
                <w:lang w:eastAsia="zh-CN"/>
              </w:rPr>
              <w:t>）</w:t>
            </w:r>
            <w:r>
              <w:rPr>
                <w:rFonts w:hint="default"/>
              </w:rPr>
              <w:t>要求</w:t>
            </w:r>
            <w:r>
              <w:rPr>
                <w:rFonts w:hint="eastAsia"/>
              </w:rPr>
              <w:t>，废水间接排放的建设项目应从处理能力、处理工艺、设计进出水水质等方面，分析依托集中污水处理厂的可行性。</w:t>
            </w:r>
          </w:p>
          <w:p w14:paraId="5A467A9A">
            <w:pPr>
              <w:keepNext w:val="0"/>
              <w:keepLines w:val="0"/>
              <w:suppressLineNumbers w:val="0"/>
              <w:bidi w:val="0"/>
              <w:spacing w:before="0" w:beforeAutospacing="0" w:after="0" w:afterAutospacing="0"/>
              <w:ind w:left="0" w:right="0"/>
              <w:rPr>
                <w:rFonts w:hint="default"/>
              </w:rPr>
            </w:pPr>
            <w:r>
              <w:rPr>
                <w:rFonts w:hint="eastAsia"/>
                <w:lang w:eastAsia="zh-CN"/>
              </w:rPr>
              <w:t>（</w:t>
            </w:r>
            <w:r>
              <w:rPr>
                <w:rFonts w:hint="eastAsia"/>
              </w:rPr>
              <w:t>1</w:t>
            </w:r>
            <w:r>
              <w:rPr>
                <w:rFonts w:hint="eastAsia"/>
                <w:lang w:eastAsia="zh-CN"/>
              </w:rPr>
              <w:t>）</w:t>
            </w:r>
            <w:r>
              <w:rPr>
                <w:rFonts w:hint="eastAsia"/>
              </w:rPr>
              <w:t>福清市融元污水处理厂基本情况</w:t>
            </w:r>
          </w:p>
          <w:p w14:paraId="61E87955">
            <w:pPr>
              <w:keepNext w:val="0"/>
              <w:keepLines w:val="0"/>
              <w:suppressLineNumbers w:val="0"/>
              <w:bidi w:val="0"/>
              <w:spacing w:before="0" w:beforeAutospacing="0" w:after="0" w:afterAutospacing="0"/>
              <w:ind w:left="0" w:right="0"/>
              <w:rPr>
                <w:rFonts w:hint="default"/>
              </w:rPr>
            </w:pPr>
            <w:r>
              <w:rPr>
                <w:rFonts w:hint="eastAsia"/>
              </w:rPr>
              <w:t>①设计进出水水质</w:t>
            </w:r>
          </w:p>
          <w:p w14:paraId="4B43447D">
            <w:pPr>
              <w:keepNext w:val="0"/>
              <w:keepLines w:val="0"/>
              <w:suppressLineNumbers w:val="0"/>
              <w:spacing w:before="0" w:beforeAutospacing="0" w:after="0" w:afterAutospacing="0" w:line="360" w:lineRule="auto"/>
              <w:ind w:left="0" w:right="0" w:firstLine="480" w:firstLineChars="200"/>
              <w:rPr>
                <w:rFonts w:hint="eastAsia"/>
                <w:color w:val="auto"/>
                <w:sz w:val="24"/>
                <w:szCs w:val="24"/>
              </w:rPr>
            </w:pPr>
            <w:r>
              <w:rPr>
                <w:rFonts w:hint="eastAsia"/>
                <w:color w:val="auto"/>
                <w:sz w:val="24"/>
                <w:szCs w:val="24"/>
              </w:rPr>
              <w:t>根据《福清市融元污水处理厂提标及改造工程环境影响报告书</w:t>
            </w:r>
            <w:r>
              <w:rPr>
                <w:rFonts w:hint="eastAsia"/>
                <w:color w:val="auto"/>
                <w:sz w:val="24"/>
                <w:szCs w:val="24"/>
                <w:lang w:eastAsia="zh-CN"/>
              </w:rPr>
              <w:t>（</w:t>
            </w:r>
            <w:r>
              <w:rPr>
                <w:rFonts w:hint="eastAsia"/>
                <w:color w:val="auto"/>
                <w:sz w:val="24"/>
                <w:szCs w:val="24"/>
              </w:rPr>
              <w:t>报批稿</w:t>
            </w:r>
            <w:r>
              <w:rPr>
                <w:rFonts w:hint="eastAsia"/>
                <w:color w:val="auto"/>
                <w:sz w:val="24"/>
                <w:szCs w:val="24"/>
                <w:lang w:eastAsia="zh-CN"/>
              </w:rPr>
              <w:t>）</w:t>
            </w:r>
            <w:r>
              <w:rPr>
                <w:rFonts w:hint="eastAsia"/>
                <w:color w:val="auto"/>
                <w:sz w:val="24"/>
                <w:szCs w:val="24"/>
              </w:rPr>
              <w:t>》可知，福清市融元污水处理厂进出水水质见表4.</w:t>
            </w:r>
            <w:r>
              <w:rPr>
                <w:rFonts w:hint="eastAsia"/>
                <w:color w:val="auto"/>
                <w:sz w:val="24"/>
                <w:szCs w:val="24"/>
                <w:lang w:val="en-US" w:eastAsia="zh-CN"/>
              </w:rPr>
              <w:t>1</w:t>
            </w:r>
            <w:r>
              <w:rPr>
                <w:rFonts w:hint="eastAsia"/>
                <w:color w:val="auto"/>
                <w:sz w:val="24"/>
                <w:szCs w:val="24"/>
              </w:rPr>
              <w:t>-</w:t>
            </w:r>
            <w:r>
              <w:rPr>
                <w:rFonts w:hint="eastAsia"/>
                <w:color w:val="auto"/>
                <w:sz w:val="24"/>
                <w:szCs w:val="24"/>
                <w:lang w:val="en-US" w:eastAsia="zh-CN"/>
              </w:rPr>
              <w:t>2</w:t>
            </w:r>
            <w:r>
              <w:rPr>
                <w:rFonts w:hint="eastAsia"/>
                <w:color w:val="auto"/>
                <w:sz w:val="24"/>
                <w:szCs w:val="24"/>
              </w:rPr>
              <w:t>。</w:t>
            </w:r>
          </w:p>
          <w:p w14:paraId="1A0E6D87">
            <w:pPr>
              <w:pStyle w:val="39"/>
              <w:keepNext w:val="0"/>
              <w:keepLines w:val="0"/>
              <w:suppressLineNumbers w:val="0"/>
              <w:bidi w:val="0"/>
              <w:spacing w:before="0" w:beforeAutospacing="0" w:after="0" w:afterAutospacing="0"/>
              <w:ind w:left="0" w:right="0"/>
              <w:rPr>
                <w:rFonts w:hint="eastAsia" w:eastAsia="宋体"/>
                <w:lang w:eastAsia="zh-CN"/>
              </w:rPr>
            </w:pPr>
            <w:r>
              <w:rPr>
                <w:rFonts w:hint="eastAsia"/>
              </w:rPr>
              <w:t>表4.</w:t>
            </w:r>
            <w:r>
              <w:rPr>
                <w:rFonts w:hint="eastAsia"/>
                <w:lang w:val="en-US" w:eastAsia="zh-CN"/>
              </w:rPr>
              <w:t>1</w:t>
            </w:r>
            <w:r>
              <w:rPr>
                <w:rFonts w:hint="eastAsia"/>
              </w:rPr>
              <w:t>-</w:t>
            </w:r>
            <w:r>
              <w:rPr>
                <w:rFonts w:hint="eastAsia"/>
                <w:lang w:val="en-US" w:eastAsia="zh-CN"/>
              </w:rPr>
              <w:t>2</w:t>
            </w:r>
            <w:r>
              <w:rPr>
                <w:rFonts w:hint="eastAsia"/>
              </w:rPr>
              <w:t xml:space="preserve">   </w:t>
            </w:r>
            <w:r>
              <w:rPr>
                <w:rFonts w:hint="eastAsia"/>
                <w:lang w:eastAsia="zh-CN"/>
              </w:rPr>
              <w:t>污水处理厂</w:t>
            </w:r>
            <w:r>
              <w:rPr>
                <w:rFonts w:hint="eastAsia"/>
              </w:rPr>
              <w:t>进出水水质标准</w:t>
            </w:r>
            <w:r>
              <w:rPr>
                <w:rFonts w:hint="eastAsia"/>
                <w:lang w:eastAsia="zh-CN"/>
              </w:rPr>
              <w:t>（</w:t>
            </w:r>
            <w:r>
              <w:rPr>
                <w:rFonts w:hint="eastAsia"/>
              </w:rPr>
              <w:t>mg/L  pH除外</w:t>
            </w:r>
            <w:r>
              <w:rPr>
                <w:rFonts w:hint="eastAsia"/>
                <w:lang w:eastAsia="zh-CN"/>
              </w:rPr>
              <w:t>）</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060"/>
              <w:gridCol w:w="1291"/>
              <w:gridCol w:w="1050"/>
              <w:gridCol w:w="950"/>
              <w:gridCol w:w="1013"/>
              <w:gridCol w:w="937"/>
              <w:gridCol w:w="937"/>
              <w:gridCol w:w="838"/>
            </w:tblGrid>
            <w:tr w14:paraId="112625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60" w:type="dxa"/>
                  <w:noWrap w:val="0"/>
                  <w:vAlign w:val="center"/>
                </w:tcPr>
                <w:p w14:paraId="2BF5D9A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水质指标</w:t>
                  </w:r>
                </w:p>
              </w:tc>
              <w:tc>
                <w:tcPr>
                  <w:tcW w:w="1291" w:type="dxa"/>
                  <w:noWrap w:val="0"/>
                  <w:vAlign w:val="center"/>
                </w:tcPr>
                <w:p w14:paraId="483C61C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pH</w:t>
                  </w:r>
                </w:p>
              </w:tc>
              <w:tc>
                <w:tcPr>
                  <w:tcW w:w="1050" w:type="dxa"/>
                  <w:noWrap w:val="0"/>
                  <w:vAlign w:val="center"/>
                </w:tcPr>
                <w:p w14:paraId="56FA3AC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COD</w:t>
                  </w:r>
                </w:p>
              </w:tc>
              <w:tc>
                <w:tcPr>
                  <w:tcW w:w="950" w:type="dxa"/>
                  <w:noWrap w:val="0"/>
                  <w:vAlign w:val="center"/>
                </w:tcPr>
                <w:p w14:paraId="0A52E68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BOD5</w:t>
                  </w:r>
                </w:p>
              </w:tc>
              <w:tc>
                <w:tcPr>
                  <w:tcW w:w="1013" w:type="dxa"/>
                  <w:noWrap w:val="0"/>
                  <w:vAlign w:val="center"/>
                </w:tcPr>
                <w:p w14:paraId="0331AA1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SS</w:t>
                  </w:r>
                </w:p>
              </w:tc>
              <w:tc>
                <w:tcPr>
                  <w:tcW w:w="937" w:type="dxa"/>
                  <w:noWrap w:val="0"/>
                  <w:vAlign w:val="center"/>
                </w:tcPr>
                <w:p w14:paraId="3A5602A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NH3-N</w:t>
                  </w:r>
                </w:p>
              </w:tc>
              <w:tc>
                <w:tcPr>
                  <w:tcW w:w="937" w:type="dxa"/>
                  <w:noWrap w:val="0"/>
                  <w:vAlign w:val="center"/>
                </w:tcPr>
                <w:p w14:paraId="27836C4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TN</w:t>
                  </w:r>
                </w:p>
              </w:tc>
              <w:tc>
                <w:tcPr>
                  <w:tcW w:w="838" w:type="dxa"/>
                  <w:noWrap w:val="0"/>
                  <w:vAlign w:val="center"/>
                </w:tcPr>
                <w:p w14:paraId="4BA721A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TP</w:t>
                  </w:r>
                </w:p>
              </w:tc>
            </w:tr>
            <w:tr w14:paraId="73087E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60" w:type="dxa"/>
                  <w:noWrap w:val="0"/>
                  <w:vAlign w:val="center"/>
                </w:tcPr>
                <w:p w14:paraId="38C5751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进水水质</w:t>
                  </w:r>
                </w:p>
              </w:tc>
              <w:tc>
                <w:tcPr>
                  <w:tcW w:w="1291" w:type="dxa"/>
                  <w:noWrap w:val="0"/>
                  <w:vAlign w:val="center"/>
                </w:tcPr>
                <w:p w14:paraId="3814F684">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rPr>
                    <w:t>6~9</w:t>
                  </w:r>
                  <w:r>
                    <w:rPr>
                      <w:rFonts w:hint="eastAsia"/>
                      <w:szCs w:val="22"/>
                      <w:lang w:eastAsia="zh-CN"/>
                    </w:rPr>
                    <w:t>（</w:t>
                  </w:r>
                  <w:r>
                    <w:rPr>
                      <w:rFonts w:hint="eastAsia"/>
                      <w:szCs w:val="22"/>
                    </w:rPr>
                    <w:t>无量纲</w:t>
                  </w:r>
                  <w:r>
                    <w:rPr>
                      <w:rFonts w:hint="eastAsia"/>
                      <w:szCs w:val="22"/>
                      <w:lang w:eastAsia="zh-CN"/>
                    </w:rPr>
                    <w:t>）</w:t>
                  </w:r>
                </w:p>
              </w:tc>
              <w:tc>
                <w:tcPr>
                  <w:tcW w:w="1050" w:type="dxa"/>
                  <w:noWrap w:val="0"/>
                  <w:vAlign w:val="center"/>
                </w:tcPr>
                <w:p w14:paraId="2D5CAA9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≤400</w:t>
                  </w:r>
                </w:p>
              </w:tc>
              <w:tc>
                <w:tcPr>
                  <w:tcW w:w="950" w:type="dxa"/>
                  <w:noWrap w:val="0"/>
                  <w:vAlign w:val="center"/>
                </w:tcPr>
                <w:p w14:paraId="1A67DE7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≤220</w:t>
                  </w:r>
                </w:p>
              </w:tc>
              <w:tc>
                <w:tcPr>
                  <w:tcW w:w="1013" w:type="dxa"/>
                  <w:noWrap w:val="0"/>
                  <w:vAlign w:val="center"/>
                </w:tcPr>
                <w:p w14:paraId="08B05F5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≤280</w:t>
                  </w:r>
                </w:p>
              </w:tc>
              <w:tc>
                <w:tcPr>
                  <w:tcW w:w="937" w:type="dxa"/>
                  <w:noWrap w:val="0"/>
                  <w:vAlign w:val="center"/>
                </w:tcPr>
                <w:p w14:paraId="2612E00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≤37</w:t>
                  </w:r>
                </w:p>
              </w:tc>
              <w:tc>
                <w:tcPr>
                  <w:tcW w:w="937" w:type="dxa"/>
                  <w:noWrap w:val="0"/>
                  <w:vAlign w:val="center"/>
                </w:tcPr>
                <w:p w14:paraId="511D47C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≤54</w:t>
                  </w:r>
                </w:p>
              </w:tc>
              <w:tc>
                <w:tcPr>
                  <w:tcW w:w="838" w:type="dxa"/>
                  <w:noWrap w:val="0"/>
                  <w:vAlign w:val="center"/>
                </w:tcPr>
                <w:p w14:paraId="4E13351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≤4</w:t>
                  </w:r>
                </w:p>
              </w:tc>
            </w:tr>
            <w:tr w14:paraId="461527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60" w:type="dxa"/>
                  <w:noWrap w:val="0"/>
                  <w:vAlign w:val="center"/>
                </w:tcPr>
                <w:p w14:paraId="6425F9A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出水标准</w:t>
                  </w:r>
                </w:p>
              </w:tc>
              <w:tc>
                <w:tcPr>
                  <w:tcW w:w="1291" w:type="dxa"/>
                  <w:noWrap w:val="0"/>
                  <w:vAlign w:val="center"/>
                </w:tcPr>
                <w:p w14:paraId="54625A94">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rPr>
                    <w:t>6~9</w:t>
                  </w:r>
                  <w:r>
                    <w:rPr>
                      <w:rFonts w:hint="eastAsia"/>
                      <w:szCs w:val="22"/>
                      <w:lang w:eastAsia="zh-CN"/>
                    </w:rPr>
                    <w:t>（</w:t>
                  </w:r>
                  <w:r>
                    <w:rPr>
                      <w:rFonts w:hint="eastAsia"/>
                      <w:szCs w:val="22"/>
                    </w:rPr>
                    <w:t>无量纲</w:t>
                  </w:r>
                  <w:r>
                    <w:rPr>
                      <w:rFonts w:hint="eastAsia"/>
                      <w:szCs w:val="22"/>
                      <w:lang w:eastAsia="zh-CN"/>
                    </w:rPr>
                    <w:t>）</w:t>
                  </w:r>
                </w:p>
              </w:tc>
              <w:tc>
                <w:tcPr>
                  <w:tcW w:w="1050" w:type="dxa"/>
                  <w:noWrap w:val="0"/>
                  <w:vAlign w:val="center"/>
                </w:tcPr>
                <w:p w14:paraId="2E75C7F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≤50</w:t>
                  </w:r>
                </w:p>
              </w:tc>
              <w:tc>
                <w:tcPr>
                  <w:tcW w:w="950" w:type="dxa"/>
                  <w:noWrap w:val="0"/>
                  <w:vAlign w:val="center"/>
                </w:tcPr>
                <w:p w14:paraId="6B2F4BC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≤10</w:t>
                  </w:r>
                </w:p>
              </w:tc>
              <w:tc>
                <w:tcPr>
                  <w:tcW w:w="1013" w:type="dxa"/>
                  <w:noWrap w:val="0"/>
                  <w:vAlign w:val="center"/>
                </w:tcPr>
                <w:p w14:paraId="04A0945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≤10</w:t>
                  </w:r>
                </w:p>
              </w:tc>
              <w:tc>
                <w:tcPr>
                  <w:tcW w:w="937" w:type="dxa"/>
                  <w:noWrap w:val="0"/>
                  <w:vAlign w:val="center"/>
                </w:tcPr>
                <w:p w14:paraId="31412DA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≤5</w:t>
                  </w:r>
                </w:p>
              </w:tc>
              <w:tc>
                <w:tcPr>
                  <w:tcW w:w="937" w:type="dxa"/>
                  <w:noWrap w:val="0"/>
                  <w:vAlign w:val="center"/>
                </w:tcPr>
                <w:p w14:paraId="2936E05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≤15</w:t>
                  </w:r>
                </w:p>
              </w:tc>
              <w:tc>
                <w:tcPr>
                  <w:tcW w:w="838" w:type="dxa"/>
                  <w:noWrap w:val="0"/>
                  <w:vAlign w:val="center"/>
                </w:tcPr>
                <w:p w14:paraId="04331E8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≤0.5</w:t>
                  </w:r>
                </w:p>
              </w:tc>
            </w:tr>
          </w:tbl>
          <w:p w14:paraId="05E8C843">
            <w:pPr>
              <w:keepNext w:val="0"/>
              <w:keepLines w:val="0"/>
              <w:suppressLineNumbers w:val="0"/>
              <w:bidi w:val="0"/>
              <w:spacing w:before="0" w:beforeAutospacing="0" w:after="0" w:afterAutospacing="0"/>
              <w:ind w:left="0" w:right="0"/>
              <w:rPr>
                <w:rFonts w:hint="default"/>
              </w:rPr>
            </w:pPr>
            <w:r>
              <w:rPr>
                <w:rFonts w:hint="default"/>
              </w:rPr>
              <w:t>②处理工艺</w:t>
            </w:r>
          </w:p>
          <w:p w14:paraId="7627988E">
            <w:pPr>
              <w:keepNext w:val="0"/>
              <w:keepLines w:val="0"/>
              <w:suppressLineNumbers w:val="0"/>
              <w:bidi w:val="0"/>
              <w:spacing w:before="0" w:beforeAutospacing="0" w:after="0" w:afterAutospacing="0"/>
              <w:ind w:left="0" w:right="0"/>
              <w:rPr>
                <w:rFonts w:hint="default"/>
              </w:rPr>
            </w:pPr>
            <w:r>
              <w:rPr>
                <w:rFonts w:hint="default"/>
              </w:rPr>
              <w:t>污水处理工艺流程详见图</w:t>
            </w:r>
            <w:r>
              <w:rPr>
                <w:rFonts w:hint="eastAsia"/>
              </w:rPr>
              <w:t>4</w:t>
            </w:r>
            <w:r>
              <w:rPr>
                <w:rFonts w:hint="eastAsia"/>
                <w:lang w:val="en-US" w:eastAsia="zh-CN"/>
              </w:rPr>
              <w:t>.1</w:t>
            </w:r>
            <w:r>
              <w:rPr>
                <w:rFonts w:hint="eastAsia"/>
              </w:rPr>
              <w:t>-1</w:t>
            </w:r>
            <w:r>
              <w:rPr>
                <w:rFonts w:hint="default"/>
              </w:rPr>
              <w:t>。</w:t>
            </w:r>
          </w:p>
          <w:p w14:paraId="740F3244">
            <w:pPr>
              <w:pStyle w:val="15"/>
              <w:keepNext w:val="0"/>
              <w:keepLines w:val="0"/>
              <w:suppressLineNumbers w:val="0"/>
              <w:bidi w:val="0"/>
              <w:spacing w:before="0" w:beforeAutospacing="0" w:after="0" w:afterAutospacing="0"/>
              <w:ind w:left="0" w:right="0"/>
              <w:rPr>
                <w:color w:val="auto"/>
              </w:rPr>
            </w:pPr>
            <w:r>
              <w:rPr>
                <w:rFonts w:hint="eastAsia" w:ascii="Times New Roman" w:hAnsi="Times New Roman" w:eastAsia="宋体" w:cs="Times New Roman"/>
                <w:b w:val="0"/>
                <w:bCs w:val="0"/>
                <w:strike w:val="0"/>
                <w:dstrike w:val="0"/>
                <w:color w:val="auto"/>
                <w:szCs w:val="24"/>
                <w:highlight w:val="none"/>
                <w:lang w:val="en-US" w:eastAsia="zh-CN"/>
              </w:rPr>
              <w:object>
                <v:shape id="_x0000_i1025" o:spt="75" type="#_x0000_t75" style="height:278.05pt;width:398.4pt;" o:ole="t" filled="f" o:preferrelative="t" stroked="f" coordsize="21600,21600">
                  <v:path/>
                  <v:fill on="f" focussize="0,0"/>
                  <v:stroke on="f"/>
                  <v:imagedata r:id="rId28" o:title=""/>
                  <o:lock v:ext="edit" aspectratio="t"/>
                  <w10:wrap type="none"/>
                  <w10:anchorlock/>
                </v:shape>
                <o:OLEObject Type="Embed" ProgID="Visio.Drawing.11" ShapeID="_x0000_i1025" DrawAspect="Content" ObjectID="_1468075725" r:id="rId27">
                  <o:LockedField>false</o:LockedField>
                </o:OLEObject>
              </w:object>
            </w:r>
          </w:p>
          <w:p w14:paraId="07248FA4">
            <w:pPr>
              <w:pStyle w:val="39"/>
              <w:keepNext w:val="0"/>
              <w:keepLines w:val="0"/>
              <w:suppressLineNumbers w:val="0"/>
              <w:bidi w:val="0"/>
              <w:spacing w:before="0" w:beforeAutospacing="0" w:after="0" w:afterAutospacing="0"/>
              <w:ind w:left="0" w:right="0"/>
              <w:rPr>
                <w:rFonts w:hint="eastAsia"/>
                <w:b/>
                <w:color w:val="auto"/>
                <w:szCs w:val="28"/>
              </w:rPr>
            </w:pPr>
            <w:r>
              <w:rPr>
                <w:rFonts w:hint="default"/>
                <w:lang w:val="en-US" w:eastAsia="zh-CN"/>
              </w:rPr>
              <w:t>图4.</w:t>
            </w:r>
            <w:r>
              <w:rPr>
                <w:rFonts w:hint="eastAsia"/>
                <w:lang w:val="en-US" w:eastAsia="zh-CN"/>
              </w:rPr>
              <w:t>1-1</w:t>
            </w:r>
            <w:r>
              <w:rPr>
                <w:rFonts w:hint="default"/>
                <w:lang w:val="en-US" w:eastAsia="zh-CN"/>
              </w:rPr>
              <w:t xml:space="preserve"> </w:t>
            </w:r>
            <w:r>
              <w:rPr>
                <w:rFonts w:hint="eastAsia"/>
                <w:lang w:val="en-US" w:eastAsia="zh-CN"/>
              </w:rPr>
              <w:t>福清融元污水处理厂处理</w:t>
            </w:r>
            <w:r>
              <w:rPr>
                <w:rFonts w:hint="default"/>
                <w:lang w:val="en-US" w:eastAsia="zh-CN"/>
              </w:rPr>
              <w:t>污水处理流程图</w:t>
            </w:r>
          </w:p>
          <w:p w14:paraId="3B6FB5C6">
            <w:pPr>
              <w:keepNext w:val="0"/>
              <w:keepLines w:val="0"/>
              <w:suppressLineNumbers w:val="0"/>
              <w:bidi w:val="0"/>
              <w:spacing w:before="0" w:beforeAutospacing="0" w:after="0" w:afterAutospacing="0"/>
              <w:ind w:left="0" w:right="0"/>
              <w:rPr>
                <w:rFonts w:hint="eastAsia"/>
              </w:rPr>
            </w:pPr>
            <w:r>
              <w:rPr>
                <w:rFonts w:hint="eastAsia"/>
                <w:lang w:eastAsia="zh-CN"/>
              </w:rPr>
              <w:t>（</w:t>
            </w:r>
            <w:r>
              <w:rPr>
                <w:rFonts w:hint="eastAsia"/>
              </w:rPr>
              <w:t>2</w:t>
            </w:r>
            <w:r>
              <w:rPr>
                <w:rFonts w:hint="eastAsia"/>
                <w:lang w:eastAsia="zh-CN"/>
              </w:rPr>
              <w:t>）</w:t>
            </w:r>
            <w:r>
              <w:rPr>
                <w:rFonts w:hint="eastAsia"/>
              </w:rPr>
              <w:t>依托可行性分析</w:t>
            </w:r>
          </w:p>
          <w:p w14:paraId="21E81187">
            <w:pPr>
              <w:keepNext w:val="0"/>
              <w:keepLines w:val="0"/>
              <w:suppressLineNumbers w:val="0"/>
              <w:bidi w:val="0"/>
              <w:spacing w:before="0" w:beforeAutospacing="0" w:after="0" w:afterAutospacing="0"/>
              <w:ind w:left="0" w:right="0"/>
              <w:rPr>
                <w:rFonts w:hint="eastAsia"/>
              </w:rPr>
            </w:pPr>
            <w:r>
              <w:rPr>
                <w:rFonts w:hint="eastAsia"/>
              </w:rPr>
              <w:t>①接管可行性</w:t>
            </w:r>
          </w:p>
          <w:p w14:paraId="6E19EAA7">
            <w:pPr>
              <w:keepNext w:val="0"/>
              <w:keepLines w:val="0"/>
              <w:suppressLineNumbers w:val="0"/>
              <w:bidi w:val="0"/>
              <w:spacing w:before="0" w:beforeAutospacing="0" w:after="0" w:afterAutospacing="0"/>
              <w:ind w:left="0" w:right="0"/>
              <w:rPr>
                <w:rFonts w:hint="default"/>
              </w:rPr>
            </w:pPr>
            <w:r>
              <w:rPr>
                <w:rFonts w:hint="eastAsia"/>
              </w:rPr>
              <w:t>福清市融元污水处理厂</w:t>
            </w:r>
            <w:r>
              <w:rPr>
                <w:rFonts w:hint="default"/>
              </w:rPr>
              <w:t>主要负责</w:t>
            </w:r>
            <w:r>
              <w:rPr>
                <w:rFonts w:hint="eastAsia"/>
              </w:rPr>
              <w:t>城关区和洪宽区</w:t>
            </w:r>
            <w:r>
              <w:rPr>
                <w:rFonts w:hint="eastAsia"/>
                <w:lang w:eastAsia="zh-CN"/>
              </w:rPr>
              <w:t>（</w:t>
            </w:r>
            <w:r>
              <w:rPr>
                <w:rFonts w:hint="eastAsia"/>
              </w:rPr>
              <w:t>增加京东方和东旭光电项目</w:t>
            </w:r>
            <w:r>
              <w:rPr>
                <w:rFonts w:hint="eastAsia"/>
                <w:lang w:eastAsia="zh-CN"/>
              </w:rPr>
              <w:t>）</w:t>
            </w:r>
            <w:r>
              <w:rPr>
                <w:rFonts w:hint="eastAsia"/>
              </w:rPr>
              <w:t>的生活污水和工业污水。</w:t>
            </w:r>
            <w:r>
              <w:rPr>
                <w:rFonts w:hint="default"/>
              </w:rPr>
              <w:t>本项目位于</w:t>
            </w:r>
            <w:r>
              <w:rPr>
                <w:rFonts w:hint="eastAsia"/>
                <w:lang w:val="en-US" w:eastAsia="zh-CN"/>
              </w:rPr>
              <w:t>福建省福州市福清融侨经济技术开发区内（</w:t>
            </w:r>
            <w:r>
              <w:rPr>
                <w:rFonts w:hint="eastAsia"/>
                <w:color w:val="auto"/>
                <w:lang w:eastAsia="zh-CN"/>
              </w:rPr>
              <w:t>福建省福州市福清市阳下街道玉岭村147号车间2三楼</w:t>
            </w:r>
            <w:r>
              <w:rPr>
                <w:rFonts w:hint="eastAsia"/>
                <w:lang w:val="en-US" w:eastAsia="zh-CN"/>
              </w:rPr>
              <w:t>）</w:t>
            </w:r>
            <w:r>
              <w:rPr>
                <w:rFonts w:hint="default"/>
              </w:rPr>
              <w:t>，属于</w:t>
            </w:r>
            <w:r>
              <w:rPr>
                <w:rFonts w:hint="eastAsia"/>
              </w:rPr>
              <w:t>福清市融元污水处理厂</w:t>
            </w:r>
            <w:r>
              <w:rPr>
                <w:rFonts w:hint="default"/>
              </w:rPr>
              <w:t>服务范围内，根据现场勘查，目前</w:t>
            </w:r>
            <w:r>
              <w:rPr>
                <w:rFonts w:hint="eastAsia"/>
                <w:lang w:val="en-US" w:eastAsia="zh-CN"/>
              </w:rPr>
              <w:t>项目所在地的</w:t>
            </w:r>
            <w:r>
              <w:rPr>
                <w:rFonts w:hint="default"/>
              </w:rPr>
              <w:t>市政污水管网已经铺设完成并已经投入正常运行，本项目出租方</w:t>
            </w:r>
            <w:r>
              <w:rPr>
                <w:rFonts w:hint="eastAsia"/>
                <w:lang w:eastAsia="zh-CN"/>
              </w:rPr>
              <w:t>福清洪添科技有限公司</w:t>
            </w:r>
            <w:r>
              <w:rPr>
                <w:rFonts w:hint="default"/>
              </w:rPr>
              <w:t>厂区污水总排口已经接入市政污水管网。</w:t>
            </w:r>
          </w:p>
          <w:p w14:paraId="5C82AFC5">
            <w:pPr>
              <w:keepNext w:val="0"/>
              <w:keepLines w:val="0"/>
              <w:suppressLineNumbers w:val="0"/>
              <w:bidi w:val="0"/>
              <w:spacing w:before="0" w:beforeAutospacing="0" w:after="0" w:afterAutospacing="0"/>
              <w:ind w:left="0" w:right="0"/>
              <w:rPr>
                <w:rFonts w:hint="default"/>
              </w:rPr>
            </w:pPr>
            <w:r>
              <w:rPr>
                <w:rFonts w:hint="default"/>
              </w:rPr>
              <w:t>②</w:t>
            </w:r>
            <w:r>
              <w:rPr>
                <w:rFonts w:hint="eastAsia"/>
              </w:rPr>
              <w:t>水质负荷</w:t>
            </w:r>
          </w:p>
          <w:p w14:paraId="58BB0450">
            <w:pPr>
              <w:keepNext w:val="0"/>
              <w:keepLines w:val="0"/>
              <w:suppressLineNumbers w:val="0"/>
              <w:bidi w:val="0"/>
              <w:spacing w:before="0" w:beforeAutospacing="0" w:after="0" w:afterAutospacing="0"/>
              <w:ind w:left="0" w:right="0"/>
              <w:rPr>
                <w:rFonts w:hint="default"/>
              </w:rPr>
            </w:pPr>
            <w:r>
              <w:rPr>
                <w:rFonts w:hint="eastAsia"/>
              </w:rPr>
              <w:t>项目生活污水经化粪池预处理达标后通过厂区污水总排放口</w:t>
            </w:r>
            <w:r>
              <w:rPr>
                <w:rFonts w:hint="default"/>
              </w:rPr>
              <w:t>排入市政污水管网，送往</w:t>
            </w:r>
            <w:r>
              <w:rPr>
                <w:rFonts w:hint="eastAsia"/>
              </w:rPr>
              <w:t>福清市融元污水处理厂</w:t>
            </w:r>
            <w:r>
              <w:rPr>
                <w:rFonts w:hint="default"/>
              </w:rPr>
              <w:t>集中处理</w:t>
            </w:r>
            <w:r>
              <w:rPr>
                <w:rFonts w:hint="eastAsia"/>
              </w:rPr>
              <w:t>，</w:t>
            </w:r>
            <w:r>
              <w:rPr>
                <w:rFonts w:hint="default"/>
              </w:rPr>
              <w:t>根据工程分析</w:t>
            </w:r>
            <w:r>
              <w:rPr>
                <w:rFonts w:hint="eastAsia"/>
              </w:rPr>
              <w:t>预测可知，</w:t>
            </w:r>
            <w:r>
              <w:rPr>
                <w:rFonts w:hint="default"/>
              </w:rPr>
              <w:t>项目</w:t>
            </w:r>
            <w:r>
              <w:rPr>
                <w:rFonts w:hint="eastAsia"/>
              </w:rPr>
              <w:t>综合废水</w:t>
            </w:r>
            <w:r>
              <w:rPr>
                <w:rFonts w:hint="default"/>
              </w:rPr>
              <w:t>排入市政污水管网内污染物排放浓度情况表</w:t>
            </w:r>
            <w:r>
              <w:rPr>
                <w:rFonts w:hint="eastAsia"/>
              </w:rPr>
              <w:t>4.</w:t>
            </w:r>
            <w:r>
              <w:rPr>
                <w:rFonts w:hint="eastAsia"/>
                <w:lang w:val="en-US" w:eastAsia="zh-CN"/>
              </w:rPr>
              <w:t>1</w:t>
            </w:r>
            <w:r>
              <w:rPr>
                <w:rFonts w:hint="eastAsia"/>
              </w:rPr>
              <w:t>-</w:t>
            </w:r>
            <w:r>
              <w:rPr>
                <w:rFonts w:hint="eastAsia"/>
                <w:lang w:val="en-US" w:eastAsia="zh-CN"/>
              </w:rPr>
              <w:t>3</w:t>
            </w:r>
            <w:r>
              <w:rPr>
                <w:rFonts w:hint="default"/>
              </w:rPr>
              <w:t>。</w:t>
            </w:r>
          </w:p>
          <w:p w14:paraId="057E477B">
            <w:pPr>
              <w:pStyle w:val="39"/>
              <w:keepNext w:val="0"/>
              <w:keepLines w:val="0"/>
              <w:suppressLineNumbers w:val="0"/>
              <w:bidi w:val="0"/>
              <w:spacing w:before="0" w:beforeAutospacing="0" w:after="0" w:afterAutospacing="0"/>
              <w:ind w:left="0" w:right="0"/>
              <w:rPr>
                <w:rFonts w:hint="default"/>
              </w:rPr>
            </w:pPr>
            <w:r>
              <w:rPr>
                <w:rFonts w:hint="default"/>
              </w:rPr>
              <w:t>表4.</w:t>
            </w:r>
            <w:r>
              <w:rPr>
                <w:rFonts w:hint="default"/>
                <w:lang w:val="en-US" w:eastAsia="zh-CN"/>
              </w:rPr>
              <w:t>1</w:t>
            </w:r>
            <w:r>
              <w:rPr>
                <w:rFonts w:hint="default"/>
              </w:rPr>
              <w:t>-</w:t>
            </w:r>
            <w:r>
              <w:rPr>
                <w:rFonts w:hint="default"/>
                <w:lang w:val="en-US" w:eastAsia="zh-CN"/>
              </w:rPr>
              <w:t>3</w:t>
            </w:r>
            <w:r>
              <w:rPr>
                <w:rFonts w:hint="default"/>
              </w:rPr>
              <w:t xml:space="preserve">   本项目厂区污水总排放口综合废水排放情况一览表</w:t>
            </w:r>
          </w:p>
          <w:tbl>
            <w:tblPr>
              <w:tblStyle w:val="29"/>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58"/>
              <w:gridCol w:w="1660"/>
              <w:gridCol w:w="1660"/>
              <w:gridCol w:w="1660"/>
              <w:gridCol w:w="1659"/>
            </w:tblGrid>
            <w:tr w14:paraId="615BEA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1658" w:type="dxa"/>
                  <w:noWrap w:val="0"/>
                  <w:vAlign w:val="center"/>
                </w:tcPr>
                <w:p w14:paraId="1EE4DFC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污染物种类</w:t>
                  </w:r>
                </w:p>
              </w:tc>
              <w:tc>
                <w:tcPr>
                  <w:tcW w:w="1660" w:type="dxa"/>
                  <w:noWrap w:val="0"/>
                  <w:vAlign w:val="center"/>
                </w:tcPr>
                <w:p w14:paraId="4CC82A5D">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rPr>
                    <w:t>排放浓度</w:t>
                  </w:r>
                  <w:r>
                    <w:rPr>
                      <w:rFonts w:hint="eastAsia"/>
                      <w:szCs w:val="22"/>
                      <w:lang w:eastAsia="zh-CN"/>
                    </w:rPr>
                    <w:t>（</w:t>
                  </w:r>
                  <w:r>
                    <w:rPr>
                      <w:rFonts w:hint="eastAsia"/>
                      <w:szCs w:val="22"/>
                    </w:rPr>
                    <w:t>mg/L</w:t>
                  </w:r>
                  <w:r>
                    <w:rPr>
                      <w:rFonts w:hint="eastAsia"/>
                      <w:szCs w:val="22"/>
                      <w:lang w:eastAsia="zh-CN"/>
                    </w:rPr>
                    <w:t>）</w:t>
                  </w:r>
                </w:p>
              </w:tc>
              <w:tc>
                <w:tcPr>
                  <w:tcW w:w="1660" w:type="dxa"/>
                  <w:noWrap w:val="0"/>
                  <w:vAlign w:val="center"/>
                </w:tcPr>
                <w:p w14:paraId="618599F9">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rPr>
                    <w:t>允许排放标准</w:t>
                  </w:r>
                  <w:r>
                    <w:rPr>
                      <w:rFonts w:hint="eastAsia"/>
                      <w:szCs w:val="22"/>
                      <w:lang w:eastAsia="zh-CN"/>
                    </w:rPr>
                    <w:t>（</w:t>
                  </w:r>
                  <w:r>
                    <w:rPr>
                      <w:rFonts w:hint="eastAsia"/>
                      <w:szCs w:val="22"/>
                    </w:rPr>
                    <w:t>mg/L</w:t>
                  </w:r>
                  <w:r>
                    <w:rPr>
                      <w:rFonts w:hint="eastAsia"/>
                      <w:szCs w:val="22"/>
                      <w:lang w:eastAsia="zh-CN"/>
                    </w:rPr>
                    <w:t>）</w:t>
                  </w:r>
                </w:p>
              </w:tc>
              <w:tc>
                <w:tcPr>
                  <w:tcW w:w="1660" w:type="dxa"/>
                  <w:noWrap w:val="0"/>
                  <w:vAlign w:val="center"/>
                </w:tcPr>
                <w:p w14:paraId="4A8C8434">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lang w:eastAsia="zh-CN"/>
                    </w:rPr>
                    <w:t>污水处理厂</w:t>
                  </w:r>
                  <w:r>
                    <w:rPr>
                      <w:rFonts w:hint="eastAsia"/>
                      <w:szCs w:val="22"/>
                    </w:rPr>
                    <w:t>进水水质</w:t>
                  </w:r>
                  <w:r>
                    <w:rPr>
                      <w:rFonts w:hint="eastAsia"/>
                      <w:szCs w:val="22"/>
                      <w:lang w:eastAsia="zh-CN"/>
                    </w:rPr>
                    <w:t>（</w:t>
                  </w:r>
                  <w:r>
                    <w:rPr>
                      <w:rFonts w:hint="eastAsia"/>
                      <w:szCs w:val="22"/>
                    </w:rPr>
                    <w:t>mg/L</w:t>
                  </w:r>
                  <w:r>
                    <w:rPr>
                      <w:rFonts w:hint="eastAsia"/>
                      <w:szCs w:val="22"/>
                      <w:lang w:eastAsia="zh-CN"/>
                    </w:rPr>
                    <w:t>）</w:t>
                  </w:r>
                </w:p>
              </w:tc>
              <w:tc>
                <w:tcPr>
                  <w:tcW w:w="1659" w:type="dxa"/>
                  <w:noWrap w:val="0"/>
                  <w:vAlign w:val="center"/>
                </w:tcPr>
                <w:p w14:paraId="3D4BB72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达标情况</w:t>
                  </w:r>
                </w:p>
              </w:tc>
            </w:tr>
            <w:tr w14:paraId="1E8088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58" w:type="dxa"/>
                  <w:noWrap w:val="0"/>
                  <w:vAlign w:val="center"/>
                </w:tcPr>
                <w:p w14:paraId="011855D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pH</w:t>
                  </w:r>
                </w:p>
              </w:tc>
              <w:tc>
                <w:tcPr>
                  <w:tcW w:w="1660" w:type="dxa"/>
                  <w:noWrap w:val="0"/>
                  <w:vAlign w:val="center"/>
                </w:tcPr>
                <w:p w14:paraId="5527BCB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6-9</w:t>
                  </w:r>
                  <w:r>
                    <w:rPr>
                      <w:rFonts w:hint="eastAsia"/>
                      <w:szCs w:val="22"/>
                      <w:lang w:eastAsia="zh-CN"/>
                    </w:rPr>
                    <w:t>（</w:t>
                  </w:r>
                  <w:r>
                    <w:rPr>
                      <w:rFonts w:hint="eastAsia"/>
                      <w:szCs w:val="22"/>
                    </w:rPr>
                    <w:t>无量纲</w:t>
                  </w:r>
                  <w:r>
                    <w:rPr>
                      <w:rFonts w:hint="eastAsia"/>
                      <w:szCs w:val="22"/>
                      <w:lang w:eastAsia="zh-CN"/>
                    </w:rPr>
                    <w:t>）</w:t>
                  </w:r>
                </w:p>
              </w:tc>
              <w:tc>
                <w:tcPr>
                  <w:tcW w:w="1660" w:type="dxa"/>
                  <w:noWrap w:val="0"/>
                  <w:vAlign w:val="center"/>
                </w:tcPr>
                <w:p w14:paraId="61A465CE">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rPr>
                    <w:t>6-9</w:t>
                  </w:r>
                  <w:r>
                    <w:rPr>
                      <w:rFonts w:hint="eastAsia"/>
                      <w:szCs w:val="22"/>
                      <w:lang w:eastAsia="zh-CN"/>
                    </w:rPr>
                    <w:t>（</w:t>
                  </w:r>
                  <w:r>
                    <w:rPr>
                      <w:rFonts w:hint="eastAsia"/>
                      <w:szCs w:val="22"/>
                    </w:rPr>
                    <w:t>无量纲</w:t>
                  </w:r>
                  <w:r>
                    <w:rPr>
                      <w:rFonts w:hint="eastAsia"/>
                      <w:szCs w:val="22"/>
                      <w:lang w:eastAsia="zh-CN"/>
                    </w:rPr>
                    <w:t>）</w:t>
                  </w:r>
                </w:p>
              </w:tc>
              <w:tc>
                <w:tcPr>
                  <w:tcW w:w="1660" w:type="dxa"/>
                  <w:noWrap w:val="0"/>
                  <w:vAlign w:val="center"/>
                </w:tcPr>
                <w:p w14:paraId="5E53D95D">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rPr>
                    <w:t>6-9</w:t>
                  </w:r>
                  <w:r>
                    <w:rPr>
                      <w:rFonts w:hint="eastAsia"/>
                      <w:szCs w:val="22"/>
                      <w:lang w:eastAsia="zh-CN"/>
                    </w:rPr>
                    <w:t>（</w:t>
                  </w:r>
                  <w:r>
                    <w:rPr>
                      <w:rFonts w:hint="eastAsia"/>
                      <w:szCs w:val="22"/>
                    </w:rPr>
                    <w:t>无量纲</w:t>
                  </w:r>
                  <w:r>
                    <w:rPr>
                      <w:rFonts w:hint="eastAsia"/>
                      <w:szCs w:val="22"/>
                      <w:lang w:eastAsia="zh-CN"/>
                    </w:rPr>
                    <w:t>）</w:t>
                  </w:r>
                </w:p>
              </w:tc>
              <w:tc>
                <w:tcPr>
                  <w:tcW w:w="1659" w:type="dxa"/>
                  <w:noWrap w:val="0"/>
                  <w:vAlign w:val="center"/>
                </w:tcPr>
                <w:p w14:paraId="0827CF7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达标</w:t>
                  </w:r>
                </w:p>
              </w:tc>
            </w:tr>
            <w:tr w14:paraId="24EE7F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58" w:type="dxa"/>
                  <w:noWrap w:val="0"/>
                  <w:vAlign w:val="center"/>
                </w:tcPr>
                <w:p w14:paraId="2293F4D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COD</w:t>
                  </w:r>
                </w:p>
              </w:tc>
              <w:tc>
                <w:tcPr>
                  <w:tcW w:w="1660" w:type="dxa"/>
                  <w:noWrap w:val="0"/>
                  <w:vAlign w:val="center"/>
                </w:tcPr>
                <w:p w14:paraId="50EB974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318.8</w:t>
                  </w:r>
                </w:p>
              </w:tc>
              <w:tc>
                <w:tcPr>
                  <w:tcW w:w="1660" w:type="dxa"/>
                  <w:noWrap w:val="0"/>
                  <w:vAlign w:val="center"/>
                </w:tcPr>
                <w:p w14:paraId="4CE0865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500</w:t>
                  </w:r>
                </w:p>
              </w:tc>
              <w:tc>
                <w:tcPr>
                  <w:tcW w:w="1660" w:type="dxa"/>
                  <w:noWrap w:val="0"/>
                  <w:vAlign w:val="center"/>
                </w:tcPr>
                <w:p w14:paraId="4E30796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400</w:t>
                  </w:r>
                </w:p>
              </w:tc>
              <w:tc>
                <w:tcPr>
                  <w:tcW w:w="1659" w:type="dxa"/>
                  <w:noWrap w:val="0"/>
                  <w:vAlign w:val="center"/>
                </w:tcPr>
                <w:p w14:paraId="7A218A0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达标</w:t>
                  </w:r>
                </w:p>
              </w:tc>
            </w:tr>
            <w:tr w14:paraId="3D129C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58" w:type="dxa"/>
                  <w:noWrap w:val="0"/>
                  <w:vAlign w:val="center"/>
                </w:tcPr>
                <w:p w14:paraId="3D9B7C0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BOD</w:t>
                  </w:r>
                  <w:r>
                    <w:rPr>
                      <w:rFonts w:hint="eastAsia"/>
                      <w:szCs w:val="22"/>
                      <w:vertAlign w:val="subscript"/>
                    </w:rPr>
                    <w:t>5</w:t>
                  </w:r>
                </w:p>
              </w:tc>
              <w:tc>
                <w:tcPr>
                  <w:tcW w:w="1660" w:type="dxa"/>
                  <w:noWrap w:val="0"/>
                  <w:vAlign w:val="center"/>
                </w:tcPr>
                <w:p w14:paraId="0DD46A25">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173.4</w:t>
                  </w:r>
                </w:p>
              </w:tc>
              <w:tc>
                <w:tcPr>
                  <w:tcW w:w="1660" w:type="dxa"/>
                  <w:noWrap w:val="0"/>
                  <w:vAlign w:val="center"/>
                </w:tcPr>
                <w:p w14:paraId="43F8456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300</w:t>
                  </w:r>
                </w:p>
              </w:tc>
              <w:tc>
                <w:tcPr>
                  <w:tcW w:w="1660" w:type="dxa"/>
                  <w:noWrap w:val="0"/>
                  <w:vAlign w:val="center"/>
                </w:tcPr>
                <w:p w14:paraId="6B8A6D9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220</w:t>
                  </w:r>
                </w:p>
              </w:tc>
              <w:tc>
                <w:tcPr>
                  <w:tcW w:w="1659" w:type="dxa"/>
                  <w:noWrap w:val="0"/>
                  <w:vAlign w:val="center"/>
                </w:tcPr>
                <w:p w14:paraId="3D2ED9B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达标</w:t>
                  </w:r>
                </w:p>
              </w:tc>
            </w:tr>
            <w:tr w14:paraId="33C5BD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58" w:type="dxa"/>
                  <w:noWrap w:val="0"/>
                  <w:vAlign w:val="center"/>
                </w:tcPr>
                <w:p w14:paraId="09E9651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SS</w:t>
                  </w:r>
                </w:p>
              </w:tc>
              <w:tc>
                <w:tcPr>
                  <w:tcW w:w="1660" w:type="dxa"/>
                  <w:noWrap w:val="0"/>
                  <w:vAlign w:val="center"/>
                </w:tcPr>
                <w:p w14:paraId="26686320">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106</w:t>
                  </w:r>
                </w:p>
              </w:tc>
              <w:tc>
                <w:tcPr>
                  <w:tcW w:w="1660" w:type="dxa"/>
                  <w:noWrap w:val="0"/>
                  <w:vAlign w:val="center"/>
                </w:tcPr>
                <w:p w14:paraId="4E94317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400</w:t>
                  </w:r>
                </w:p>
              </w:tc>
              <w:tc>
                <w:tcPr>
                  <w:tcW w:w="1660" w:type="dxa"/>
                  <w:noWrap w:val="0"/>
                  <w:vAlign w:val="center"/>
                </w:tcPr>
                <w:p w14:paraId="5372878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280</w:t>
                  </w:r>
                </w:p>
              </w:tc>
              <w:tc>
                <w:tcPr>
                  <w:tcW w:w="1659" w:type="dxa"/>
                  <w:noWrap w:val="0"/>
                  <w:vAlign w:val="center"/>
                </w:tcPr>
                <w:p w14:paraId="4BCDF22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达标</w:t>
                  </w:r>
                </w:p>
              </w:tc>
            </w:tr>
            <w:tr w14:paraId="764551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1658" w:type="dxa"/>
                  <w:noWrap w:val="0"/>
                  <w:vAlign w:val="center"/>
                </w:tcPr>
                <w:p w14:paraId="2F8D943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NH</w:t>
                  </w:r>
                  <w:r>
                    <w:rPr>
                      <w:rFonts w:hint="eastAsia"/>
                      <w:szCs w:val="22"/>
                      <w:vertAlign w:val="subscript"/>
                    </w:rPr>
                    <w:t>3</w:t>
                  </w:r>
                  <w:r>
                    <w:rPr>
                      <w:rFonts w:hint="eastAsia"/>
                      <w:szCs w:val="22"/>
                    </w:rPr>
                    <w:t>-N</w:t>
                  </w:r>
                </w:p>
              </w:tc>
              <w:tc>
                <w:tcPr>
                  <w:tcW w:w="1660" w:type="dxa"/>
                  <w:noWrap w:val="0"/>
                  <w:vAlign w:val="center"/>
                </w:tcPr>
                <w:p w14:paraId="78CE7D5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33.9</w:t>
                  </w:r>
                </w:p>
              </w:tc>
              <w:tc>
                <w:tcPr>
                  <w:tcW w:w="1660" w:type="dxa"/>
                  <w:noWrap w:val="0"/>
                  <w:vAlign w:val="center"/>
                </w:tcPr>
                <w:p w14:paraId="5A79CDC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45</w:t>
                  </w:r>
                </w:p>
              </w:tc>
              <w:tc>
                <w:tcPr>
                  <w:tcW w:w="1660" w:type="dxa"/>
                  <w:noWrap w:val="0"/>
                  <w:vAlign w:val="center"/>
                </w:tcPr>
                <w:p w14:paraId="3F2A017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37</w:t>
                  </w:r>
                </w:p>
              </w:tc>
              <w:tc>
                <w:tcPr>
                  <w:tcW w:w="1659" w:type="dxa"/>
                  <w:noWrap w:val="0"/>
                  <w:vAlign w:val="center"/>
                </w:tcPr>
                <w:p w14:paraId="7F2EB2C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达标</w:t>
                  </w:r>
                </w:p>
              </w:tc>
            </w:tr>
          </w:tbl>
          <w:p w14:paraId="170ECF5A">
            <w:pPr>
              <w:keepNext w:val="0"/>
              <w:keepLines w:val="0"/>
              <w:suppressLineNumbers w:val="0"/>
              <w:bidi w:val="0"/>
              <w:spacing w:before="0" w:beforeAutospacing="0" w:after="0" w:afterAutospacing="0"/>
              <w:ind w:left="0" w:right="0"/>
              <w:rPr>
                <w:rFonts w:hint="default"/>
              </w:rPr>
            </w:pPr>
            <w:r>
              <w:rPr>
                <w:rFonts w:hint="default"/>
              </w:rPr>
              <w:t>根据上表所列数据，本项目</w:t>
            </w:r>
            <w:r>
              <w:rPr>
                <w:rFonts w:hint="eastAsia"/>
                <w:lang w:val="en-US" w:eastAsia="zh-CN"/>
              </w:rPr>
              <w:t>生活污水</w:t>
            </w:r>
            <w:r>
              <w:rPr>
                <w:rFonts w:hint="default"/>
              </w:rPr>
              <w:t>主要污染物排放浓度均能满足《污水综合排放标准》</w:t>
            </w:r>
            <w:r>
              <w:rPr>
                <w:rFonts w:hint="eastAsia"/>
                <w:lang w:eastAsia="zh-CN"/>
              </w:rPr>
              <w:t>（</w:t>
            </w:r>
            <w:r>
              <w:rPr>
                <w:rFonts w:hint="default"/>
              </w:rPr>
              <w:t>GB8978-1996</w:t>
            </w:r>
            <w:r>
              <w:rPr>
                <w:rFonts w:hint="eastAsia"/>
                <w:lang w:eastAsia="zh-CN"/>
              </w:rPr>
              <w:t>）</w:t>
            </w:r>
            <w:r>
              <w:rPr>
                <w:rFonts w:hint="default"/>
              </w:rPr>
              <w:t>表4三级标准及《污水排入城镇下水道水质标准》</w:t>
            </w:r>
            <w:r>
              <w:rPr>
                <w:rFonts w:hint="eastAsia"/>
                <w:lang w:eastAsia="zh-CN"/>
              </w:rPr>
              <w:t>（</w:t>
            </w:r>
            <w:r>
              <w:rPr>
                <w:rFonts w:hint="default"/>
              </w:rPr>
              <w:t>GB/T 31962-2015</w:t>
            </w:r>
            <w:r>
              <w:rPr>
                <w:rFonts w:hint="eastAsia"/>
                <w:lang w:eastAsia="zh-CN"/>
              </w:rPr>
              <w:t>）</w:t>
            </w:r>
            <w:r>
              <w:rPr>
                <w:rFonts w:hint="default"/>
              </w:rPr>
              <w:t>表1中B级标准限值</w:t>
            </w:r>
            <w:r>
              <w:rPr>
                <w:rFonts w:hint="eastAsia"/>
              </w:rPr>
              <w:t>，也可以符合</w:t>
            </w:r>
            <w:r>
              <w:rPr>
                <w:rFonts w:hint="eastAsia"/>
                <w:lang w:eastAsia="zh-CN"/>
              </w:rPr>
              <w:t>污水处理厂</w:t>
            </w:r>
            <w:r>
              <w:rPr>
                <w:rFonts w:hint="eastAsia"/>
              </w:rPr>
              <w:t>进水水质要求</w:t>
            </w:r>
            <w:r>
              <w:rPr>
                <w:rFonts w:hint="default"/>
              </w:rPr>
              <w:t>。</w:t>
            </w:r>
          </w:p>
          <w:p w14:paraId="109D6427">
            <w:pPr>
              <w:keepNext w:val="0"/>
              <w:keepLines w:val="0"/>
              <w:suppressLineNumbers w:val="0"/>
              <w:bidi w:val="0"/>
              <w:spacing w:before="0" w:beforeAutospacing="0" w:after="0" w:afterAutospacing="0"/>
              <w:ind w:left="0" w:right="0"/>
              <w:rPr>
                <w:rFonts w:hint="default"/>
              </w:rPr>
            </w:pPr>
            <w:r>
              <w:rPr>
                <w:rFonts w:hint="default"/>
              </w:rPr>
              <w:t>项目</w:t>
            </w:r>
            <w:r>
              <w:rPr>
                <w:rFonts w:hint="eastAsia"/>
              </w:rPr>
              <w:t>生活污水</w:t>
            </w:r>
            <w:r>
              <w:rPr>
                <w:rFonts w:hint="default"/>
              </w:rPr>
              <w:t>不涉及有毒有害污染物，不涉及持久性、重金属，也不含有腐蚀成分，因此，从水质方面分析，</w:t>
            </w:r>
            <w:r>
              <w:rPr>
                <w:rFonts w:hint="eastAsia"/>
              </w:rPr>
              <w:t>福清市融元污水处理厂</w:t>
            </w:r>
            <w:r>
              <w:rPr>
                <w:rFonts w:hint="default"/>
              </w:rPr>
              <w:t>可接纳项目</w:t>
            </w:r>
            <w:r>
              <w:rPr>
                <w:rFonts w:hint="eastAsia"/>
                <w:lang w:val="en-US" w:eastAsia="zh-CN"/>
              </w:rPr>
              <w:t>生活污水</w:t>
            </w:r>
            <w:r>
              <w:rPr>
                <w:rFonts w:hint="default"/>
              </w:rPr>
              <w:t>，不会对</w:t>
            </w:r>
            <w:r>
              <w:rPr>
                <w:rFonts w:hint="eastAsia"/>
                <w:lang w:eastAsia="zh-CN"/>
              </w:rPr>
              <w:t>污水处理厂</w:t>
            </w:r>
            <w:r>
              <w:rPr>
                <w:rFonts w:hint="default"/>
              </w:rPr>
              <w:t>水质负荷造成冲击。</w:t>
            </w:r>
          </w:p>
          <w:p w14:paraId="65A7F718">
            <w:pPr>
              <w:keepNext w:val="0"/>
              <w:keepLines w:val="0"/>
              <w:suppressLineNumbers w:val="0"/>
              <w:bidi w:val="0"/>
              <w:spacing w:before="0" w:beforeAutospacing="0" w:after="0" w:afterAutospacing="0"/>
              <w:ind w:left="0" w:right="0"/>
              <w:rPr>
                <w:rFonts w:hint="eastAsia"/>
              </w:rPr>
            </w:pPr>
            <w:r>
              <w:rPr>
                <w:rFonts w:hint="default"/>
              </w:rPr>
              <w:t>③</w:t>
            </w:r>
            <w:r>
              <w:rPr>
                <w:rFonts w:hint="eastAsia"/>
              </w:rPr>
              <w:t>水量负荷</w:t>
            </w:r>
          </w:p>
          <w:p w14:paraId="3FAAF40D">
            <w:pPr>
              <w:keepNext w:val="0"/>
              <w:keepLines w:val="0"/>
              <w:suppressLineNumbers w:val="0"/>
              <w:bidi w:val="0"/>
              <w:spacing w:before="0" w:beforeAutospacing="0" w:after="0" w:afterAutospacing="0"/>
              <w:ind w:left="0" w:right="0"/>
              <w:rPr>
                <w:rFonts w:hint="default"/>
              </w:rPr>
            </w:pPr>
            <w:r>
              <w:rPr>
                <w:rFonts w:hint="eastAsia"/>
              </w:rPr>
              <w:t>福清市融元污水处理厂现状</w:t>
            </w:r>
            <w:r>
              <w:rPr>
                <w:rFonts w:hint="default"/>
              </w:rPr>
              <w:t>设计总处理规模为</w:t>
            </w:r>
            <w:r>
              <w:rPr>
                <w:rFonts w:hint="eastAsia"/>
              </w:rPr>
              <w:t>12</w:t>
            </w:r>
            <w:r>
              <w:rPr>
                <w:rFonts w:hint="default"/>
              </w:rPr>
              <w:t>万t/d，根据调查，目前福清市融元污水处理厂日平均处理规模约为11.85万m</w:t>
            </w:r>
            <w:r>
              <w:rPr>
                <w:rFonts w:hint="default"/>
                <w:vertAlign w:val="superscript"/>
              </w:rPr>
              <w:t>3</w:t>
            </w:r>
            <w:r>
              <w:rPr>
                <w:rFonts w:hint="default"/>
              </w:rPr>
              <w:t>/d</w:t>
            </w:r>
            <w:r>
              <w:rPr>
                <w:rFonts w:hint="eastAsia"/>
                <w:lang w:eastAsia="zh-CN"/>
              </w:rPr>
              <w:t>，</w:t>
            </w:r>
            <w:r>
              <w:rPr>
                <w:rFonts w:hint="eastAsia"/>
              </w:rPr>
              <w:t>剩余处理能力</w:t>
            </w:r>
            <w:r>
              <w:rPr>
                <w:rFonts w:hint="default"/>
              </w:rPr>
              <w:t>1500m³/d。</w:t>
            </w:r>
            <w:r>
              <w:rPr>
                <w:rFonts w:hint="eastAsia"/>
              </w:rPr>
              <w:t>本</w:t>
            </w:r>
            <w:r>
              <w:rPr>
                <w:rFonts w:hint="default"/>
              </w:rPr>
              <w:t>项目生活污水排放量</w:t>
            </w:r>
            <w:r>
              <w:rPr>
                <w:rFonts w:hint="eastAsia"/>
                <w:lang w:val="en-US" w:eastAsia="zh-CN"/>
              </w:rPr>
              <w:t>0.52</w:t>
            </w:r>
            <w:r>
              <w:rPr>
                <w:rFonts w:hint="default"/>
              </w:rPr>
              <w:t>t/d，仅占</w:t>
            </w:r>
            <w:r>
              <w:rPr>
                <w:rFonts w:hint="eastAsia"/>
              </w:rPr>
              <w:t>福清市融元污水处理厂剩余</w:t>
            </w:r>
            <w:r>
              <w:rPr>
                <w:rFonts w:hint="default"/>
              </w:rPr>
              <w:t>处理</w:t>
            </w:r>
            <w:r>
              <w:rPr>
                <w:rFonts w:hint="eastAsia"/>
              </w:rPr>
              <w:t>规模</w:t>
            </w:r>
            <w:r>
              <w:rPr>
                <w:rFonts w:hint="default"/>
              </w:rPr>
              <w:t>的</w:t>
            </w:r>
            <w:r>
              <w:rPr>
                <w:rFonts w:hint="eastAsia"/>
                <w:lang w:val="en-US" w:eastAsia="zh-CN"/>
              </w:rPr>
              <w:t>0.0003</w:t>
            </w:r>
            <w:r>
              <w:rPr>
                <w:rFonts w:hint="default"/>
              </w:rPr>
              <w:t>%，</w:t>
            </w:r>
            <w:r>
              <w:rPr>
                <w:rFonts w:hint="eastAsia"/>
              </w:rPr>
              <w:t>污水处理厂采用</w:t>
            </w:r>
            <w:r>
              <w:rPr>
                <w:rFonts w:hint="eastAsia"/>
                <w:lang w:eastAsia="zh-CN"/>
              </w:rPr>
              <w:t>“</w:t>
            </w:r>
            <w:r>
              <w:rPr>
                <w:rFonts w:hint="eastAsia"/>
              </w:rPr>
              <w:t>处理+二级生化处理+深化处理</w:t>
            </w:r>
            <w:r>
              <w:rPr>
                <w:rFonts w:hint="eastAsia"/>
                <w:lang w:eastAsia="zh-CN"/>
              </w:rPr>
              <w:t>”</w:t>
            </w:r>
            <w:r>
              <w:rPr>
                <w:rFonts w:hint="eastAsia"/>
              </w:rPr>
              <w:t>，属于城镇污水处理厂通用工艺，因此，从处理能力及处理工艺分析</w:t>
            </w:r>
            <w:r>
              <w:rPr>
                <w:rFonts w:hint="default"/>
              </w:rPr>
              <w:t>，</w:t>
            </w:r>
            <w:r>
              <w:rPr>
                <w:rFonts w:hint="eastAsia"/>
              </w:rPr>
              <w:t>福清市融元污水处理厂</w:t>
            </w:r>
            <w:r>
              <w:rPr>
                <w:rFonts w:hint="default"/>
              </w:rPr>
              <w:t>可接纳项目废水排放量，不会对</w:t>
            </w:r>
            <w:r>
              <w:rPr>
                <w:rFonts w:hint="eastAsia"/>
                <w:lang w:eastAsia="zh-CN"/>
              </w:rPr>
              <w:t>污水处理厂</w:t>
            </w:r>
            <w:r>
              <w:rPr>
                <w:rFonts w:hint="default"/>
              </w:rPr>
              <w:t>水量负荷造成冲击。</w:t>
            </w:r>
          </w:p>
          <w:p w14:paraId="32159BFA">
            <w:pPr>
              <w:keepNext w:val="0"/>
              <w:keepLines w:val="0"/>
              <w:suppressLineNumbers w:val="0"/>
              <w:bidi w:val="0"/>
              <w:spacing w:before="0" w:beforeAutospacing="0" w:after="0" w:afterAutospacing="0"/>
              <w:ind w:left="0" w:right="0"/>
              <w:rPr>
                <w:rFonts w:hint="default"/>
              </w:rPr>
            </w:pPr>
            <w:r>
              <w:rPr>
                <w:rFonts w:hint="default"/>
              </w:rPr>
              <w:t>根据上述分析，</w:t>
            </w:r>
            <w:r>
              <w:rPr>
                <w:rFonts w:hint="eastAsia"/>
              </w:rPr>
              <w:t>项目生活污水经化粪池预处理达标后通过厂区污水总排放口</w:t>
            </w:r>
            <w:r>
              <w:rPr>
                <w:rFonts w:hint="default"/>
              </w:rPr>
              <w:t>排入市政污水管网，</w:t>
            </w:r>
            <w:r>
              <w:rPr>
                <w:rFonts w:hint="eastAsia"/>
              </w:rPr>
              <w:t>最终</w:t>
            </w:r>
            <w:r>
              <w:rPr>
                <w:rFonts w:hint="default"/>
              </w:rPr>
              <w:t>送往</w:t>
            </w:r>
            <w:r>
              <w:rPr>
                <w:rFonts w:hint="eastAsia"/>
              </w:rPr>
              <w:t>福清市融元污水处理厂</w:t>
            </w:r>
            <w:r>
              <w:rPr>
                <w:rFonts w:hint="default"/>
              </w:rPr>
              <w:t>集中处理</w:t>
            </w:r>
            <w:r>
              <w:rPr>
                <w:rFonts w:hint="eastAsia"/>
              </w:rPr>
              <w:t>，</w:t>
            </w:r>
            <w:r>
              <w:rPr>
                <w:rFonts w:hint="default"/>
              </w:rPr>
              <w:t>项目废水水质、水量</w:t>
            </w:r>
            <w:r>
              <w:rPr>
                <w:rFonts w:hint="eastAsia"/>
              </w:rPr>
              <w:t>均</w:t>
            </w:r>
            <w:r>
              <w:rPr>
                <w:rFonts w:hint="default"/>
              </w:rPr>
              <w:t>不会对污水处理厂造成负荷冲击，项目污水不直接排入地表水体，因此几乎不会对区域地表水环境产生直接不利影响。</w:t>
            </w:r>
          </w:p>
          <w:p w14:paraId="6891143D">
            <w:pPr>
              <w:pStyle w:val="3"/>
              <w:keepNext w:val="0"/>
              <w:keepLines w:val="0"/>
              <w:suppressLineNumbers w:val="0"/>
              <w:bidi w:val="0"/>
              <w:spacing w:before="0" w:beforeAutospacing="0" w:after="0" w:afterAutospacing="0"/>
              <w:ind w:left="0" w:right="0"/>
              <w:rPr>
                <w:rFonts w:hint="eastAsia"/>
              </w:rPr>
            </w:pPr>
            <w:r>
              <w:rPr>
                <w:rFonts w:hint="eastAsia"/>
              </w:rPr>
              <w:t>运营期大气环境影响分析和污染防治措施</w:t>
            </w:r>
          </w:p>
          <w:p w14:paraId="706CF1AE">
            <w:pPr>
              <w:pStyle w:val="4"/>
              <w:suppressLineNumbers w:val="0"/>
              <w:bidi w:val="0"/>
              <w:spacing w:before="0" w:beforeAutospacing="0" w:after="0" w:afterAutospacing="0"/>
              <w:ind w:left="0" w:right="0"/>
              <w:rPr>
                <w:rFonts w:hint="eastAsia"/>
              </w:rPr>
            </w:pPr>
            <w:r>
              <w:rPr>
                <w:rFonts w:hint="eastAsia"/>
              </w:rPr>
              <w:t>运营期废气源强核算</w:t>
            </w:r>
          </w:p>
          <w:p w14:paraId="1971662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olor w:val="auto"/>
                <w:sz w:val="24"/>
                <w:szCs w:val="24"/>
                <w:lang w:val="en-US" w:eastAsia="zh-CN"/>
              </w:rPr>
            </w:pPr>
            <w:r>
              <w:rPr>
                <w:rFonts w:hint="eastAsia"/>
                <w:color w:val="auto"/>
                <w:kern w:val="0"/>
              </w:rPr>
              <w:t>本项目运营期产生的</w:t>
            </w:r>
            <w:r>
              <w:rPr>
                <w:rFonts w:hint="eastAsia"/>
                <w:bCs/>
                <w:color w:val="auto"/>
              </w:rPr>
              <w:t>颗粒物主要来自喷漆工序（漆雾）</w:t>
            </w:r>
            <w:r>
              <w:rPr>
                <w:rFonts w:hint="eastAsia"/>
                <w:bCs/>
                <w:color w:val="auto"/>
                <w:lang w:val="en-US" w:eastAsia="zh-CN"/>
              </w:rPr>
              <w:t>及打磨工序</w:t>
            </w:r>
            <w:r>
              <w:rPr>
                <w:rFonts w:hint="eastAsia"/>
                <w:bCs/>
                <w:color w:val="auto"/>
              </w:rPr>
              <w:t>；</w:t>
            </w:r>
            <w:r>
              <w:rPr>
                <w:rFonts w:hint="eastAsia"/>
                <w:bCs/>
                <w:color w:val="auto"/>
                <w:lang w:val="en-US" w:eastAsia="zh-CN"/>
              </w:rPr>
              <w:t>喷漆、烘干及加烤</w:t>
            </w:r>
            <w:r>
              <w:rPr>
                <w:rFonts w:hint="eastAsia"/>
                <w:color w:val="auto"/>
              </w:rPr>
              <w:t>产生的污染物因子为非甲烷总烃。</w:t>
            </w:r>
          </w:p>
          <w:p w14:paraId="6A0D046F">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宋体" w:hAnsi="宋体" w:eastAsia="宋体" w:cs="宋体"/>
                <w:color w:val="auto"/>
                <w:sz w:val="24"/>
                <w:szCs w:val="24"/>
                <w:lang w:val="en-US" w:eastAsia="zh-CN"/>
              </w:rPr>
            </w:pPr>
            <w:r>
              <w:rPr>
                <w:rFonts w:hint="eastAsia" w:ascii="Times New Roman" w:hAnsi="Times New Roman" w:eastAsia="宋体"/>
                <w:color w:val="auto"/>
                <w:sz w:val="24"/>
                <w:szCs w:val="24"/>
                <w:lang w:val="en-US" w:eastAsia="zh-CN"/>
              </w:rPr>
              <w:t>（1）打磨废气</w:t>
            </w:r>
          </w:p>
          <w:p w14:paraId="117AD0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olor w:val="auto"/>
                <w:sz w:val="24"/>
                <w:szCs w:val="24"/>
                <w:lang w:val="en-US" w:eastAsia="zh-CN"/>
              </w:rPr>
            </w:pPr>
            <w:r>
              <w:rPr>
                <w:rFonts w:hint="eastAsia" w:ascii="宋体" w:hAnsi="宋体" w:eastAsia="宋体" w:cs="宋体"/>
                <w:color w:val="auto"/>
                <w:sz w:val="24"/>
                <w:szCs w:val="24"/>
                <w:lang w:val="en-US" w:eastAsia="zh-CN"/>
              </w:rPr>
              <w:t>项目压铸铝在打磨过程中会产生粉尘，这些粉尘主要成分为金属。</w:t>
            </w:r>
            <w:r>
              <w:rPr>
                <w:rFonts w:hint="eastAsia" w:ascii="宋体" w:hAnsi="宋体" w:eastAsia="宋体" w:cs="宋体"/>
                <w:color w:val="auto"/>
                <w:sz w:val="24"/>
                <w:szCs w:val="24"/>
              </w:rPr>
              <w:t>根据</w:t>
            </w:r>
            <w:r>
              <w:rPr>
                <w:rFonts w:hint="eastAsia" w:ascii="宋体" w:hAnsi="宋体" w:cs="宋体"/>
                <w:color w:val="auto"/>
                <w:sz w:val="24"/>
                <w:szCs w:val="24"/>
                <w:lang w:val="en-US" w:eastAsia="zh-CN"/>
              </w:rPr>
              <w:t>现有项目</w:t>
            </w:r>
            <w:r>
              <w:rPr>
                <w:rFonts w:hint="eastAsia" w:ascii="宋体" w:hAnsi="宋体" w:eastAsia="宋体" w:cs="宋体"/>
                <w:color w:val="auto"/>
                <w:sz w:val="24"/>
                <w:szCs w:val="24"/>
              </w:rPr>
              <w:t>情况，</w:t>
            </w:r>
            <w:r>
              <w:rPr>
                <w:rFonts w:hint="eastAsia" w:ascii="宋体" w:hAnsi="宋体" w:eastAsia="宋体" w:cs="宋体"/>
                <w:color w:val="auto"/>
                <w:sz w:val="24"/>
                <w:szCs w:val="24"/>
                <w:lang w:val="en-US" w:eastAsia="zh-CN"/>
              </w:rPr>
              <w:t>打磨</w:t>
            </w:r>
            <w:r>
              <w:rPr>
                <w:rFonts w:hint="eastAsia" w:ascii="宋体" w:hAnsi="宋体" w:eastAsia="宋体" w:cs="宋体"/>
                <w:color w:val="auto"/>
                <w:sz w:val="24"/>
                <w:szCs w:val="24"/>
              </w:rPr>
              <w:t>过程产生的金属粉尘量极少</w:t>
            </w:r>
            <w:r>
              <w:rPr>
                <w:rFonts w:hint="eastAsia" w:ascii="宋体" w:hAnsi="宋体" w:cs="宋体"/>
                <w:color w:val="auto"/>
                <w:sz w:val="24"/>
                <w:szCs w:val="24"/>
                <w:lang w:eastAsia="zh-CN"/>
              </w:rPr>
              <w:t>且</w:t>
            </w:r>
            <w:r>
              <w:rPr>
                <w:rFonts w:hint="eastAsia" w:ascii="宋体" w:hAnsi="宋体" w:eastAsia="宋体" w:cs="宋体"/>
                <w:color w:val="auto"/>
                <w:sz w:val="24"/>
                <w:szCs w:val="24"/>
              </w:rPr>
              <w:t>此部分金属</w:t>
            </w:r>
            <w:r>
              <w:rPr>
                <w:rFonts w:hint="eastAsia" w:ascii="宋体" w:hAnsi="宋体" w:eastAsia="宋体" w:cs="宋体"/>
                <w:color w:val="auto"/>
                <w:sz w:val="24"/>
                <w:szCs w:val="24"/>
                <w:lang w:val="en-US" w:eastAsia="zh-CN"/>
              </w:rPr>
              <w:t>粒径</w:t>
            </w:r>
            <w:r>
              <w:rPr>
                <w:rFonts w:hint="eastAsia" w:ascii="宋体" w:hAnsi="宋体" w:eastAsia="宋体" w:cs="宋体"/>
                <w:color w:val="auto"/>
                <w:sz w:val="24"/>
                <w:szCs w:val="24"/>
              </w:rPr>
              <w:t>较大，基本沉降在工位旁，</w:t>
            </w:r>
            <w:r>
              <w:rPr>
                <w:rFonts w:hint="eastAsia" w:ascii="Times New Roman" w:hAnsi="Times New Roman" w:eastAsia="宋体" w:cs="Times New Roman"/>
                <w:b w:val="0"/>
                <w:bCs w:val="0"/>
                <w:color w:val="auto"/>
                <w:sz w:val="24"/>
                <w:szCs w:val="24"/>
                <w:highlight w:val="none"/>
                <w:lang w:val="en-US" w:eastAsia="zh-CN"/>
              </w:rPr>
              <w:t>故本评价</w:t>
            </w:r>
            <w:r>
              <w:rPr>
                <w:rFonts w:hint="eastAsia" w:cs="Times New Roman"/>
                <w:b w:val="0"/>
                <w:bCs w:val="0"/>
                <w:color w:val="auto"/>
                <w:sz w:val="24"/>
                <w:szCs w:val="24"/>
                <w:highlight w:val="none"/>
                <w:lang w:val="en-US" w:eastAsia="zh-CN"/>
              </w:rPr>
              <w:t>仅对打磨工序产生的颗粒物进行定性分析，</w:t>
            </w:r>
            <w:r>
              <w:rPr>
                <w:rFonts w:hint="eastAsia" w:ascii="Times New Roman" w:hAnsi="Times New Roman" w:eastAsia="宋体" w:cs="Times New Roman"/>
                <w:b w:val="0"/>
                <w:bCs w:val="0"/>
                <w:color w:val="auto"/>
                <w:sz w:val="24"/>
                <w:szCs w:val="24"/>
                <w:highlight w:val="none"/>
                <w:lang w:val="en-US" w:eastAsia="zh-CN"/>
              </w:rPr>
              <w:t>不对其进行定量分析。</w:t>
            </w:r>
            <w:r>
              <w:rPr>
                <w:rFonts w:hint="eastAsia" w:ascii="宋体" w:hAnsi="宋体" w:cs="宋体"/>
                <w:color w:val="auto"/>
                <w:sz w:val="24"/>
                <w:szCs w:val="24"/>
                <w:lang w:val="en-US" w:eastAsia="zh-CN"/>
              </w:rPr>
              <w:t>本评价</w:t>
            </w:r>
            <w:r>
              <w:rPr>
                <w:rFonts w:hint="eastAsia" w:ascii="宋体" w:hAnsi="宋体" w:eastAsia="宋体" w:cs="宋体"/>
                <w:color w:val="auto"/>
                <w:sz w:val="24"/>
                <w:szCs w:val="24"/>
              </w:rPr>
              <w:t>项目</w:t>
            </w:r>
            <w:r>
              <w:rPr>
                <w:rFonts w:hint="eastAsia" w:ascii="宋体" w:hAnsi="宋体" w:eastAsia="宋体" w:cs="宋体"/>
                <w:color w:val="auto"/>
                <w:sz w:val="24"/>
                <w:szCs w:val="24"/>
                <w:lang w:val="en-US" w:eastAsia="zh-CN"/>
              </w:rPr>
              <w:t>设置密闭打磨房，打磨工序密闭</w:t>
            </w:r>
            <w:r>
              <w:rPr>
                <w:rFonts w:hint="eastAsia" w:ascii="宋体" w:hAnsi="宋体" w:eastAsia="宋体" w:cs="宋体"/>
                <w:color w:val="auto"/>
                <w:sz w:val="24"/>
                <w:szCs w:val="24"/>
              </w:rPr>
              <w:t>以减少粉尘外逸对外环境的影响。</w:t>
            </w:r>
          </w:p>
          <w:p w14:paraId="22CBE42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leftChars="0" w:right="0" w:firstLine="480" w:firstLineChars="200"/>
              <w:textAlignment w:val="baseline"/>
              <w:rPr>
                <w:rFonts w:hint="default" w:ascii="Times New Roman" w:hAnsi="Times New Roman" w:eastAsia="宋体" w:cs="Times New Roman"/>
                <w:color w:val="auto"/>
                <w:sz w:val="24"/>
                <w:szCs w:val="24"/>
                <w:lang w:val="en-US" w:eastAsia="zh-CN"/>
              </w:rPr>
            </w:pPr>
            <w:r>
              <w:rPr>
                <w:rFonts w:hint="eastAsia" w:ascii="Times New Roman" w:hAnsi="Times New Roman" w:eastAsia="宋体"/>
                <w:color w:val="auto"/>
                <w:sz w:val="24"/>
                <w:szCs w:val="24"/>
                <w:lang w:val="en-US" w:eastAsia="zh-CN"/>
              </w:rPr>
              <w:t>（2</w:t>
            </w:r>
            <w:r>
              <w:rPr>
                <w:rFonts w:hint="default" w:ascii="Times New Roman" w:hAnsi="Times New Roman" w:eastAsia="宋体" w:cs="Times New Roman"/>
                <w:color w:val="auto"/>
                <w:sz w:val="24"/>
                <w:szCs w:val="24"/>
                <w:lang w:val="en-US" w:eastAsia="zh-CN"/>
              </w:rPr>
              <w:t>）喷漆</w:t>
            </w:r>
            <w:r>
              <w:rPr>
                <w:rFonts w:hint="eastAsia" w:cs="Times New Roman"/>
                <w:color w:val="auto"/>
                <w:sz w:val="24"/>
                <w:szCs w:val="24"/>
                <w:lang w:val="en-US" w:eastAsia="zh-CN"/>
              </w:rPr>
              <w:t>、烘干及加烤</w:t>
            </w:r>
            <w:r>
              <w:rPr>
                <w:rFonts w:hint="default" w:ascii="Times New Roman" w:hAnsi="Times New Roman" w:eastAsia="宋体" w:cs="Times New Roman"/>
                <w:color w:val="auto"/>
                <w:sz w:val="24"/>
                <w:szCs w:val="24"/>
                <w:lang w:val="en-US" w:eastAsia="zh-CN"/>
              </w:rPr>
              <w:t>废气</w:t>
            </w:r>
          </w:p>
          <w:p w14:paraId="71AAB5D2">
            <w:pPr>
              <w:keepNext w:val="0"/>
              <w:keepLines w:val="0"/>
              <w:suppressLineNumbers w:val="0"/>
              <w:bidi w:val="0"/>
              <w:spacing w:before="0" w:beforeAutospacing="0" w:after="0" w:afterAutospacing="0"/>
              <w:ind w:left="0" w:right="0"/>
              <w:rPr>
                <w:rFonts w:hint="eastAsia"/>
              </w:rPr>
            </w:pPr>
            <w:r>
              <w:rPr>
                <w:rFonts w:hint="eastAsia"/>
              </w:rPr>
              <w:t>本项目拟设</w:t>
            </w:r>
            <w:r>
              <w:rPr>
                <w:rFonts w:hint="eastAsia"/>
                <w:lang w:val="en-US" w:eastAsia="zh-CN"/>
              </w:rPr>
              <w:t>9</w:t>
            </w:r>
            <w:r>
              <w:rPr>
                <w:rFonts w:hint="eastAsia"/>
              </w:rPr>
              <w:t>台水帘柜，</w:t>
            </w:r>
            <w:r>
              <w:rPr>
                <w:rFonts w:hint="eastAsia"/>
                <w:lang w:val="en-US" w:eastAsia="zh-CN"/>
              </w:rPr>
              <w:t>每条生产线配置3台水帘柜，</w:t>
            </w:r>
            <w:r>
              <w:rPr>
                <w:rFonts w:hint="eastAsia"/>
              </w:rPr>
              <w:t>根据产品种类使用不同的涂料对半成品进行喷漆</w:t>
            </w:r>
            <w:r>
              <w:rPr>
                <w:rFonts w:hint="eastAsia"/>
                <w:lang w:eastAsia="zh-CN"/>
              </w:rPr>
              <w:t>，</w:t>
            </w:r>
            <w:r>
              <w:rPr>
                <w:rFonts w:hint="eastAsia"/>
              </w:rPr>
              <w:t>使用油性漆或水性漆</w:t>
            </w:r>
            <w:r>
              <w:rPr>
                <w:rFonts w:hint="eastAsia"/>
                <w:lang w:eastAsia="zh-CN"/>
              </w:rPr>
              <w:t>（</w:t>
            </w:r>
            <w:r>
              <w:rPr>
                <w:rFonts w:hint="eastAsia"/>
                <w:lang w:val="en-US" w:eastAsia="zh-CN"/>
              </w:rPr>
              <w:t>加入稀释剂调配后</w:t>
            </w:r>
            <w:r>
              <w:rPr>
                <w:rFonts w:hint="eastAsia"/>
                <w:lang w:eastAsia="zh-CN"/>
              </w:rPr>
              <w:t>）</w:t>
            </w:r>
            <w:r>
              <w:rPr>
                <w:rFonts w:hint="eastAsia"/>
              </w:rPr>
              <w:t>在喷漆工序中会产生一定的漆雾。根据《涂装工艺与设备》（化学工业出版社），喷涂距离在15~20cm，附着效率约为65%～75%，本次附着效率按70%计算。</w:t>
            </w:r>
          </w:p>
          <w:p w14:paraId="3D0E3931">
            <w:pPr>
              <w:pStyle w:val="39"/>
              <w:keepNext w:val="0"/>
              <w:keepLines w:val="0"/>
              <w:suppressLineNumbers w:val="0"/>
              <w:bidi w:val="0"/>
              <w:spacing w:before="0" w:beforeAutospacing="0" w:after="0" w:afterAutospacing="0"/>
              <w:ind w:left="0" w:right="0"/>
              <w:rPr>
                <w:rFonts w:hint="eastAsia"/>
              </w:rPr>
            </w:pPr>
            <w:r>
              <w:rPr>
                <w:rFonts w:hint="eastAsia"/>
              </w:rPr>
              <w:t>表4.2-1  本项目</w:t>
            </w:r>
            <w:r>
              <w:rPr>
                <w:rFonts w:hint="default" w:ascii="Times New Roman" w:hAnsi="Times New Roman" w:eastAsia="宋体" w:cs="Times New Roman"/>
                <w:color w:val="auto"/>
                <w:sz w:val="24"/>
                <w:szCs w:val="24"/>
                <w:lang w:val="en-US" w:eastAsia="zh-CN"/>
              </w:rPr>
              <w:t>涂料中</w:t>
            </w:r>
            <w:r>
              <w:rPr>
                <w:rFonts w:hint="eastAsia" w:cs="Times New Roman"/>
                <w:color w:val="auto"/>
                <w:sz w:val="24"/>
                <w:szCs w:val="24"/>
                <w:lang w:val="en-US" w:eastAsia="zh-CN"/>
              </w:rPr>
              <w:t>漆雾及挥发</w:t>
            </w:r>
            <w:r>
              <w:rPr>
                <w:rFonts w:hint="default" w:ascii="Times New Roman" w:hAnsi="Times New Roman" w:eastAsia="宋体" w:cs="Times New Roman"/>
                <w:color w:val="auto"/>
                <w:sz w:val="24"/>
                <w:szCs w:val="24"/>
                <w:lang w:val="en-US" w:eastAsia="zh-CN"/>
              </w:rPr>
              <w:t>成分</w:t>
            </w:r>
            <w:r>
              <w:rPr>
                <w:rFonts w:hint="eastAsia"/>
              </w:rPr>
              <w:t>产生情况表</w:t>
            </w:r>
          </w:p>
          <w:tbl>
            <w:tblPr>
              <w:tblStyle w:val="29"/>
              <w:tblW w:w="4958" w:type="pct"/>
              <w:tblInd w:w="5"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13"/>
              <w:gridCol w:w="868"/>
              <w:gridCol w:w="647"/>
              <w:gridCol w:w="793"/>
              <w:gridCol w:w="619"/>
              <w:gridCol w:w="955"/>
              <w:gridCol w:w="900"/>
              <w:gridCol w:w="1008"/>
              <w:gridCol w:w="903"/>
              <w:gridCol w:w="903"/>
            </w:tblGrid>
            <w:tr w14:paraId="7F8BAC77">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29" w:type="pct"/>
                  <w:vMerge w:val="restart"/>
                  <w:tcBorders>
                    <w:top w:val="single" w:color="000000" w:sz="12" w:space="0"/>
                    <w:left w:val="nil"/>
                    <w:tl2br w:val="nil"/>
                  </w:tcBorders>
                  <w:shd w:val="clear" w:color="auto" w:fill="auto"/>
                  <w:vAlign w:val="center"/>
                </w:tcPr>
                <w:p w14:paraId="3233EE6E">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物料名称</w:t>
                  </w:r>
                </w:p>
              </w:tc>
              <w:tc>
                <w:tcPr>
                  <w:tcW w:w="522" w:type="pct"/>
                  <w:vMerge w:val="restart"/>
                  <w:tcBorders>
                    <w:top w:val="single" w:color="000000" w:sz="12" w:space="0"/>
                  </w:tcBorders>
                  <w:shd w:val="clear" w:color="auto" w:fill="auto"/>
                  <w:vAlign w:val="center"/>
                </w:tcPr>
                <w:p w14:paraId="3A5E5C04">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使用量（t/a）</w:t>
                  </w:r>
                </w:p>
              </w:tc>
              <w:tc>
                <w:tcPr>
                  <w:tcW w:w="389" w:type="pct"/>
                  <w:vMerge w:val="restart"/>
                  <w:tcBorders>
                    <w:top w:val="single" w:color="000000" w:sz="12" w:space="0"/>
                  </w:tcBorders>
                  <w:shd w:val="clear" w:color="auto" w:fill="auto"/>
                  <w:vAlign w:val="center"/>
                </w:tcPr>
                <w:p w14:paraId="0D1EFC40">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喷漆效率</w:t>
                  </w:r>
                </w:p>
              </w:tc>
              <w:tc>
                <w:tcPr>
                  <w:tcW w:w="477" w:type="pct"/>
                  <w:vMerge w:val="restart"/>
                  <w:tcBorders>
                    <w:top w:val="single" w:color="000000" w:sz="12" w:space="0"/>
                  </w:tcBorders>
                  <w:shd w:val="clear" w:color="auto" w:fill="auto"/>
                  <w:vAlign w:val="center"/>
                </w:tcPr>
                <w:p w14:paraId="075E25E5">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未附着量（t/a）</w:t>
                  </w:r>
                </w:p>
              </w:tc>
              <w:tc>
                <w:tcPr>
                  <w:tcW w:w="372" w:type="pct"/>
                  <w:vMerge w:val="restart"/>
                  <w:tcBorders>
                    <w:top w:val="single" w:color="000000" w:sz="12" w:space="0"/>
                  </w:tcBorders>
                  <w:shd w:val="clear" w:color="auto" w:fill="auto"/>
                  <w:vAlign w:val="center"/>
                </w:tcPr>
                <w:p w14:paraId="185239C4">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固含量</w:t>
                  </w:r>
                </w:p>
              </w:tc>
              <w:tc>
                <w:tcPr>
                  <w:tcW w:w="574" w:type="pct"/>
                  <w:vMerge w:val="restart"/>
                  <w:tcBorders>
                    <w:top w:val="single" w:color="000000" w:sz="12" w:space="0"/>
                  </w:tcBorders>
                  <w:shd w:val="clear" w:color="auto" w:fill="auto"/>
                  <w:vAlign w:val="center"/>
                </w:tcPr>
                <w:p w14:paraId="7CC59083">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漆雾产生量（t/a）</w:t>
                  </w:r>
                </w:p>
              </w:tc>
              <w:tc>
                <w:tcPr>
                  <w:tcW w:w="541" w:type="pct"/>
                  <w:vMerge w:val="restart"/>
                  <w:tcBorders>
                    <w:top w:val="single" w:color="000000" w:sz="12" w:space="0"/>
                  </w:tcBorders>
                  <w:shd w:val="clear" w:color="auto" w:fill="auto"/>
                  <w:vAlign w:val="center"/>
                </w:tcPr>
                <w:p w14:paraId="0156FE7E">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挥发分含量</w:t>
                  </w:r>
                </w:p>
              </w:tc>
              <w:tc>
                <w:tcPr>
                  <w:tcW w:w="1692" w:type="pct"/>
                  <w:gridSpan w:val="3"/>
                  <w:tcBorders>
                    <w:top w:val="single" w:color="000000" w:sz="12" w:space="0"/>
                    <w:right w:val="nil"/>
                  </w:tcBorders>
                  <w:shd w:val="clear" w:color="auto" w:fill="auto"/>
                  <w:vAlign w:val="center"/>
                </w:tcPr>
                <w:p w14:paraId="4AFDFBD8">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挥发分（非甲烷总烃）（t/a）</w:t>
                  </w:r>
                </w:p>
              </w:tc>
            </w:tr>
            <w:tr w14:paraId="19B60AE6">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29" w:type="pct"/>
                  <w:vMerge w:val="continue"/>
                  <w:tcBorders>
                    <w:left w:val="nil"/>
                  </w:tcBorders>
                  <w:shd w:val="clear" w:color="auto" w:fill="auto"/>
                  <w:vAlign w:val="center"/>
                </w:tcPr>
                <w:p w14:paraId="04092D2D">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522" w:type="pct"/>
                  <w:vMerge w:val="continue"/>
                  <w:shd w:val="clear" w:color="auto" w:fill="auto"/>
                  <w:vAlign w:val="center"/>
                </w:tcPr>
                <w:p w14:paraId="12FF7D13">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389" w:type="pct"/>
                  <w:vMerge w:val="continue"/>
                  <w:shd w:val="clear" w:color="auto" w:fill="auto"/>
                  <w:vAlign w:val="center"/>
                </w:tcPr>
                <w:p w14:paraId="788F15CD">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477" w:type="pct"/>
                  <w:vMerge w:val="continue"/>
                  <w:shd w:val="clear" w:color="auto" w:fill="auto"/>
                  <w:vAlign w:val="center"/>
                </w:tcPr>
                <w:p w14:paraId="59D1394C">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372" w:type="pct"/>
                  <w:vMerge w:val="continue"/>
                  <w:shd w:val="clear" w:color="auto" w:fill="auto"/>
                  <w:vAlign w:val="center"/>
                </w:tcPr>
                <w:p w14:paraId="347F1401">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574" w:type="pct"/>
                  <w:vMerge w:val="continue"/>
                  <w:shd w:val="clear" w:color="auto" w:fill="auto"/>
                  <w:vAlign w:val="center"/>
                </w:tcPr>
                <w:p w14:paraId="7F54C1DD">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541" w:type="pct"/>
                  <w:vMerge w:val="continue"/>
                  <w:shd w:val="clear" w:color="auto" w:fill="auto"/>
                  <w:vAlign w:val="center"/>
                </w:tcPr>
                <w:p w14:paraId="19B83B9E">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606" w:type="pct"/>
                  <w:shd w:val="clear" w:color="auto" w:fill="auto"/>
                  <w:vAlign w:val="center"/>
                </w:tcPr>
                <w:p w14:paraId="55B0DB34">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总挥发量</w:t>
                  </w:r>
                </w:p>
              </w:tc>
              <w:tc>
                <w:tcPr>
                  <w:tcW w:w="543" w:type="pct"/>
                  <w:shd w:val="clear" w:color="auto" w:fill="auto"/>
                  <w:noWrap/>
                  <w:vAlign w:val="center"/>
                </w:tcPr>
                <w:p w14:paraId="6E8D79A4">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有组织收集</w:t>
                  </w:r>
                </w:p>
              </w:tc>
              <w:tc>
                <w:tcPr>
                  <w:tcW w:w="542" w:type="pct"/>
                  <w:tcBorders>
                    <w:right w:val="nil"/>
                  </w:tcBorders>
                  <w:shd w:val="clear" w:color="auto" w:fill="auto"/>
                  <w:noWrap/>
                  <w:vAlign w:val="center"/>
                </w:tcPr>
                <w:p w14:paraId="2B5CE4F2">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无组织排放</w:t>
                  </w:r>
                </w:p>
              </w:tc>
            </w:tr>
            <w:tr w14:paraId="7575B41F">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29" w:type="pct"/>
                  <w:tcBorders>
                    <w:left w:val="nil"/>
                  </w:tcBorders>
                  <w:shd w:val="clear" w:color="auto" w:fill="auto"/>
                  <w:vAlign w:val="center"/>
                </w:tcPr>
                <w:p w14:paraId="6DA578F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水性漆</w:t>
                  </w:r>
                </w:p>
              </w:tc>
              <w:tc>
                <w:tcPr>
                  <w:tcW w:w="522" w:type="pct"/>
                  <w:shd w:val="clear" w:color="auto" w:fill="auto"/>
                  <w:noWrap/>
                  <w:vAlign w:val="center"/>
                </w:tcPr>
                <w:p w14:paraId="4702B7E4">
                  <w:pPr>
                    <w:pStyle w:val="38"/>
                    <w:keepNext w:val="0"/>
                    <w:keepLines w:val="0"/>
                    <w:widowControl/>
                    <w:suppressLineNumbers w:val="0"/>
                    <w:bidi w:val="0"/>
                    <w:spacing w:before="0" w:beforeAutospacing="0" w:after="0" w:afterAutospacing="0"/>
                    <w:ind w:left="0" w:right="0"/>
                    <w:rPr>
                      <w:rFonts w:hint="default"/>
                      <w:szCs w:val="22"/>
                      <w:lang w:val="en-US"/>
                    </w:rPr>
                  </w:pPr>
                  <w:r>
                    <w:rPr>
                      <w:rFonts w:hint="default"/>
                      <w:szCs w:val="22"/>
                      <w:lang w:val="en-US" w:eastAsia="zh-CN"/>
                    </w:rPr>
                    <w:t>0.9</w:t>
                  </w:r>
                </w:p>
              </w:tc>
              <w:tc>
                <w:tcPr>
                  <w:tcW w:w="389" w:type="pct"/>
                  <w:shd w:val="clear" w:color="auto" w:fill="auto"/>
                  <w:vAlign w:val="center"/>
                </w:tcPr>
                <w:p w14:paraId="64C5FE61">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70%</w:t>
                  </w:r>
                </w:p>
              </w:tc>
              <w:tc>
                <w:tcPr>
                  <w:tcW w:w="477" w:type="pct"/>
                  <w:shd w:val="clear" w:color="auto" w:fill="auto"/>
                  <w:vAlign w:val="center"/>
                </w:tcPr>
                <w:p w14:paraId="791385D4">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0.27</w:t>
                  </w:r>
                </w:p>
              </w:tc>
              <w:tc>
                <w:tcPr>
                  <w:tcW w:w="372" w:type="pct"/>
                  <w:shd w:val="clear" w:color="auto" w:fill="auto"/>
                  <w:vAlign w:val="center"/>
                </w:tcPr>
                <w:p w14:paraId="7611F15B">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41%</w:t>
                  </w:r>
                </w:p>
              </w:tc>
              <w:tc>
                <w:tcPr>
                  <w:tcW w:w="574" w:type="pct"/>
                  <w:shd w:val="clear" w:color="auto" w:fill="auto"/>
                  <w:vAlign w:val="center"/>
                </w:tcPr>
                <w:p w14:paraId="0395F4D0">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0.1107</w:t>
                  </w:r>
                </w:p>
              </w:tc>
              <w:tc>
                <w:tcPr>
                  <w:tcW w:w="541" w:type="pct"/>
                  <w:shd w:val="clear" w:color="auto" w:fill="auto"/>
                  <w:vAlign w:val="center"/>
                </w:tcPr>
                <w:p w14:paraId="3725058B">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w:t>
                  </w:r>
                </w:p>
              </w:tc>
              <w:tc>
                <w:tcPr>
                  <w:tcW w:w="606" w:type="pct"/>
                  <w:shd w:val="clear" w:color="auto" w:fill="auto"/>
                  <w:vAlign w:val="center"/>
                </w:tcPr>
                <w:p w14:paraId="3AF086AB">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w:t>
                  </w:r>
                </w:p>
              </w:tc>
              <w:tc>
                <w:tcPr>
                  <w:tcW w:w="543" w:type="pct"/>
                  <w:shd w:val="clear" w:color="auto" w:fill="auto"/>
                  <w:vAlign w:val="center"/>
                </w:tcPr>
                <w:p w14:paraId="1FDAA499">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w:t>
                  </w:r>
                </w:p>
              </w:tc>
              <w:tc>
                <w:tcPr>
                  <w:tcW w:w="542" w:type="pct"/>
                  <w:tcBorders>
                    <w:right w:val="nil"/>
                  </w:tcBorders>
                  <w:shd w:val="clear" w:color="auto" w:fill="auto"/>
                  <w:vAlign w:val="center"/>
                </w:tcPr>
                <w:p w14:paraId="0D5D8D3F">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w:t>
                  </w:r>
                </w:p>
              </w:tc>
            </w:tr>
            <w:tr w14:paraId="11867260">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PrEx>
              <w:trPr>
                <w:trHeight w:val="270" w:hRule="atLeast"/>
              </w:trPr>
              <w:tc>
                <w:tcPr>
                  <w:tcW w:w="429" w:type="pct"/>
                  <w:tcBorders>
                    <w:left w:val="nil"/>
                  </w:tcBorders>
                  <w:shd w:val="clear" w:color="auto" w:fill="auto"/>
                  <w:vAlign w:val="center"/>
                </w:tcPr>
                <w:p w14:paraId="4DFA524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塑胶用油性漆</w:t>
                  </w:r>
                </w:p>
              </w:tc>
              <w:tc>
                <w:tcPr>
                  <w:tcW w:w="522" w:type="pct"/>
                  <w:shd w:val="clear" w:color="auto" w:fill="auto"/>
                  <w:noWrap/>
                  <w:vAlign w:val="center"/>
                </w:tcPr>
                <w:p w14:paraId="7D0C59E9">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0.6</w:t>
                  </w:r>
                </w:p>
              </w:tc>
              <w:tc>
                <w:tcPr>
                  <w:tcW w:w="389" w:type="pct"/>
                  <w:shd w:val="clear" w:color="auto" w:fill="auto"/>
                  <w:vAlign w:val="center"/>
                </w:tcPr>
                <w:p w14:paraId="16587971">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70%</w:t>
                  </w:r>
                </w:p>
              </w:tc>
              <w:tc>
                <w:tcPr>
                  <w:tcW w:w="477" w:type="pct"/>
                  <w:shd w:val="clear" w:color="auto" w:fill="auto"/>
                  <w:vAlign w:val="center"/>
                </w:tcPr>
                <w:p w14:paraId="0C3AE904">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0.18</w:t>
                  </w:r>
                </w:p>
              </w:tc>
              <w:tc>
                <w:tcPr>
                  <w:tcW w:w="372" w:type="pct"/>
                  <w:shd w:val="clear" w:color="auto" w:fill="auto"/>
                  <w:vAlign w:val="center"/>
                </w:tcPr>
                <w:p w14:paraId="24E1F443">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65%</w:t>
                  </w:r>
                </w:p>
              </w:tc>
              <w:tc>
                <w:tcPr>
                  <w:tcW w:w="574" w:type="pct"/>
                  <w:shd w:val="clear" w:color="auto" w:fill="auto"/>
                  <w:vAlign w:val="center"/>
                </w:tcPr>
                <w:p w14:paraId="5DC54781">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0.117</w:t>
                  </w:r>
                </w:p>
              </w:tc>
              <w:tc>
                <w:tcPr>
                  <w:tcW w:w="541" w:type="pct"/>
                  <w:shd w:val="clear" w:color="auto" w:fill="auto"/>
                  <w:vAlign w:val="center"/>
                </w:tcPr>
                <w:p w14:paraId="723357FF">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30.3%</w:t>
                  </w:r>
                </w:p>
              </w:tc>
              <w:tc>
                <w:tcPr>
                  <w:tcW w:w="606" w:type="pct"/>
                  <w:shd w:val="clear" w:color="auto" w:fill="auto"/>
                  <w:vAlign w:val="center"/>
                </w:tcPr>
                <w:p w14:paraId="78105FD5">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0.1818</w:t>
                  </w:r>
                </w:p>
              </w:tc>
              <w:tc>
                <w:tcPr>
                  <w:tcW w:w="543" w:type="pct"/>
                  <w:shd w:val="clear" w:color="auto" w:fill="auto"/>
                  <w:vAlign w:val="center"/>
                </w:tcPr>
                <w:p w14:paraId="22CD9BA7">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0.1636</w:t>
                  </w:r>
                </w:p>
              </w:tc>
              <w:tc>
                <w:tcPr>
                  <w:tcW w:w="542" w:type="pct"/>
                  <w:tcBorders>
                    <w:right w:val="nil"/>
                  </w:tcBorders>
                  <w:shd w:val="clear" w:color="auto" w:fill="auto"/>
                  <w:vAlign w:val="center"/>
                </w:tcPr>
                <w:p w14:paraId="2B757A48">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0.0182</w:t>
                  </w:r>
                </w:p>
              </w:tc>
            </w:tr>
            <w:tr w14:paraId="67706226">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29" w:type="pct"/>
                  <w:tcBorders>
                    <w:left w:val="nil"/>
                  </w:tcBorders>
                  <w:shd w:val="clear" w:color="auto" w:fill="auto"/>
                  <w:vAlign w:val="center"/>
                </w:tcPr>
                <w:p w14:paraId="3476638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金属用油性漆</w:t>
                  </w:r>
                </w:p>
              </w:tc>
              <w:tc>
                <w:tcPr>
                  <w:tcW w:w="522" w:type="pct"/>
                  <w:shd w:val="clear" w:color="auto" w:fill="auto"/>
                  <w:noWrap/>
                  <w:vAlign w:val="center"/>
                </w:tcPr>
                <w:p w14:paraId="6F6A59C0">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3.4</w:t>
                  </w:r>
                </w:p>
              </w:tc>
              <w:tc>
                <w:tcPr>
                  <w:tcW w:w="389" w:type="pct"/>
                  <w:shd w:val="clear" w:color="auto" w:fill="auto"/>
                  <w:vAlign w:val="center"/>
                </w:tcPr>
                <w:p w14:paraId="3FEBA2D7">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70%</w:t>
                  </w:r>
                </w:p>
              </w:tc>
              <w:tc>
                <w:tcPr>
                  <w:tcW w:w="477" w:type="pct"/>
                  <w:shd w:val="clear" w:color="auto" w:fill="auto"/>
                  <w:vAlign w:val="center"/>
                </w:tcPr>
                <w:p w14:paraId="16728A9D">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1.02</w:t>
                  </w:r>
                </w:p>
              </w:tc>
              <w:tc>
                <w:tcPr>
                  <w:tcW w:w="372" w:type="pct"/>
                  <w:shd w:val="clear" w:color="auto" w:fill="auto"/>
                  <w:vAlign w:val="center"/>
                </w:tcPr>
                <w:p w14:paraId="456D0A0B">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61%</w:t>
                  </w:r>
                </w:p>
              </w:tc>
              <w:tc>
                <w:tcPr>
                  <w:tcW w:w="574" w:type="pct"/>
                  <w:shd w:val="clear" w:color="auto" w:fill="auto"/>
                  <w:vAlign w:val="center"/>
                </w:tcPr>
                <w:p w14:paraId="59F65FDD">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0.6222</w:t>
                  </w:r>
                </w:p>
              </w:tc>
              <w:tc>
                <w:tcPr>
                  <w:tcW w:w="541" w:type="pct"/>
                  <w:shd w:val="clear" w:color="auto" w:fill="auto"/>
                  <w:vAlign w:val="center"/>
                </w:tcPr>
                <w:p w14:paraId="2C4765EB">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31.9%</w:t>
                  </w:r>
                </w:p>
              </w:tc>
              <w:tc>
                <w:tcPr>
                  <w:tcW w:w="606" w:type="pct"/>
                  <w:shd w:val="clear" w:color="auto" w:fill="auto"/>
                  <w:vAlign w:val="center"/>
                </w:tcPr>
                <w:p w14:paraId="05E4B6E4">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1.0846</w:t>
                  </w:r>
                </w:p>
              </w:tc>
              <w:tc>
                <w:tcPr>
                  <w:tcW w:w="543" w:type="pct"/>
                  <w:shd w:val="clear" w:color="auto" w:fill="auto"/>
                  <w:vAlign w:val="center"/>
                </w:tcPr>
                <w:p w14:paraId="362C4FA7">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0.9761</w:t>
                  </w:r>
                </w:p>
              </w:tc>
              <w:tc>
                <w:tcPr>
                  <w:tcW w:w="542" w:type="pct"/>
                  <w:tcBorders>
                    <w:right w:val="nil"/>
                  </w:tcBorders>
                  <w:shd w:val="clear" w:color="auto" w:fill="auto"/>
                  <w:vAlign w:val="center"/>
                </w:tcPr>
                <w:p w14:paraId="1EB3AD64">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0.1085</w:t>
                  </w:r>
                </w:p>
              </w:tc>
            </w:tr>
            <w:tr w14:paraId="39F5ACC6">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29" w:type="pct"/>
                  <w:tcBorders>
                    <w:left w:val="nil"/>
                  </w:tcBorders>
                  <w:shd w:val="clear" w:color="auto" w:fill="auto"/>
                  <w:vAlign w:val="center"/>
                </w:tcPr>
                <w:p w14:paraId="2BB9673E">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稀释剂</w:t>
                  </w:r>
                </w:p>
              </w:tc>
              <w:tc>
                <w:tcPr>
                  <w:tcW w:w="522" w:type="pct"/>
                  <w:shd w:val="clear" w:color="auto" w:fill="auto"/>
                  <w:noWrap/>
                  <w:vAlign w:val="center"/>
                </w:tcPr>
                <w:p w14:paraId="3037042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2.1</w:t>
                  </w:r>
                </w:p>
              </w:tc>
              <w:tc>
                <w:tcPr>
                  <w:tcW w:w="389" w:type="pct"/>
                  <w:shd w:val="clear" w:color="auto" w:fill="auto"/>
                  <w:vAlign w:val="center"/>
                </w:tcPr>
                <w:p w14:paraId="1456F950">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70%</w:t>
                  </w:r>
                </w:p>
              </w:tc>
              <w:tc>
                <w:tcPr>
                  <w:tcW w:w="477" w:type="pct"/>
                  <w:shd w:val="clear" w:color="auto" w:fill="auto"/>
                  <w:vAlign w:val="center"/>
                </w:tcPr>
                <w:p w14:paraId="7DDD0BA1">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0.63</w:t>
                  </w:r>
                </w:p>
              </w:tc>
              <w:tc>
                <w:tcPr>
                  <w:tcW w:w="372" w:type="pct"/>
                  <w:shd w:val="clear" w:color="auto" w:fill="auto"/>
                  <w:vAlign w:val="center"/>
                </w:tcPr>
                <w:p w14:paraId="79F041D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w:t>
                  </w:r>
                </w:p>
              </w:tc>
              <w:tc>
                <w:tcPr>
                  <w:tcW w:w="574" w:type="pct"/>
                  <w:shd w:val="clear" w:color="auto" w:fill="auto"/>
                  <w:vAlign w:val="center"/>
                </w:tcPr>
                <w:p w14:paraId="3E78301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w:t>
                  </w:r>
                </w:p>
              </w:tc>
              <w:tc>
                <w:tcPr>
                  <w:tcW w:w="541" w:type="pct"/>
                  <w:shd w:val="clear" w:color="auto" w:fill="auto"/>
                  <w:vAlign w:val="center"/>
                </w:tcPr>
                <w:p w14:paraId="1CC210DC">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100%</w:t>
                  </w:r>
                </w:p>
              </w:tc>
              <w:tc>
                <w:tcPr>
                  <w:tcW w:w="606" w:type="pct"/>
                  <w:shd w:val="clear" w:color="auto" w:fill="auto"/>
                  <w:vAlign w:val="center"/>
                </w:tcPr>
                <w:p w14:paraId="246272B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2.1</w:t>
                  </w:r>
                </w:p>
              </w:tc>
              <w:tc>
                <w:tcPr>
                  <w:tcW w:w="543" w:type="pct"/>
                  <w:shd w:val="clear" w:color="auto" w:fill="auto"/>
                  <w:vAlign w:val="center"/>
                </w:tcPr>
                <w:p w14:paraId="0FB6AC48">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1.89</w:t>
                  </w:r>
                </w:p>
              </w:tc>
              <w:tc>
                <w:tcPr>
                  <w:tcW w:w="542" w:type="pct"/>
                  <w:tcBorders>
                    <w:right w:val="nil"/>
                  </w:tcBorders>
                  <w:shd w:val="clear" w:color="auto" w:fill="auto"/>
                  <w:vAlign w:val="center"/>
                </w:tcPr>
                <w:p w14:paraId="6D973EC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0.21</w:t>
                  </w:r>
                </w:p>
              </w:tc>
            </w:tr>
            <w:tr w14:paraId="7839836A">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29" w:type="pct"/>
                  <w:tcBorders>
                    <w:left w:val="nil"/>
                    <w:bottom w:val="single" w:color="000000" w:sz="12" w:space="0"/>
                  </w:tcBorders>
                  <w:shd w:val="clear" w:color="auto" w:fill="auto"/>
                  <w:vAlign w:val="center"/>
                </w:tcPr>
                <w:p w14:paraId="277814B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合计</w:t>
                  </w:r>
                </w:p>
              </w:tc>
              <w:tc>
                <w:tcPr>
                  <w:tcW w:w="522" w:type="pct"/>
                  <w:tcBorders>
                    <w:bottom w:val="single" w:color="000000" w:sz="12" w:space="0"/>
                  </w:tcBorders>
                  <w:shd w:val="clear" w:color="auto" w:fill="auto"/>
                  <w:vAlign w:val="center"/>
                </w:tcPr>
                <w:p w14:paraId="64D7FF2D">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4.9</w:t>
                  </w:r>
                </w:p>
              </w:tc>
              <w:tc>
                <w:tcPr>
                  <w:tcW w:w="389" w:type="pct"/>
                  <w:tcBorders>
                    <w:bottom w:val="single" w:color="000000" w:sz="12" w:space="0"/>
                  </w:tcBorders>
                  <w:shd w:val="clear" w:color="auto" w:fill="auto"/>
                  <w:vAlign w:val="center"/>
                </w:tcPr>
                <w:p w14:paraId="52EA0EB9">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w:t>
                  </w:r>
                </w:p>
              </w:tc>
              <w:tc>
                <w:tcPr>
                  <w:tcW w:w="477" w:type="pct"/>
                  <w:tcBorders>
                    <w:bottom w:val="single" w:color="000000" w:sz="12" w:space="0"/>
                  </w:tcBorders>
                  <w:shd w:val="clear" w:color="auto" w:fill="auto"/>
                  <w:vAlign w:val="center"/>
                </w:tcPr>
                <w:p w14:paraId="6D66F9D7">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1.47</w:t>
                  </w:r>
                </w:p>
              </w:tc>
              <w:tc>
                <w:tcPr>
                  <w:tcW w:w="372" w:type="pct"/>
                  <w:tcBorders>
                    <w:bottom w:val="single" w:color="000000" w:sz="12" w:space="0"/>
                  </w:tcBorders>
                  <w:shd w:val="clear" w:color="auto" w:fill="auto"/>
                  <w:vAlign w:val="center"/>
                </w:tcPr>
                <w:p w14:paraId="46DCBC45">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w:t>
                  </w:r>
                </w:p>
              </w:tc>
              <w:tc>
                <w:tcPr>
                  <w:tcW w:w="574" w:type="pct"/>
                  <w:tcBorders>
                    <w:bottom w:val="single" w:color="000000" w:sz="12" w:space="0"/>
                  </w:tcBorders>
                  <w:shd w:val="clear" w:color="auto" w:fill="auto"/>
                  <w:vAlign w:val="center"/>
                </w:tcPr>
                <w:p w14:paraId="4A8DFE87">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0.8499</w:t>
                  </w:r>
                </w:p>
              </w:tc>
              <w:tc>
                <w:tcPr>
                  <w:tcW w:w="541" w:type="pct"/>
                  <w:tcBorders>
                    <w:bottom w:val="single" w:color="000000" w:sz="12" w:space="0"/>
                  </w:tcBorders>
                  <w:shd w:val="clear" w:color="auto" w:fill="auto"/>
                  <w:vAlign w:val="center"/>
                </w:tcPr>
                <w:p w14:paraId="0CEE5605">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w:t>
                  </w:r>
                </w:p>
              </w:tc>
              <w:tc>
                <w:tcPr>
                  <w:tcW w:w="606" w:type="pct"/>
                  <w:tcBorders>
                    <w:bottom w:val="single" w:color="000000" w:sz="12" w:space="0"/>
                  </w:tcBorders>
                  <w:shd w:val="clear" w:color="auto" w:fill="auto"/>
                  <w:vAlign w:val="center"/>
                </w:tcPr>
                <w:p w14:paraId="1439CE3E">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1.2664</w:t>
                  </w:r>
                </w:p>
              </w:tc>
              <w:tc>
                <w:tcPr>
                  <w:tcW w:w="543" w:type="pct"/>
                  <w:tcBorders>
                    <w:bottom w:val="single" w:color="000000" w:sz="12" w:space="0"/>
                  </w:tcBorders>
                  <w:shd w:val="clear" w:color="auto" w:fill="auto"/>
                  <w:vAlign w:val="center"/>
                </w:tcPr>
                <w:p w14:paraId="6E2397CB">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1.1397</w:t>
                  </w:r>
                </w:p>
              </w:tc>
              <w:tc>
                <w:tcPr>
                  <w:tcW w:w="542" w:type="pct"/>
                  <w:tcBorders>
                    <w:bottom w:val="single" w:color="000000" w:sz="12" w:space="0"/>
                    <w:right w:val="nil"/>
                  </w:tcBorders>
                  <w:shd w:val="clear" w:color="auto" w:fill="auto"/>
                  <w:vAlign w:val="center"/>
                </w:tcPr>
                <w:p w14:paraId="0B6FEED3">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0.1267</w:t>
                  </w:r>
                </w:p>
              </w:tc>
            </w:tr>
          </w:tbl>
          <w:p w14:paraId="390DB241">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eastAsia="宋体" w:cs="Times New Roman"/>
                <w:color w:val="auto"/>
                <w:sz w:val="24"/>
                <w:szCs w:val="24"/>
                <w:lang w:val="en-US" w:eastAsia="zh-CN"/>
              </w:rPr>
              <w:t>根据原辅料成分分析可知，项目喷漆、烘干</w:t>
            </w:r>
            <w:r>
              <w:rPr>
                <w:rFonts w:hint="eastAsia" w:ascii="Times New Roman" w:hAnsi="Times New Roman" w:eastAsia="宋体" w:cs="Times New Roman"/>
                <w:color w:val="auto"/>
                <w:sz w:val="24"/>
                <w:szCs w:val="24"/>
                <w:lang w:val="en-US" w:eastAsia="zh-CN"/>
              </w:rPr>
              <w:t>、加烤</w:t>
            </w:r>
            <w:r>
              <w:rPr>
                <w:rFonts w:hint="default" w:ascii="Times New Roman" w:hAnsi="Times New Roman" w:eastAsia="宋体" w:cs="Times New Roman"/>
                <w:color w:val="auto"/>
                <w:sz w:val="24"/>
                <w:szCs w:val="24"/>
                <w:lang w:val="en-US" w:eastAsia="zh-CN"/>
              </w:rPr>
              <w:t>工序产生的废气主要为颗粒物和非甲烷总烃。</w:t>
            </w:r>
            <w:r>
              <w:rPr>
                <w:rFonts w:hint="default" w:ascii="Times New Roman" w:hAnsi="Times New Roman" w:cs="Times New Roman"/>
                <w:color w:val="auto"/>
                <w:sz w:val="24"/>
              </w:rPr>
              <w:t>根据本项目</w:t>
            </w:r>
            <w:r>
              <w:rPr>
                <w:rFonts w:hint="default" w:ascii="Times New Roman" w:hAnsi="Times New Roman" w:eastAsia="宋体" w:cs="Times New Roman"/>
                <w:color w:val="auto"/>
                <w:sz w:val="24"/>
                <w:szCs w:val="24"/>
                <w:lang w:val="en-US" w:eastAsia="zh-CN"/>
              </w:rPr>
              <w:t>涂料中</w:t>
            </w:r>
            <w:r>
              <w:rPr>
                <w:rFonts w:hint="eastAsia" w:cs="Times New Roman"/>
                <w:color w:val="auto"/>
                <w:sz w:val="24"/>
                <w:szCs w:val="24"/>
                <w:lang w:val="en-US" w:eastAsia="zh-CN"/>
              </w:rPr>
              <w:t>漆雾及挥发</w:t>
            </w:r>
            <w:r>
              <w:rPr>
                <w:rFonts w:hint="default" w:ascii="Times New Roman" w:hAnsi="Times New Roman" w:eastAsia="宋体" w:cs="Times New Roman"/>
                <w:color w:val="auto"/>
                <w:sz w:val="24"/>
                <w:szCs w:val="24"/>
                <w:lang w:val="en-US" w:eastAsia="zh-CN"/>
              </w:rPr>
              <w:t>成分产生情况</w:t>
            </w:r>
            <w:r>
              <w:rPr>
                <w:rFonts w:hint="eastAsia" w:ascii="Times New Roman" w:hAnsi="Times New Roman" w:eastAsia="宋体" w:cs="Times New Roman"/>
                <w:color w:val="auto"/>
                <w:sz w:val="24"/>
                <w:szCs w:val="24"/>
                <w:lang w:val="en-US" w:eastAsia="zh-CN"/>
              </w:rPr>
              <w:t>表</w:t>
            </w:r>
            <w:r>
              <w:rPr>
                <w:rFonts w:hint="default" w:ascii="Times New Roman" w:hAnsi="Times New Roman" w:cs="Times New Roman"/>
                <w:color w:val="auto"/>
                <w:sz w:val="24"/>
              </w:rPr>
              <w:t>可知，项目喷漆、烘干、加烤废气工序漆雾产生量为</w:t>
            </w:r>
            <w:r>
              <w:rPr>
                <w:rFonts w:hint="eastAsia" w:cs="Times New Roman"/>
                <w:color w:val="auto"/>
                <w:sz w:val="24"/>
                <w:lang w:val="en-US" w:eastAsia="zh-CN"/>
              </w:rPr>
              <w:t>0.8499</w:t>
            </w:r>
            <w:r>
              <w:rPr>
                <w:rFonts w:hint="default" w:ascii="Times New Roman" w:hAnsi="Times New Roman" w:cs="Times New Roman"/>
                <w:color w:val="auto"/>
                <w:sz w:val="24"/>
              </w:rPr>
              <w:t>t/a，</w:t>
            </w:r>
            <w:r>
              <w:rPr>
                <w:rFonts w:hint="eastAsia" w:cs="Times New Roman"/>
                <w:color w:val="auto"/>
                <w:sz w:val="24"/>
                <w:lang w:val="en-US" w:eastAsia="zh-CN"/>
              </w:rPr>
              <w:t>排放速率0.2361kg/h，</w:t>
            </w:r>
            <w:r>
              <w:rPr>
                <w:rFonts w:hint="default" w:ascii="Times New Roman" w:hAnsi="Times New Roman" w:cs="Times New Roman"/>
                <w:color w:val="auto"/>
                <w:sz w:val="24"/>
              </w:rPr>
              <w:t>非甲烷总烃产生量为1.2664t/a</w:t>
            </w:r>
            <w:r>
              <w:rPr>
                <w:rFonts w:hint="eastAsia" w:cs="Times New Roman"/>
                <w:color w:val="auto"/>
                <w:sz w:val="24"/>
                <w:lang w:eastAsia="zh-CN"/>
              </w:rPr>
              <w:t>，</w:t>
            </w:r>
            <w:r>
              <w:rPr>
                <w:rFonts w:hint="eastAsia" w:cs="Times New Roman"/>
                <w:color w:val="auto"/>
                <w:sz w:val="24"/>
                <w:lang w:val="en-US" w:eastAsia="zh-CN"/>
              </w:rPr>
              <w:t>排放速率0.3518kg/h</w:t>
            </w:r>
            <w:r>
              <w:rPr>
                <w:rFonts w:hint="default" w:ascii="Times New Roman" w:hAnsi="Times New Roman" w:cs="Times New Roman"/>
                <w:color w:val="auto"/>
                <w:sz w:val="24"/>
              </w:rPr>
              <w:t>。</w:t>
            </w:r>
          </w:p>
          <w:p w14:paraId="5AD42BDC">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eastAsia" w:cs="Times New Roman"/>
                <w:color w:val="auto"/>
                <w:sz w:val="24"/>
                <w:lang w:val="en-US" w:eastAsia="zh-CN"/>
              </w:rPr>
              <w:t>本项目</w:t>
            </w:r>
            <w:r>
              <w:rPr>
                <w:rFonts w:hint="default" w:ascii="Times New Roman" w:hAnsi="Times New Roman" w:cs="Times New Roman"/>
                <w:color w:val="auto"/>
                <w:sz w:val="24"/>
              </w:rPr>
              <w:t>喷漆、烘干房及面包炉设备密闭，喷漆工序于操作台完成，配备水帘柜，水帘柜全密闭，烘干废气及加烤废气各自经密闭管道集气收集，与经水帘柜净化后的喷漆废气一起并入</w:t>
            </w:r>
            <w:r>
              <w:rPr>
                <w:rFonts w:hint="eastAsia" w:cs="Times New Roman"/>
                <w:color w:val="auto"/>
                <w:sz w:val="24"/>
                <w:lang w:eastAsia="zh-CN"/>
              </w:rPr>
              <w:t>“</w:t>
            </w:r>
            <w:r>
              <w:rPr>
                <w:rFonts w:hint="default" w:ascii="Times New Roman" w:hAnsi="Times New Roman" w:cs="Times New Roman"/>
                <w:color w:val="auto"/>
                <w:sz w:val="24"/>
              </w:rPr>
              <w:t>过滤棉+活性炭吸附装置</w:t>
            </w:r>
            <w:r>
              <w:rPr>
                <w:rFonts w:hint="eastAsia" w:cs="Times New Roman"/>
                <w:color w:val="auto"/>
                <w:sz w:val="24"/>
                <w:lang w:eastAsia="zh-CN"/>
              </w:rPr>
              <w:t>”</w:t>
            </w:r>
            <w:r>
              <w:rPr>
                <w:rFonts w:hint="default" w:ascii="Times New Roman" w:hAnsi="Times New Roman" w:cs="Times New Roman"/>
                <w:color w:val="auto"/>
                <w:sz w:val="24"/>
              </w:rPr>
              <w:t>处理达标后通过15m高排气筒（DA001、DA002</w:t>
            </w:r>
            <w:r>
              <w:rPr>
                <w:rFonts w:hint="eastAsia" w:cs="Times New Roman"/>
                <w:color w:val="auto"/>
                <w:sz w:val="24"/>
                <w:lang w:eastAsia="zh-CN"/>
              </w:rPr>
              <w:t>、</w:t>
            </w:r>
            <w:r>
              <w:rPr>
                <w:rFonts w:hint="eastAsia" w:cs="Times New Roman"/>
                <w:color w:val="auto"/>
                <w:sz w:val="24"/>
                <w:lang w:val="en-US" w:eastAsia="zh-CN"/>
              </w:rPr>
              <w:t>DA003</w:t>
            </w:r>
            <w:r>
              <w:rPr>
                <w:rFonts w:hint="default" w:ascii="Times New Roman" w:hAnsi="Times New Roman" w:cs="Times New Roman"/>
                <w:color w:val="auto"/>
                <w:sz w:val="24"/>
              </w:rPr>
              <w:t>）排放，每根排气筒配置一台20000m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/h风量风机，收集效率按90%计。</w:t>
            </w:r>
          </w:p>
          <w:p w14:paraId="5E8BE57A">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水帘柜对喷漆工序产生漆雾的处理效率参考</w:t>
            </w:r>
            <w:r>
              <w:rPr>
                <w:rFonts w:hint="eastAsia" w:cs="Times New Roman"/>
                <w:color w:val="auto"/>
                <w:sz w:val="24"/>
                <w:lang w:val="en-US" w:eastAsia="zh-CN"/>
              </w:rPr>
              <w:t>现有项目《福清市三合电子科技有限公司年加工铝合金20万套、塑胶件5万套、板金件5万套项目竣工验收监测报告表检测报告》（详见</w:t>
            </w:r>
            <w:r>
              <w:rPr>
                <w:rFonts w:hint="eastAsia" w:cs="Times New Roman"/>
                <w:color w:val="auto"/>
                <w:sz w:val="24"/>
                <w:lang w:val="en-US" w:eastAsia="zh-CN"/>
              </w:rPr>
              <w:fldChar w:fldCharType="begin"/>
            </w:r>
            <w:r>
              <w:rPr>
                <w:rFonts w:hint="eastAsia" w:cs="Times New Roman"/>
                <w:color w:val="auto"/>
                <w:sz w:val="24"/>
                <w:lang w:val="en-US" w:eastAsia="zh-CN"/>
              </w:rPr>
              <w:instrText xml:space="preserve"> REF _Ref24320 \h </w:instrText>
            </w:r>
            <w:r>
              <w:rPr>
                <w:rFonts w:hint="eastAsia" w:cs="Times New Roman"/>
                <w:color w:val="auto"/>
                <w:sz w:val="24"/>
                <w:lang w:val="en-US" w:eastAsia="zh-CN"/>
              </w:rPr>
              <w:fldChar w:fldCharType="separate"/>
            </w:r>
            <w:r>
              <w:rPr>
                <w:rFonts w:hint="eastAsia"/>
              </w:rPr>
              <w:t>附件 17</w:t>
            </w:r>
            <w:r>
              <w:rPr>
                <w:rFonts w:hint="eastAsia" w:cs="Times New Roman"/>
                <w:color w:val="auto"/>
                <w:sz w:val="24"/>
                <w:lang w:val="en-US" w:eastAsia="zh-CN"/>
              </w:rPr>
              <w:fldChar w:fldCharType="end"/>
            </w:r>
            <w:r>
              <w:rPr>
                <w:rFonts w:hint="eastAsia" w:cs="Times New Roman"/>
                <w:color w:val="auto"/>
                <w:sz w:val="24"/>
                <w:lang w:val="en-US" w:eastAsia="zh-CN"/>
              </w:rPr>
              <w:t>），</w:t>
            </w:r>
            <w:r>
              <w:rPr>
                <w:rFonts w:hint="eastAsia" w:ascii="Times New Roman" w:hAnsi="Times New Roman"/>
                <w:sz w:val="24"/>
                <w:szCs w:val="32"/>
                <w:vertAlign w:val="baseline"/>
                <w:lang w:val="en-US" w:eastAsia="zh-CN"/>
              </w:rPr>
              <w:t>颗粒物处理效率为74.52%，非甲烷总烃处理效率为69.66%</w:t>
            </w:r>
            <w:r>
              <w:rPr>
                <w:rFonts w:hint="default" w:ascii="Times New Roman" w:hAnsi="Times New Roman" w:cs="Times New Roman"/>
                <w:color w:val="auto"/>
                <w:sz w:val="24"/>
              </w:rPr>
              <w:t>。</w:t>
            </w:r>
          </w:p>
          <w:p w14:paraId="0A3F2991">
            <w:pPr>
              <w:pStyle w:val="26"/>
              <w:keepNext w:val="0"/>
              <w:keepLines w:val="0"/>
              <w:suppressLineNumbers w:val="0"/>
              <w:spacing w:before="0" w:beforeAutospacing="0" w:after="0" w:afterAutospacing="0"/>
              <w:ind w:left="0" w:right="0"/>
              <w:rPr>
                <w:rFonts w:hint="default" w:eastAsia="宋体"/>
                <w:vertAlign w:val="baseline"/>
                <w:lang w:val="en-US" w:eastAsia="zh-CN"/>
              </w:rPr>
            </w:pPr>
            <w:r>
              <w:rPr>
                <w:rFonts w:hint="eastAsia" w:cs="Times New Roman"/>
                <w:color w:val="auto"/>
                <w:sz w:val="24"/>
                <w:lang w:val="en-US" w:eastAsia="zh-CN"/>
              </w:rPr>
              <w:t>本项目</w:t>
            </w:r>
            <w:r>
              <w:rPr>
                <w:rFonts w:hint="default" w:ascii="Times New Roman" w:hAnsi="Times New Roman" w:eastAsia="宋体" w:cs="Times New Roman"/>
                <w:color w:val="auto"/>
                <w:sz w:val="24"/>
                <w:szCs w:val="24"/>
                <w:lang w:val="en-US" w:eastAsia="zh-CN"/>
              </w:rPr>
              <w:t>喷漆</w:t>
            </w:r>
            <w:r>
              <w:rPr>
                <w:rFonts w:hint="eastAsia" w:cs="Times New Roman"/>
                <w:color w:val="auto"/>
                <w:sz w:val="24"/>
                <w:szCs w:val="24"/>
                <w:lang w:val="en-US" w:eastAsia="zh-CN"/>
              </w:rPr>
              <w:t>、烘干及加烤</w:t>
            </w:r>
            <w:r>
              <w:rPr>
                <w:rFonts w:hint="default" w:ascii="Times New Roman" w:hAnsi="Times New Roman" w:eastAsia="宋体" w:cs="Times New Roman"/>
                <w:color w:val="auto"/>
                <w:sz w:val="24"/>
                <w:szCs w:val="24"/>
                <w:lang w:val="en-US" w:eastAsia="zh-CN"/>
              </w:rPr>
              <w:t>废气</w:t>
            </w:r>
            <w:r>
              <w:rPr>
                <w:rFonts w:hint="eastAsia" w:ascii="Times New Roman" w:hAnsi="Times New Roman" w:eastAsia="宋体" w:cs="Times New Roman"/>
                <w:color w:val="auto"/>
                <w:sz w:val="24"/>
                <w:szCs w:val="24"/>
                <w:lang w:val="en-US" w:eastAsia="zh-CN"/>
              </w:rPr>
              <w:t>的非甲烷总烃有组织收集量为</w:t>
            </w:r>
            <w:r>
              <w:rPr>
                <w:rFonts w:hint="eastAsia" w:cs="Times New Roman"/>
                <w:color w:val="auto"/>
                <w:sz w:val="24"/>
                <w:szCs w:val="24"/>
                <w:lang w:val="en-US" w:eastAsia="zh-CN"/>
              </w:rPr>
              <w:t>1.1397</w:t>
            </w:r>
            <w:r>
              <w:rPr>
                <w:rFonts w:hint="eastAsia" w:ascii="Times New Roman" w:hAnsi="Times New Roman" w:eastAsia="宋体" w:cs="Times New Roman"/>
                <w:color w:val="auto"/>
                <w:sz w:val="24"/>
                <w:szCs w:val="24"/>
                <w:lang w:val="en-US" w:eastAsia="zh-CN"/>
              </w:rPr>
              <w:t>t/a，无组织排放量</w:t>
            </w:r>
            <w:r>
              <w:rPr>
                <w:rFonts w:hint="eastAsia" w:cs="Times New Roman"/>
                <w:color w:val="auto"/>
                <w:sz w:val="24"/>
                <w:szCs w:val="24"/>
                <w:lang w:val="en-US" w:eastAsia="zh-CN"/>
              </w:rPr>
              <w:t>0.1267</w:t>
            </w:r>
            <w:r>
              <w:rPr>
                <w:rFonts w:hint="eastAsia" w:ascii="Times New Roman" w:hAnsi="Times New Roman" w:eastAsia="宋体" w:cs="Times New Roman"/>
                <w:color w:val="auto"/>
                <w:sz w:val="24"/>
                <w:szCs w:val="24"/>
                <w:lang w:val="en-US" w:eastAsia="zh-CN"/>
              </w:rPr>
              <w:t>t/a，</w:t>
            </w:r>
            <w:r>
              <w:rPr>
                <w:rFonts w:hint="eastAsia" w:cs="Times New Roman"/>
                <w:color w:val="auto"/>
                <w:sz w:val="24"/>
                <w:szCs w:val="24"/>
                <w:lang w:val="en-US" w:eastAsia="zh-CN"/>
              </w:rPr>
              <w:t>无组织</w:t>
            </w:r>
            <w:r>
              <w:rPr>
                <w:rFonts w:hint="eastAsia" w:ascii="Times New Roman" w:hAnsi="Times New Roman" w:eastAsia="宋体" w:cs="Times New Roman"/>
                <w:color w:val="auto"/>
                <w:sz w:val="24"/>
                <w:szCs w:val="24"/>
                <w:lang w:val="en-US" w:eastAsia="zh-CN"/>
              </w:rPr>
              <w:t>排放速率</w:t>
            </w:r>
            <w:r>
              <w:rPr>
                <w:rFonts w:hint="eastAsia" w:cs="Times New Roman"/>
                <w:color w:val="auto"/>
                <w:sz w:val="24"/>
                <w:szCs w:val="24"/>
                <w:lang w:val="en-US" w:eastAsia="zh-CN"/>
              </w:rPr>
              <w:t>0.0352kg/h</w:t>
            </w:r>
            <w:r>
              <w:rPr>
                <w:rFonts w:hint="eastAsia" w:ascii="Times New Roman" w:hAnsi="Times New Roman" w:eastAsia="宋体" w:cs="Times New Roman"/>
                <w:color w:val="auto"/>
                <w:sz w:val="24"/>
                <w:szCs w:val="24"/>
                <w:lang w:val="en-US" w:eastAsia="zh-CN"/>
              </w:rPr>
              <w:t>，处理后的有组织排放量为</w:t>
            </w:r>
            <w:r>
              <w:rPr>
                <w:rFonts w:hint="eastAsia" w:cs="Times New Roman"/>
                <w:color w:val="auto"/>
                <w:sz w:val="24"/>
                <w:szCs w:val="24"/>
                <w:lang w:val="en-US" w:eastAsia="zh-CN"/>
              </w:rPr>
              <w:t>0.3458</w:t>
            </w:r>
            <w:r>
              <w:rPr>
                <w:rFonts w:hint="eastAsia" w:ascii="Times New Roman" w:hAnsi="Times New Roman" w:eastAsia="宋体" w:cs="Times New Roman"/>
                <w:color w:val="auto"/>
                <w:sz w:val="24"/>
                <w:szCs w:val="24"/>
                <w:lang w:val="en-US" w:eastAsia="zh-CN"/>
              </w:rPr>
              <w:t>t/a，</w:t>
            </w:r>
            <w:r>
              <w:rPr>
                <w:rFonts w:hint="eastAsia" w:cs="Times New Roman"/>
                <w:color w:val="auto"/>
                <w:sz w:val="24"/>
                <w:szCs w:val="24"/>
                <w:lang w:val="en-US" w:eastAsia="zh-CN"/>
              </w:rPr>
              <w:t>有组织</w:t>
            </w:r>
            <w:r>
              <w:rPr>
                <w:rFonts w:hint="eastAsia" w:ascii="Times New Roman" w:hAnsi="Times New Roman" w:eastAsia="宋体" w:cs="Times New Roman"/>
                <w:color w:val="auto"/>
                <w:sz w:val="24"/>
                <w:szCs w:val="24"/>
                <w:lang w:val="en-US" w:eastAsia="zh-CN"/>
              </w:rPr>
              <w:t>排放速率</w:t>
            </w:r>
            <w:r>
              <w:rPr>
                <w:rFonts w:hint="eastAsia" w:cs="Times New Roman"/>
                <w:color w:val="auto"/>
                <w:sz w:val="24"/>
                <w:szCs w:val="24"/>
                <w:lang w:val="en-US" w:eastAsia="zh-CN"/>
              </w:rPr>
              <w:t>0.0961</w:t>
            </w:r>
            <w:r>
              <w:rPr>
                <w:rFonts w:hint="eastAsia" w:ascii="Times New Roman" w:hAnsi="Times New Roman" w:eastAsia="宋体" w:cs="Times New Roman"/>
                <w:color w:val="auto"/>
                <w:sz w:val="24"/>
                <w:szCs w:val="24"/>
                <w:lang w:val="en-US" w:eastAsia="zh-CN"/>
              </w:rPr>
              <w:t>kg/h，排放浓度</w:t>
            </w:r>
            <w:r>
              <w:rPr>
                <w:rFonts w:hint="eastAsia" w:cs="Times New Roman"/>
                <w:color w:val="auto"/>
                <w:sz w:val="24"/>
                <w:szCs w:val="24"/>
                <w:lang w:val="en-US" w:eastAsia="zh-CN"/>
              </w:rPr>
              <w:t>4.8028</w:t>
            </w:r>
            <w:r>
              <w:rPr>
                <w:rFonts w:hint="eastAsia" w:ascii="Times New Roman" w:hAnsi="Times New Roman" w:eastAsia="宋体" w:cs="Times New Roman"/>
                <w:color w:val="auto"/>
                <w:sz w:val="24"/>
                <w:szCs w:val="24"/>
                <w:lang w:val="en-US" w:eastAsia="zh-CN"/>
              </w:rPr>
              <w:t>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；漆雾（颗粒物）有组织收集量0.776t/a，无组织排放量</w:t>
            </w:r>
            <w:r>
              <w:rPr>
                <w:rFonts w:hint="eastAsia" w:cs="Times New Roman"/>
                <w:color w:val="auto"/>
                <w:sz w:val="24"/>
                <w:szCs w:val="24"/>
                <w:vertAlign w:val="baseline"/>
                <w:lang w:val="en-US" w:eastAsia="zh-CN"/>
              </w:rPr>
              <w:t>0.085</w:t>
            </w:r>
            <w:r>
              <w:rPr>
                <w:rFonts w:hint="eastAsia" w:ascii="Times New Roman" w:hAnsi="Times New Roman" w:eastAsia="宋体" w:cs="Times New Roman"/>
                <w:color w:val="auto"/>
                <w:sz w:val="24"/>
                <w:szCs w:val="24"/>
                <w:vertAlign w:val="baseline"/>
                <w:lang w:val="en-US" w:eastAsia="zh-CN"/>
              </w:rPr>
              <w:t>t/a，</w:t>
            </w:r>
            <w:r>
              <w:rPr>
                <w:rFonts w:hint="eastAsia" w:cs="Times New Roman"/>
                <w:color w:val="auto"/>
                <w:sz w:val="24"/>
                <w:szCs w:val="24"/>
                <w:vertAlign w:val="baseline"/>
                <w:lang w:val="en-US" w:eastAsia="zh-CN"/>
              </w:rPr>
              <w:t>无组织</w:t>
            </w:r>
            <w:r>
              <w:rPr>
                <w:rFonts w:hint="eastAsia" w:ascii="Times New Roman" w:hAnsi="Times New Roman" w:eastAsia="宋体" w:cs="Times New Roman"/>
                <w:color w:val="auto"/>
                <w:sz w:val="24"/>
                <w:szCs w:val="24"/>
                <w:vertAlign w:val="baseline"/>
                <w:lang w:val="en-US" w:eastAsia="zh-CN"/>
              </w:rPr>
              <w:t>排放速率</w:t>
            </w:r>
            <w:r>
              <w:rPr>
                <w:rFonts w:hint="eastAsia" w:cs="Times New Roman"/>
                <w:color w:val="auto"/>
                <w:sz w:val="24"/>
                <w:szCs w:val="24"/>
                <w:vertAlign w:val="baseline"/>
                <w:lang w:val="en-US" w:eastAsia="zh-CN"/>
              </w:rPr>
              <w:t>0.0236</w:t>
            </w:r>
            <w:r>
              <w:rPr>
                <w:rFonts w:hint="eastAsia" w:ascii="Times New Roman" w:hAnsi="Times New Roman" w:eastAsia="宋体" w:cs="Times New Roman"/>
                <w:color w:val="auto"/>
                <w:sz w:val="24"/>
                <w:szCs w:val="24"/>
                <w:lang w:val="en-US" w:eastAsia="zh-CN"/>
              </w:rPr>
              <w:t>kg/h</w:t>
            </w:r>
            <w:r>
              <w:rPr>
                <w:rFonts w:hint="eastAsia" w:ascii="Times New Roman" w:hAnsi="Times New Roman" w:eastAsia="宋体" w:cs="Times New Roman"/>
                <w:color w:val="auto"/>
                <w:sz w:val="24"/>
                <w:szCs w:val="24"/>
                <w:vertAlign w:val="baseline"/>
                <w:lang w:val="en-US" w:eastAsia="zh-CN"/>
              </w:rPr>
              <w:t>，处理后的有组织排放量为</w:t>
            </w:r>
            <w:r>
              <w:rPr>
                <w:rFonts w:hint="eastAsia" w:cs="Times New Roman"/>
                <w:color w:val="auto"/>
                <w:sz w:val="24"/>
                <w:szCs w:val="24"/>
                <w:vertAlign w:val="baseline"/>
                <w:lang w:val="en-US" w:eastAsia="zh-CN"/>
              </w:rPr>
              <w:t>0.1949</w:t>
            </w:r>
            <w:r>
              <w:rPr>
                <w:rFonts w:hint="eastAsia" w:ascii="Times New Roman" w:hAnsi="Times New Roman" w:eastAsia="宋体" w:cs="Times New Roman"/>
                <w:color w:val="auto"/>
                <w:sz w:val="24"/>
                <w:szCs w:val="24"/>
                <w:vertAlign w:val="baseline"/>
                <w:lang w:val="en-US" w:eastAsia="zh-CN"/>
              </w:rPr>
              <w:t>t/a，排放速率为</w:t>
            </w:r>
            <w:r>
              <w:rPr>
                <w:rFonts w:hint="eastAsia" w:cs="Times New Roman"/>
                <w:color w:val="auto"/>
                <w:sz w:val="24"/>
                <w:szCs w:val="24"/>
                <w:vertAlign w:val="baseline"/>
                <w:lang w:val="en-US" w:eastAsia="zh-CN"/>
              </w:rPr>
              <w:t>0.0541</w:t>
            </w:r>
            <w:r>
              <w:rPr>
                <w:rFonts w:hint="eastAsia" w:ascii="Times New Roman" w:hAnsi="Times New Roman" w:eastAsia="宋体" w:cs="Times New Roman"/>
                <w:color w:val="auto"/>
                <w:sz w:val="24"/>
                <w:szCs w:val="24"/>
                <w:vertAlign w:val="baseline"/>
                <w:lang w:val="en-US" w:eastAsia="zh-CN"/>
              </w:rPr>
              <w:t>kg/h，排放浓度</w:t>
            </w:r>
            <w:r>
              <w:rPr>
                <w:rFonts w:hint="eastAsia" w:cs="Times New Roman"/>
                <w:color w:val="auto"/>
                <w:sz w:val="24"/>
                <w:szCs w:val="24"/>
                <w:vertAlign w:val="baseline"/>
                <w:lang w:val="en-US" w:eastAsia="zh-CN"/>
              </w:rPr>
              <w:t>2.7069</w:t>
            </w:r>
            <w:r>
              <w:rPr>
                <w:rFonts w:hint="eastAsia" w:ascii="Times New Roman" w:hAnsi="Times New Roman" w:eastAsia="宋体" w:cs="Times New Roman"/>
                <w:color w:val="auto"/>
                <w:sz w:val="24"/>
                <w:szCs w:val="24"/>
                <w:vertAlign w:val="baseline"/>
                <w:lang w:val="en-US" w:eastAsia="zh-CN"/>
              </w:rPr>
              <w:t>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w:t>
            </w:r>
          </w:p>
          <w:p w14:paraId="127644AB">
            <w:pPr>
              <w:pStyle w:val="15"/>
              <w:keepNext w:val="0"/>
              <w:keepLines w:val="0"/>
              <w:suppressLineNumbers w:val="0"/>
              <w:bidi w:val="0"/>
              <w:spacing w:before="0" w:beforeAutospacing="0" w:after="0" w:afterAutospacing="0"/>
              <w:ind w:left="0" w:right="0"/>
              <w:rPr>
                <w:rFonts w:hint="eastAsia" w:eastAsia="宋体"/>
                <w:color w:val="auto"/>
                <w:szCs w:val="22"/>
                <w:lang w:eastAsia="zh-CN"/>
              </w:rPr>
            </w:pPr>
            <w:r>
              <w:rPr>
                <w:rFonts w:hint="eastAsia"/>
                <w:lang w:eastAsia="zh-CN"/>
              </w:rPr>
              <w:drawing>
                <wp:inline distT="0" distB="0" distL="114300" distR="114300">
                  <wp:extent cx="4961890" cy="1824355"/>
                  <wp:effectExtent l="0" t="0" r="10160" b="4445"/>
                  <wp:docPr id="208" name="F360BE8B-6686-4F3D-AEAF-501FE73E4058-3" descr="C:/Users/Administrator/AppData/Local/Temp/绘图1(8).png绘图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F360BE8B-6686-4F3D-AEAF-501FE73E4058-3" descr="C:/Users/Administrator/AppData/Local/Temp/绘图1(8).png绘图1(8)"/>
                          <pic:cNvPicPr>
                            <a:picLocks noChangeAspect="1"/>
                          </pic:cNvPicPr>
                        </pic:nvPicPr>
                        <pic:blipFill>
                          <a:blip r:embed="rId29"/>
                          <a:stretch>
                            <a:fillRect/>
                          </a:stretch>
                        </pic:blipFill>
                        <pic:spPr>
                          <a:xfrm>
                            <a:off x="0" y="0"/>
                            <a:ext cx="4961890" cy="1824355"/>
                          </a:xfrm>
                          <a:prstGeom prst="rect">
                            <a:avLst/>
                          </a:prstGeom>
                        </pic:spPr>
                      </pic:pic>
                    </a:graphicData>
                  </a:graphic>
                </wp:inline>
              </w:drawing>
            </w:r>
          </w:p>
          <w:p w14:paraId="6C8DE8E3">
            <w:pPr>
              <w:pStyle w:val="39"/>
              <w:keepNext w:val="0"/>
              <w:keepLines w:val="0"/>
              <w:suppressLineNumbers w:val="0"/>
              <w:bidi w:val="0"/>
              <w:spacing w:before="0" w:beforeAutospacing="0" w:after="0" w:afterAutospacing="0"/>
              <w:ind w:left="0" w:right="0"/>
              <w:rPr>
                <w:rFonts w:hint="eastAsia"/>
              </w:rPr>
            </w:pPr>
            <w:r>
              <w:rPr>
                <w:rFonts w:hint="eastAsia"/>
              </w:rPr>
              <w:t>图</w:t>
            </w:r>
            <w:r>
              <w:rPr>
                <w:rFonts w:hint="eastAsia"/>
                <w:lang w:val="en-US" w:eastAsia="zh-CN"/>
              </w:rPr>
              <w:t>4.2-1</w:t>
            </w:r>
            <w:r>
              <w:rPr>
                <w:rFonts w:hint="eastAsia"/>
              </w:rPr>
              <w:t xml:space="preserve"> </w:t>
            </w:r>
            <w:r>
              <w:rPr>
                <w:rFonts w:hint="eastAsia"/>
                <w:lang w:eastAsia="zh-CN"/>
              </w:rPr>
              <w:t>废气漆料</w:t>
            </w:r>
            <w:r>
              <w:rPr>
                <w:rFonts w:hint="eastAsia"/>
              </w:rPr>
              <w:t>平衡图</w:t>
            </w:r>
          </w:p>
          <w:p w14:paraId="6150995B">
            <w:pPr>
              <w:pStyle w:val="39"/>
              <w:keepNext w:val="0"/>
              <w:keepLines w:val="0"/>
              <w:suppressLineNumbers w:val="0"/>
              <w:bidi w:val="0"/>
              <w:spacing w:before="0" w:beforeAutospacing="0" w:after="0" w:afterAutospacing="0"/>
              <w:ind w:left="0" w:right="0"/>
              <w:rPr>
                <w:rFonts w:hint="eastAsia"/>
              </w:rPr>
            </w:pPr>
            <w:r>
              <w:rPr>
                <w:rFonts w:hint="eastAsia" w:cs="Times New Roman"/>
                <w:b/>
                <w:bCs/>
                <w:color w:val="auto"/>
                <w:sz w:val="24"/>
                <w:szCs w:val="24"/>
                <w:highlight w:val="none"/>
                <w:lang w:val="en-US" w:eastAsia="zh-CN"/>
              </w:rPr>
              <w:t xml:space="preserve">表4.2-2 </w:t>
            </w:r>
            <w:r>
              <w:rPr>
                <w:rFonts w:hint="eastAsia" w:ascii="Times New Roman" w:hAnsi="Times New Roman" w:eastAsia="宋体" w:cs="Times New Roman"/>
                <w:b/>
                <w:bCs/>
                <w:color w:val="auto"/>
                <w:sz w:val="24"/>
                <w:szCs w:val="24"/>
                <w:highlight w:val="none"/>
                <w:lang w:val="en-US" w:eastAsia="zh-CN"/>
              </w:rPr>
              <w:t>项目</w:t>
            </w:r>
            <w:r>
              <w:rPr>
                <w:rFonts w:hint="default" w:ascii="Times New Roman" w:hAnsi="Times New Roman" w:eastAsia="宋体" w:cs="Times New Roman"/>
                <w:b/>
                <w:bCs/>
                <w:color w:val="auto"/>
                <w:sz w:val="24"/>
                <w:szCs w:val="24"/>
                <w:highlight w:val="none"/>
                <w:lang w:val="en-US" w:eastAsia="zh-CN"/>
              </w:rPr>
              <w:t>废气污染源源强核算结果及相关参数一览表</w:t>
            </w:r>
          </w:p>
          <w:tbl>
            <w:tblPr>
              <w:tblStyle w:val="29"/>
              <w:tblW w:w="0" w:type="auto"/>
              <w:tblInd w:w="5"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471"/>
              <w:gridCol w:w="472"/>
              <w:gridCol w:w="344"/>
              <w:gridCol w:w="568"/>
              <w:gridCol w:w="568"/>
              <w:gridCol w:w="542"/>
              <w:gridCol w:w="641"/>
              <w:gridCol w:w="568"/>
              <w:gridCol w:w="472"/>
              <w:gridCol w:w="450"/>
              <w:gridCol w:w="611"/>
              <w:gridCol w:w="641"/>
              <w:gridCol w:w="568"/>
              <w:gridCol w:w="568"/>
              <w:gridCol w:w="1047"/>
            </w:tblGrid>
            <w:tr w14:paraId="2FACC444">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55" w:hRule="atLeast"/>
              </w:trPr>
              <w:tc>
                <w:tcPr>
                  <w:tcW w:w="471" w:type="dxa"/>
                  <w:vMerge w:val="restart"/>
                  <w:tcBorders>
                    <w:top w:val="single" w:color="000000" w:sz="12" w:space="0"/>
                    <w:left w:val="nil"/>
                    <w:tl2br w:val="nil"/>
                  </w:tcBorders>
                  <w:shd w:val="clear" w:color="auto" w:fill="auto"/>
                  <w:vAlign w:val="center"/>
                </w:tcPr>
                <w:p w14:paraId="53F4DE60">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污染物来源</w:t>
                  </w:r>
                </w:p>
              </w:tc>
              <w:tc>
                <w:tcPr>
                  <w:tcW w:w="816" w:type="dxa"/>
                  <w:gridSpan w:val="2"/>
                  <w:vMerge w:val="restart"/>
                  <w:tcBorders>
                    <w:top w:val="single" w:color="000000" w:sz="12" w:space="0"/>
                  </w:tcBorders>
                  <w:shd w:val="clear" w:color="auto" w:fill="auto"/>
                  <w:vAlign w:val="center"/>
                </w:tcPr>
                <w:p w14:paraId="4689E0C2">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污染物</w:t>
                  </w:r>
                </w:p>
              </w:tc>
              <w:tc>
                <w:tcPr>
                  <w:tcW w:w="568" w:type="dxa"/>
                  <w:vMerge w:val="restart"/>
                  <w:tcBorders>
                    <w:top w:val="single" w:color="000000" w:sz="12" w:space="0"/>
                  </w:tcBorders>
                  <w:shd w:val="clear" w:color="auto" w:fill="auto"/>
                  <w:vAlign w:val="center"/>
                </w:tcPr>
                <w:p w14:paraId="348B8A4F">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产生量</w:t>
                  </w:r>
                  <w:r>
                    <w:rPr>
                      <w:rFonts w:hint="default"/>
                      <w:b w:val="0"/>
                      <w:color w:val="000000"/>
                      <w:szCs w:val="22"/>
                      <w:lang w:val="en-US" w:eastAsia="zh-CN"/>
                    </w:rPr>
                    <w:t>t/a</w:t>
                  </w:r>
                </w:p>
              </w:tc>
              <w:tc>
                <w:tcPr>
                  <w:tcW w:w="568" w:type="dxa"/>
                  <w:vMerge w:val="restart"/>
                  <w:tcBorders>
                    <w:top w:val="single" w:color="000000" w:sz="12" w:space="0"/>
                  </w:tcBorders>
                  <w:shd w:val="clear" w:color="auto" w:fill="auto"/>
                  <w:vAlign w:val="center"/>
                </w:tcPr>
                <w:p w14:paraId="45E13B1F">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排放速率（</w:t>
                  </w:r>
                  <w:r>
                    <w:rPr>
                      <w:rFonts w:hint="default"/>
                      <w:b w:val="0"/>
                      <w:color w:val="000000"/>
                      <w:szCs w:val="22"/>
                      <w:lang w:val="en-US" w:eastAsia="zh-CN"/>
                    </w:rPr>
                    <w:t>kg/h</w:t>
                  </w:r>
                  <w:r>
                    <w:rPr>
                      <w:rFonts w:hint="eastAsia"/>
                      <w:b w:val="0"/>
                      <w:color w:val="000000"/>
                      <w:szCs w:val="22"/>
                      <w:lang w:val="en-US" w:eastAsia="zh-CN"/>
                    </w:rPr>
                    <w:t>）</w:t>
                  </w:r>
                </w:p>
              </w:tc>
              <w:tc>
                <w:tcPr>
                  <w:tcW w:w="1751" w:type="dxa"/>
                  <w:gridSpan w:val="3"/>
                  <w:tcBorders>
                    <w:top w:val="single" w:color="000000" w:sz="12" w:space="0"/>
                  </w:tcBorders>
                  <w:shd w:val="clear" w:color="auto" w:fill="auto"/>
                  <w:vAlign w:val="center"/>
                </w:tcPr>
                <w:p w14:paraId="18E960D1">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产生源强</w:t>
                  </w:r>
                </w:p>
              </w:tc>
              <w:tc>
                <w:tcPr>
                  <w:tcW w:w="1533" w:type="dxa"/>
                  <w:gridSpan w:val="3"/>
                  <w:tcBorders>
                    <w:top w:val="single" w:color="000000" w:sz="12" w:space="0"/>
                  </w:tcBorders>
                  <w:shd w:val="clear" w:color="auto" w:fill="auto"/>
                  <w:vAlign w:val="center"/>
                </w:tcPr>
                <w:p w14:paraId="6BAAA8D3">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治理措施</w:t>
                  </w:r>
                </w:p>
              </w:tc>
              <w:tc>
                <w:tcPr>
                  <w:tcW w:w="1777" w:type="dxa"/>
                  <w:gridSpan w:val="3"/>
                  <w:tcBorders>
                    <w:top w:val="single" w:color="000000" w:sz="12" w:space="0"/>
                  </w:tcBorders>
                  <w:shd w:val="clear" w:color="auto" w:fill="auto"/>
                  <w:vAlign w:val="center"/>
                </w:tcPr>
                <w:p w14:paraId="16EDE55C">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排放源强</w:t>
                  </w:r>
                </w:p>
              </w:tc>
              <w:tc>
                <w:tcPr>
                  <w:tcW w:w="1047" w:type="dxa"/>
                  <w:vMerge w:val="restart"/>
                  <w:tcBorders>
                    <w:top w:val="single" w:color="000000" w:sz="12" w:space="0"/>
                    <w:right w:val="nil"/>
                  </w:tcBorders>
                  <w:shd w:val="clear" w:color="auto" w:fill="auto"/>
                  <w:noWrap/>
                  <w:vAlign w:val="center"/>
                </w:tcPr>
                <w:p w14:paraId="2C21E0EB">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排放时间（</w:t>
                  </w:r>
                  <w:r>
                    <w:rPr>
                      <w:rFonts w:hint="default"/>
                      <w:b w:val="0"/>
                      <w:color w:val="000000"/>
                      <w:szCs w:val="22"/>
                      <w:lang w:val="en-US" w:eastAsia="zh-CN"/>
                    </w:rPr>
                    <w:t>h</w:t>
                  </w:r>
                  <w:r>
                    <w:rPr>
                      <w:rFonts w:hint="eastAsia"/>
                      <w:b w:val="0"/>
                      <w:color w:val="000000"/>
                      <w:szCs w:val="22"/>
                      <w:lang w:val="en-US" w:eastAsia="zh-CN"/>
                    </w:rPr>
                    <w:t>）</w:t>
                  </w:r>
                </w:p>
              </w:tc>
            </w:tr>
            <w:tr w14:paraId="3A85A2BE">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85" w:hRule="atLeast"/>
              </w:trPr>
              <w:tc>
                <w:tcPr>
                  <w:tcW w:w="471" w:type="dxa"/>
                  <w:vMerge w:val="continue"/>
                  <w:tcBorders>
                    <w:left w:val="nil"/>
                  </w:tcBorders>
                  <w:shd w:val="clear" w:color="auto" w:fill="auto"/>
                  <w:vAlign w:val="center"/>
                </w:tcPr>
                <w:p w14:paraId="3D4E2D24">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816" w:type="dxa"/>
                  <w:gridSpan w:val="2"/>
                  <w:vMerge w:val="continue"/>
                  <w:shd w:val="clear" w:color="auto" w:fill="auto"/>
                  <w:vAlign w:val="center"/>
                </w:tcPr>
                <w:p w14:paraId="6AC0506E">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568" w:type="dxa"/>
                  <w:vMerge w:val="continue"/>
                  <w:shd w:val="clear" w:color="auto" w:fill="auto"/>
                  <w:vAlign w:val="center"/>
                </w:tcPr>
                <w:p w14:paraId="2A0D951D">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568" w:type="dxa"/>
                  <w:vMerge w:val="continue"/>
                  <w:shd w:val="clear" w:color="auto" w:fill="auto"/>
                  <w:vAlign w:val="center"/>
                </w:tcPr>
                <w:p w14:paraId="07EEB323">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542" w:type="dxa"/>
                  <w:shd w:val="clear" w:color="auto" w:fill="auto"/>
                  <w:vAlign w:val="center"/>
                </w:tcPr>
                <w:p w14:paraId="184B5EE9">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废气量（</w:t>
                  </w:r>
                  <w:r>
                    <w:rPr>
                      <w:rFonts w:hint="default"/>
                      <w:b w:val="0"/>
                      <w:color w:val="000000"/>
                      <w:szCs w:val="22"/>
                      <w:lang w:val="en-US" w:eastAsia="zh-CN"/>
                    </w:rPr>
                    <w:t>m</w:t>
                  </w:r>
                  <w:r>
                    <w:rPr>
                      <w:rFonts w:hint="default"/>
                      <w:b w:val="0"/>
                      <w:color w:val="000000"/>
                      <w:szCs w:val="22"/>
                      <w:vertAlign w:val="superscript"/>
                      <w:lang w:val="en-US" w:eastAsia="zh-CN"/>
                    </w:rPr>
                    <w:t>3</w:t>
                  </w:r>
                  <w:r>
                    <w:rPr>
                      <w:rFonts w:hint="default"/>
                      <w:b w:val="0"/>
                      <w:color w:val="000000"/>
                      <w:szCs w:val="22"/>
                      <w:lang w:val="en-US" w:eastAsia="zh-CN"/>
                    </w:rPr>
                    <w:t>/h</w:t>
                  </w:r>
                  <w:r>
                    <w:rPr>
                      <w:rFonts w:hint="eastAsia"/>
                      <w:b w:val="0"/>
                      <w:color w:val="000000"/>
                      <w:szCs w:val="22"/>
                      <w:lang w:val="en-US" w:eastAsia="zh-CN"/>
                    </w:rPr>
                    <w:t>）</w:t>
                  </w:r>
                </w:p>
              </w:tc>
              <w:tc>
                <w:tcPr>
                  <w:tcW w:w="641" w:type="dxa"/>
                  <w:shd w:val="clear" w:color="auto" w:fill="auto"/>
                  <w:vAlign w:val="center"/>
                </w:tcPr>
                <w:p w14:paraId="3CE3BD91">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浓度（</w:t>
                  </w:r>
                  <w:r>
                    <w:rPr>
                      <w:rFonts w:hint="default"/>
                      <w:b w:val="0"/>
                      <w:color w:val="000000"/>
                      <w:szCs w:val="22"/>
                      <w:lang w:val="en-US" w:eastAsia="zh-CN"/>
                    </w:rPr>
                    <w:t>mg/m</w:t>
                  </w:r>
                  <w:r>
                    <w:rPr>
                      <w:rFonts w:hint="default"/>
                      <w:b w:val="0"/>
                      <w:color w:val="000000"/>
                      <w:szCs w:val="22"/>
                      <w:vertAlign w:val="superscript"/>
                      <w:lang w:val="en-US" w:eastAsia="zh-CN"/>
                    </w:rPr>
                    <w:t>3</w:t>
                  </w:r>
                  <w:r>
                    <w:rPr>
                      <w:rFonts w:hint="eastAsia"/>
                      <w:b w:val="0"/>
                      <w:color w:val="000000"/>
                      <w:szCs w:val="22"/>
                      <w:lang w:val="en-US" w:eastAsia="zh-CN"/>
                    </w:rPr>
                    <w:t>）</w:t>
                  </w:r>
                </w:p>
              </w:tc>
              <w:tc>
                <w:tcPr>
                  <w:tcW w:w="568" w:type="dxa"/>
                  <w:shd w:val="clear" w:color="auto" w:fill="auto"/>
                  <w:vAlign w:val="center"/>
                </w:tcPr>
                <w:p w14:paraId="6389506F">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产生量（</w:t>
                  </w:r>
                  <w:r>
                    <w:rPr>
                      <w:rFonts w:hint="default"/>
                      <w:b w:val="0"/>
                      <w:color w:val="000000"/>
                      <w:szCs w:val="22"/>
                      <w:lang w:val="en-US" w:eastAsia="zh-CN"/>
                    </w:rPr>
                    <w:t>t/a</w:t>
                  </w:r>
                  <w:r>
                    <w:rPr>
                      <w:rFonts w:hint="eastAsia"/>
                      <w:b w:val="0"/>
                      <w:color w:val="000000"/>
                      <w:szCs w:val="22"/>
                      <w:lang w:val="en-US" w:eastAsia="zh-CN"/>
                    </w:rPr>
                    <w:t>）</w:t>
                  </w:r>
                </w:p>
              </w:tc>
              <w:tc>
                <w:tcPr>
                  <w:tcW w:w="472" w:type="dxa"/>
                  <w:shd w:val="clear" w:color="auto" w:fill="auto"/>
                  <w:vAlign w:val="center"/>
                </w:tcPr>
                <w:p w14:paraId="06A897E9">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工艺</w:t>
                  </w:r>
                </w:p>
              </w:tc>
              <w:tc>
                <w:tcPr>
                  <w:tcW w:w="450" w:type="dxa"/>
                  <w:shd w:val="clear" w:color="auto" w:fill="auto"/>
                  <w:vAlign w:val="center"/>
                </w:tcPr>
                <w:p w14:paraId="3314C0EE">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收集效率</w:t>
                  </w:r>
                </w:p>
              </w:tc>
              <w:tc>
                <w:tcPr>
                  <w:tcW w:w="611" w:type="dxa"/>
                  <w:shd w:val="clear" w:color="auto" w:fill="auto"/>
                  <w:vAlign w:val="center"/>
                </w:tcPr>
                <w:p w14:paraId="1C463136">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工艺去除率</w:t>
                  </w:r>
                </w:p>
              </w:tc>
              <w:tc>
                <w:tcPr>
                  <w:tcW w:w="641" w:type="dxa"/>
                  <w:shd w:val="clear" w:color="auto" w:fill="auto"/>
                  <w:vAlign w:val="center"/>
                </w:tcPr>
                <w:p w14:paraId="1B1F0AEC">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排放浓度（</w:t>
                  </w:r>
                  <w:r>
                    <w:rPr>
                      <w:rFonts w:hint="default"/>
                      <w:b w:val="0"/>
                      <w:color w:val="000000"/>
                      <w:szCs w:val="22"/>
                      <w:lang w:val="en-US" w:eastAsia="zh-CN"/>
                    </w:rPr>
                    <w:t>mg/m</w:t>
                  </w:r>
                  <w:r>
                    <w:rPr>
                      <w:rFonts w:hint="default"/>
                      <w:b w:val="0"/>
                      <w:color w:val="000000"/>
                      <w:szCs w:val="22"/>
                      <w:vertAlign w:val="superscript"/>
                      <w:lang w:val="en-US" w:eastAsia="zh-CN"/>
                    </w:rPr>
                    <w:t>3</w:t>
                  </w:r>
                  <w:r>
                    <w:rPr>
                      <w:rFonts w:hint="eastAsia"/>
                      <w:b w:val="0"/>
                      <w:color w:val="000000"/>
                      <w:szCs w:val="22"/>
                      <w:lang w:val="en-US" w:eastAsia="zh-CN"/>
                    </w:rPr>
                    <w:t>）</w:t>
                  </w:r>
                </w:p>
              </w:tc>
              <w:tc>
                <w:tcPr>
                  <w:tcW w:w="568" w:type="dxa"/>
                  <w:shd w:val="clear" w:color="auto" w:fill="auto"/>
                  <w:vAlign w:val="center"/>
                </w:tcPr>
                <w:p w14:paraId="2C2B2E7F">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排放速率（</w:t>
                  </w:r>
                  <w:r>
                    <w:rPr>
                      <w:rFonts w:hint="default"/>
                      <w:b w:val="0"/>
                      <w:color w:val="000000"/>
                      <w:szCs w:val="22"/>
                      <w:lang w:val="en-US" w:eastAsia="zh-CN"/>
                    </w:rPr>
                    <w:t>kg/h</w:t>
                  </w:r>
                  <w:r>
                    <w:rPr>
                      <w:rFonts w:hint="eastAsia"/>
                      <w:b w:val="0"/>
                      <w:color w:val="000000"/>
                      <w:szCs w:val="22"/>
                      <w:lang w:val="en-US" w:eastAsia="zh-CN"/>
                    </w:rPr>
                    <w:t>）</w:t>
                  </w:r>
                </w:p>
              </w:tc>
              <w:tc>
                <w:tcPr>
                  <w:tcW w:w="568" w:type="dxa"/>
                  <w:shd w:val="clear" w:color="auto" w:fill="auto"/>
                  <w:vAlign w:val="center"/>
                </w:tcPr>
                <w:p w14:paraId="310DA765">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排放量（</w:t>
                  </w:r>
                  <w:r>
                    <w:rPr>
                      <w:rFonts w:hint="default"/>
                      <w:b w:val="0"/>
                      <w:color w:val="000000"/>
                      <w:szCs w:val="22"/>
                      <w:lang w:val="en-US" w:eastAsia="zh-CN"/>
                    </w:rPr>
                    <w:t>t/a</w:t>
                  </w:r>
                  <w:r>
                    <w:rPr>
                      <w:rFonts w:hint="eastAsia"/>
                      <w:b w:val="0"/>
                      <w:color w:val="000000"/>
                      <w:szCs w:val="22"/>
                      <w:lang w:val="en-US" w:eastAsia="zh-CN"/>
                    </w:rPr>
                    <w:t>）</w:t>
                  </w:r>
                </w:p>
              </w:tc>
              <w:tc>
                <w:tcPr>
                  <w:tcW w:w="1047" w:type="dxa"/>
                  <w:vMerge w:val="continue"/>
                  <w:tcBorders>
                    <w:right w:val="nil"/>
                  </w:tcBorders>
                  <w:shd w:val="clear" w:color="auto" w:fill="auto"/>
                  <w:noWrap/>
                  <w:vAlign w:val="center"/>
                </w:tcPr>
                <w:p w14:paraId="31863C54">
                  <w:pPr>
                    <w:pStyle w:val="38"/>
                    <w:keepNext w:val="0"/>
                    <w:keepLines w:val="0"/>
                    <w:widowControl/>
                    <w:suppressLineNumbers w:val="0"/>
                    <w:bidi w:val="0"/>
                    <w:spacing w:before="0" w:beforeAutospacing="0" w:after="0" w:afterAutospacing="0"/>
                    <w:ind w:left="0" w:right="0"/>
                    <w:rPr>
                      <w:rFonts w:hint="eastAsia"/>
                      <w:b w:val="0"/>
                      <w:color w:val="000000"/>
                      <w:szCs w:val="22"/>
                    </w:rPr>
                  </w:pPr>
                </w:p>
              </w:tc>
            </w:tr>
            <w:tr w14:paraId="0318E085">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471" w:type="dxa"/>
                  <w:vMerge w:val="restart"/>
                  <w:tcBorders>
                    <w:left w:val="nil"/>
                  </w:tcBorders>
                  <w:shd w:val="clear" w:color="auto" w:fill="auto"/>
                  <w:vAlign w:val="center"/>
                </w:tcPr>
                <w:p w14:paraId="453EC0D9">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喷漆、烘干、加烤废气</w:t>
                  </w:r>
                </w:p>
              </w:tc>
              <w:tc>
                <w:tcPr>
                  <w:tcW w:w="472" w:type="dxa"/>
                  <w:vMerge w:val="restart"/>
                  <w:shd w:val="clear" w:color="auto" w:fill="auto"/>
                  <w:vAlign w:val="center"/>
                </w:tcPr>
                <w:p w14:paraId="6411D42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非甲烷总烃</w:t>
                  </w:r>
                </w:p>
              </w:tc>
              <w:tc>
                <w:tcPr>
                  <w:tcW w:w="344" w:type="dxa"/>
                  <w:shd w:val="clear" w:color="auto" w:fill="auto"/>
                  <w:vAlign w:val="center"/>
                </w:tcPr>
                <w:p w14:paraId="3A55B84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有组织</w:t>
                  </w:r>
                </w:p>
              </w:tc>
              <w:tc>
                <w:tcPr>
                  <w:tcW w:w="568" w:type="dxa"/>
                  <w:vMerge w:val="restart"/>
                  <w:shd w:val="clear" w:color="auto" w:fill="auto"/>
                  <w:vAlign w:val="center"/>
                </w:tcPr>
                <w:p w14:paraId="662975BB">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1.2664</w:t>
                  </w:r>
                </w:p>
              </w:tc>
              <w:tc>
                <w:tcPr>
                  <w:tcW w:w="568" w:type="dxa"/>
                  <w:vMerge w:val="restart"/>
                  <w:shd w:val="clear" w:color="auto" w:fill="auto"/>
                  <w:noWrap/>
                  <w:vAlign w:val="center"/>
                </w:tcPr>
                <w:p w14:paraId="1C526CFA">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0.3518</w:t>
                  </w:r>
                </w:p>
              </w:tc>
              <w:tc>
                <w:tcPr>
                  <w:tcW w:w="542" w:type="dxa"/>
                  <w:shd w:val="clear" w:color="auto" w:fill="auto"/>
                  <w:vAlign w:val="center"/>
                </w:tcPr>
                <w:p w14:paraId="7836DE9F">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20000</w:t>
                  </w:r>
                </w:p>
              </w:tc>
              <w:tc>
                <w:tcPr>
                  <w:tcW w:w="641" w:type="dxa"/>
                  <w:shd w:val="clear" w:color="auto" w:fill="auto"/>
                  <w:vAlign w:val="center"/>
                </w:tcPr>
                <w:p w14:paraId="1571FDDB">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15.8292</w:t>
                  </w:r>
                </w:p>
              </w:tc>
              <w:tc>
                <w:tcPr>
                  <w:tcW w:w="568" w:type="dxa"/>
                  <w:shd w:val="clear" w:color="auto" w:fill="auto"/>
                  <w:vAlign w:val="center"/>
                </w:tcPr>
                <w:p w14:paraId="65D15A9A">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1.1397</w:t>
                  </w:r>
                </w:p>
              </w:tc>
              <w:tc>
                <w:tcPr>
                  <w:tcW w:w="472" w:type="dxa"/>
                  <w:vMerge w:val="restart"/>
                  <w:shd w:val="clear" w:color="auto" w:fill="auto"/>
                  <w:vAlign w:val="center"/>
                </w:tcPr>
                <w:p w14:paraId="1C52A13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水帘柜（喷漆）+过滤棉+活性炭吸附装置</w:t>
                  </w:r>
                </w:p>
              </w:tc>
              <w:tc>
                <w:tcPr>
                  <w:tcW w:w="450" w:type="dxa"/>
                  <w:shd w:val="clear" w:color="auto" w:fill="auto"/>
                  <w:vAlign w:val="center"/>
                </w:tcPr>
                <w:p w14:paraId="65CE31C5">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90%</w:t>
                  </w:r>
                </w:p>
              </w:tc>
              <w:tc>
                <w:tcPr>
                  <w:tcW w:w="611" w:type="dxa"/>
                  <w:shd w:val="clear" w:color="auto" w:fill="auto"/>
                  <w:vAlign w:val="center"/>
                </w:tcPr>
                <w:p w14:paraId="0D3080F0">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69.66%</w:t>
                  </w:r>
                </w:p>
              </w:tc>
              <w:tc>
                <w:tcPr>
                  <w:tcW w:w="641" w:type="dxa"/>
                  <w:shd w:val="clear" w:color="auto" w:fill="auto"/>
                  <w:vAlign w:val="center"/>
                </w:tcPr>
                <w:p w14:paraId="5B063044">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4.8028</w:t>
                  </w:r>
                </w:p>
              </w:tc>
              <w:tc>
                <w:tcPr>
                  <w:tcW w:w="568" w:type="dxa"/>
                  <w:shd w:val="clear" w:color="auto" w:fill="auto"/>
                  <w:vAlign w:val="center"/>
                </w:tcPr>
                <w:p w14:paraId="3C31FD49">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0.0961</w:t>
                  </w:r>
                </w:p>
              </w:tc>
              <w:tc>
                <w:tcPr>
                  <w:tcW w:w="568" w:type="dxa"/>
                  <w:shd w:val="clear" w:color="auto" w:fill="auto"/>
                  <w:vAlign w:val="center"/>
                </w:tcPr>
                <w:p w14:paraId="24382C8E">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0.3458</w:t>
                  </w:r>
                </w:p>
              </w:tc>
              <w:tc>
                <w:tcPr>
                  <w:tcW w:w="1047" w:type="dxa"/>
                  <w:vMerge w:val="restart"/>
                  <w:tcBorders>
                    <w:right w:val="nil"/>
                  </w:tcBorders>
                  <w:shd w:val="clear" w:color="auto" w:fill="auto"/>
                  <w:noWrap/>
                  <w:vAlign w:val="center"/>
                </w:tcPr>
                <w:p w14:paraId="209836F9">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3600</w:t>
                  </w:r>
                </w:p>
              </w:tc>
            </w:tr>
            <w:tr w14:paraId="3397A80C">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471" w:type="dxa"/>
                  <w:vMerge w:val="continue"/>
                  <w:tcBorders>
                    <w:left w:val="nil"/>
                  </w:tcBorders>
                  <w:shd w:val="clear" w:color="auto" w:fill="auto"/>
                  <w:vAlign w:val="center"/>
                </w:tcPr>
                <w:p w14:paraId="3B374BD3">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472" w:type="dxa"/>
                  <w:vMerge w:val="continue"/>
                  <w:shd w:val="clear" w:color="auto" w:fill="auto"/>
                  <w:vAlign w:val="center"/>
                </w:tcPr>
                <w:p w14:paraId="4E29FC16">
                  <w:pPr>
                    <w:pStyle w:val="38"/>
                    <w:keepNext w:val="0"/>
                    <w:keepLines w:val="0"/>
                    <w:widowControl/>
                    <w:suppressLineNumbers w:val="0"/>
                    <w:bidi w:val="0"/>
                    <w:spacing w:before="0" w:beforeAutospacing="0" w:after="0" w:afterAutospacing="0"/>
                    <w:ind w:left="0" w:right="0"/>
                    <w:rPr>
                      <w:rFonts w:hint="eastAsia"/>
                      <w:szCs w:val="22"/>
                    </w:rPr>
                  </w:pPr>
                </w:p>
              </w:tc>
              <w:tc>
                <w:tcPr>
                  <w:tcW w:w="344" w:type="dxa"/>
                  <w:shd w:val="clear" w:color="auto" w:fill="auto"/>
                  <w:vAlign w:val="center"/>
                </w:tcPr>
                <w:p w14:paraId="637A011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无组织</w:t>
                  </w:r>
                </w:p>
              </w:tc>
              <w:tc>
                <w:tcPr>
                  <w:tcW w:w="568" w:type="dxa"/>
                  <w:vMerge w:val="continue"/>
                  <w:shd w:val="clear" w:color="auto" w:fill="auto"/>
                  <w:vAlign w:val="center"/>
                </w:tcPr>
                <w:p w14:paraId="253972AB">
                  <w:pPr>
                    <w:pStyle w:val="38"/>
                    <w:keepNext w:val="0"/>
                    <w:keepLines w:val="0"/>
                    <w:widowControl/>
                    <w:suppressLineNumbers w:val="0"/>
                    <w:bidi w:val="0"/>
                    <w:spacing w:before="0" w:beforeAutospacing="0" w:after="0" w:afterAutospacing="0"/>
                    <w:ind w:left="0" w:right="0"/>
                    <w:rPr>
                      <w:rFonts w:hint="default"/>
                      <w:szCs w:val="22"/>
                    </w:rPr>
                  </w:pPr>
                </w:p>
              </w:tc>
              <w:tc>
                <w:tcPr>
                  <w:tcW w:w="568" w:type="dxa"/>
                  <w:vMerge w:val="continue"/>
                  <w:shd w:val="clear" w:color="auto" w:fill="auto"/>
                  <w:noWrap/>
                  <w:vAlign w:val="center"/>
                </w:tcPr>
                <w:p w14:paraId="44C55731">
                  <w:pPr>
                    <w:pStyle w:val="38"/>
                    <w:keepNext w:val="0"/>
                    <w:keepLines w:val="0"/>
                    <w:widowControl/>
                    <w:suppressLineNumbers w:val="0"/>
                    <w:bidi w:val="0"/>
                    <w:spacing w:before="0" w:beforeAutospacing="0" w:after="0" w:afterAutospacing="0"/>
                    <w:ind w:left="0" w:right="0"/>
                    <w:rPr>
                      <w:rFonts w:hint="default"/>
                      <w:szCs w:val="22"/>
                    </w:rPr>
                  </w:pPr>
                </w:p>
              </w:tc>
              <w:tc>
                <w:tcPr>
                  <w:tcW w:w="542" w:type="dxa"/>
                  <w:shd w:val="clear" w:color="auto" w:fill="auto"/>
                  <w:vAlign w:val="center"/>
                </w:tcPr>
                <w:p w14:paraId="6A827AC6">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w:t>
                  </w:r>
                </w:p>
              </w:tc>
              <w:tc>
                <w:tcPr>
                  <w:tcW w:w="641" w:type="dxa"/>
                  <w:shd w:val="clear" w:color="auto" w:fill="auto"/>
                  <w:vAlign w:val="center"/>
                </w:tcPr>
                <w:p w14:paraId="015309F4">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w:t>
                  </w:r>
                </w:p>
              </w:tc>
              <w:tc>
                <w:tcPr>
                  <w:tcW w:w="568" w:type="dxa"/>
                  <w:shd w:val="clear" w:color="auto" w:fill="auto"/>
                  <w:vAlign w:val="center"/>
                </w:tcPr>
                <w:p w14:paraId="353589B6">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0.1267</w:t>
                  </w:r>
                </w:p>
              </w:tc>
              <w:tc>
                <w:tcPr>
                  <w:tcW w:w="472" w:type="dxa"/>
                  <w:vMerge w:val="continue"/>
                  <w:shd w:val="clear" w:color="auto" w:fill="auto"/>
                  <w:vAlign w:val="center"/>
                </w:tcPr>
                <w:p w14:paraId="2BD6D786">
                  <w:pPr>
                    <w:pStyle w:val="38"/>
                    <w:keepNext w:val="0"/>
                    <w:keepLines w:val="0"/>
                    <w:widowControl/>
                    <w:suppressLineNumbers w:val="0"/>
                    <w:bidi w:val="0"/>
                    <w:spacing w:before="0" w:beforeAutospacing="0" w:after="0" w:afterAutospacing="0"/>
                    <w:ind w:left="0" w:right="0"/>
                    <w:rPr>
                      <w:rFonts w:hint="eastAsia"/>
                      <w:szCs w:val="22"/>
                    </w:rPr>
                  </w:pPr>
                </w:p>
              </w:tc>
              <w:tc>
                <w:tcPr>
                  <w:tcW w:w="450" w:type="dxa"/>
                  <w:shd w:val="clear" w:color="auto" w:fill="auto"/>
                  <w:vAlign w:val="center"/>
                </w:tcPr>
                <w:p w14:paraId="448B0B42">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w:t>
                  </w:r>
                </w:p>
              </w:tc>
              <w:tc>
                <w:tcPr>
                  <w:tcW w:w="611" w:type="dxa"/>
                  <w:shd w:val="clear" w:color="auto" w:fill="auto"/>
                  <w:vAlign w:val="center"/>
                </w:tcPr>
                <w:p w14:paraId="7D57EBE2">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w:t>
                  </w:r>
                </w:p>
              </w:tc>
              <w:tc>
                <w:tcPr>
                  <w:tcW w:w="641" w:type="dxa"/>
                  <w:shd w:val="clear" w:color="auto" w:fill="auto"/>
                  <w:vAlign w:val="center"/>
                </w:tcPr>
                <w:p w14:paraId="6A6228FA">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w:t>
                  </w:r>
                </w:p>
              </w:tc>
              <w:tc>
                <w:tcPr>
                  <w:tcW w:w="568" w:type="dxa"/>
                  <w:shd w:val="clear" w:color="auto" w:fill="auto"/>
                  <w:vAlign w:val="center"/>
                </w:tcPr>
                <w:p w14:paraId="26743FFF">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0.0352</w:t>
                  </w:r>
                </w:p>
              </w:tc>
              <w:tc>
                <w:tcPr>
                  <w:tcW w:w="568" w:type="dxa"/>
                  <w:shd w:val="clear" w:color="auto" w:fill="auto"/>
                  <w:vAlign w:val="center"/>
                </w:tcPr>
                <w:p w14:paraId="3F2C2D0E">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0.1267</w:t>
                  </w:r>
                </w:p>
              </w:tc>
              <w:tc>
                <w:tcPr>
                  <w:tcW w:w="1047" w:type="dxa"/>
                  <w:vMerge w:val="continue"/>
                  <w:tcBorders>
                    <w:right w:val="nil"/>
                  </w:tcBorders>
                  <w:shd w:val="clear" w:color="auto" w:fill="auto"/>
                  <w:noWrap/>
                  <w:vAlign w:val="center"/>
                </w:tcPr>
                <w:p w14:paraId="5528595E">
                  <w:pPr>
                    <w:pStyle w:val="38"/>
                    <w:keepNext w:val="0"/>
                    <w:keepLines w:val="0"/>
                    <w:widowControl/>
                    <w:suppressLineNumbers w:val="0"/>
                    <w:bidi w:val="0"/>
                    <w:spacing w:before="0" w:beforeAutospacing="0" w:after="0" w:afterAutospacing="0"/>
                    <w:ind w:left="0" w:right="0"/>
                    <w:rPr>
                      <w:rFonts w:hint="default"/>
                      <w:b w:val="0"/>
                      <w:color w:val="000000"/>
                      <w:szCs w:val="22"/>
                    </w:rPr>
                  </w:pPr>
                </w:p>
              </w:tc>
            </w:tr>
            <w:tr w14:paraId="6BF7479F">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471" w:type="dxa"/>
                  <w:vMerge w:val="continue"/>
                  <w:tcBorders>
                    <w:left w:val="nil"/>
                  </w:tcBorders>
                  <w:shd w:val="clear" w:color="auto" w:fill="auto"/>
                  <w:vAlign w:val="center"/>
                </w:tcPr>
                <w:p w14:paraId="5B83DCB0">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472" w:type="dxa"/>
                  <w:vMerge w:val="restart"/>
                  <w:shd w:val="clear" w:color="auto" w:fill="auto"/>
                  <w:vAlign w:val="center"/>
                </w:tcPr>
                <w:p w14:paraId="288A611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漆雾（颗粒物）</w:t>
                  </w:r>
                </w:p>
              </w:tc>
              <w:tc>
                <w:tcPr>
                  <w:tcW w:w="344" w:type="dxa"/>
                  <w:shd w:val="clear" w:color="auto" w:fill="auto"/>
                  <w:vAlign w:val="center"/>
                </w:tcPr>
                <w:p w14:paraId="3831648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有组织</w:t>
                  </w:r>
                </w:p>
              </w:tc>
              <w:tc>
                <w:tcPr>
                  <w:tcW w:w="568" w:type="dxa"/>
                  <w:vMerge w:val="restart"/>
                  <w:shd w:val="clear" w:color="auto" w:fill="auto"/>
                  <w:vAlign w:val="center"/>
                </w:tcPr>
                <w:p w14:paraId="2525913E">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0.8499</w:t>
                  </w:r>
                </w:p>
              </w:tc>
              <w:tc>
                <w:tcPr>
                  <w:tcW w:w="568" w:type="dxa"/>
                  <w:vMerge w:val="restart"/>
                  <w:shd w:val="clear" w:color="auto" w:fill="auto"/>
                  <w:noWrap/>
                  <w:vAlign w:val="center"/>
                </w:tcPr>
                <w:p w14:paraId="6B87B413">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0.2361</w:t>
                  </w:r>
                </w:p>
              </w:tc>
              <w:tc>
                <w:tcPr>
                  <w:tcW w:w="542" w:type="dxa"/>
                  <w:shd w:val="clear" w:color="auto" w:fill="auto"/>
                  <w:vAlign w:val="center"/>
                </w:tcPr>
                <w:p w14:paraId="5FA3CA95">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20000</w:t>
                  </w:r>
                </w:p>
              </w:tc>
              <w:tc>
                <w:tcPr>
                  <w:tcW w:w="641" w:type="dxa"/>
                  <w:shd w:val="clear" w:color="auto" w:fill="auto"/>
                  <w:vAlign w:val="center"/>
                </w:tcPr>
                <w:p w14:paraId="15808D81">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10.6236</w:t>
                  </w:r>
                </w:p>
              </w:tc>
              <w:tc>
                <w:tcPr>
                  <w:tcW w:w="568" w:type="dxa"/>
                  <w:shd w:val="clear" w:color="auto" w:fill="auto"/>
                  <w:vAlign w:val="center"/>
                </w:tcPr>
                <w:p w14:paraId="361CC1EB">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0.7649</w:t>
                  </w:r>
                </w:p>
              </w:tc>
              <w:tc>
                <w:tcPr>
                  <w:tcW w:w="472" w:type="dxa"/>
                  <w:vMerge w:val="continue"/>
                  <w:shd w:val="clear" w:color="auto" w:fill="auto"/>
                  <w:vAlign w:val="center"/>
                </w:tcPr>
                <w:p w14:paraId="4BA9EF2C">
                  <w:pPr>
                    <w:pStyle w:val="38"/>
                    <w:keepNext w:val="0"/>
                    <w:keepLines w:val="0"/>
                    <w:widowControl/>
                    <w:suppressLineNumbers w:val="0"/>
                    <w:bidi w:val="0"/>
                    <w:spacing w:before="0" w:beforeAutospacing="0" w:after="0" w:afterAutospacing="0"/>
                    <w:ind w:left="0" w:right="0"/>
                    <w:rPr>
                      <w:rFonts w:hint="eastAsia"/>
                      <w:szCs w:val="22"/>
                    </w:rPr>
                  </w:pPr>
                </w:p>
              </w:tc>
              <w:tc>
                <w:tcPr>
                  <w:tcW w:w="450" w:type="dxa"/>
                  <w:shd w:val="clear" w:color="auto" w:fill="auto"/>
                  <w:vAlign w:val="center"/>
                </w:tcPr>
                <w:p w14:paraId="4C6CADEB">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90%</w:t>
                  </w:r>
                </w:p>
              </w:tc>
              <w:tc>
                <w:tcPr>
                  <w:tcW w:w="611" w:type="dxa"/>
                  <w:shd w:val="clear" w:color="auto" w:fill="auto"/>
                  <w:vAlign w:val="center"/>
                </w:tcPr>
                <w:p w14:paraId="36D999B2">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74.52%</w:t>
                  </w:r>
                </w:p>
              </w:tc>
              <w:tc>
                <w:tcPr>
                  <w:tcW w:w="641" w:type="dxa"/>
                  <w:shd w:val="clear" w:color="auto" w:fill="auto"/>
                  <w:vAlign w:val="center"/>
                </w:tcPr>
                <w:p w14:paraId="670FC63D">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2.7069</w:t>
                  </w:r>
                </w:p>
              </w:tc>
              <w:tc>
                <w:tcPr>
                  <w:tcW w:w="568" w:type="dxa"/>
                  <w:shd w:val="clear" w:color="auto" w:fill="auto"/>
                  <w:vAlign w:val="center"/>
                </w:tcPr>
                <w:p w14:paraId="5C23FB9D">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0.0541</w:t>
                  </w:r>
                </w:p>
              </w:tc>
              <w:tc>
                <w:tcPr>
                  <w:tcW w:w="568" w:type="dxa"/>
                  <w:shd w:val="clear" w:color="auto" w:fill="auto"/>
                  <w:vAlign w:val="center"/>
                </w:tcPr>
                <w:p w14:paraId="16E5AFAB">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0.1949</w:t>
                  </w:r>
                </w:p>
              </w:tc>
              <w:tc>
                <w:tcPr>
                  <w:tcW w:w="1047" w:type="dxa"/>
                  <w:vMerge w:val="continue"/>
                  <w:tcBorders>
                    <w:right w:val="nil"/>
                  </w:tcBorders>
                  <w:shd w:val="clear" w:color="auto" w:fill="auto"/>
                  <w:noWrap/>
                  <w:vAlign w:val="center"/>
                </w:tcPr>
                <w:p w14:paraId="1F42C5EC">
                  <w:pPr>
                    <w:pStyle w:val="38"/>
                    <w:keepNext w:val="0"/>
                    <w:keepLines w:val="0"/>
                    <w:widowControl/>
                    <w:suppressLineNumbers w:val="0"/>
                    <w:bidi w:val="0"/>
                    <w:spacing w:before="0" w:beforeAutospacing="0" w:after="0" w:afterAutospacing="0"/>
                    <w:ind w:left="0" w:right="0"/>
                    <w:rPr>
                      <w:rFonts w:hint="default"/>
                      <w:b w:val="0"/>
                      <w:color w:val="000000"/>
                      <w:szCs w:val="22"/>
                    </w:rPr>
                  </w:pPr>
                </w:p>
              </w:tc>
            </w:tr>
            <w:tr w14:paraId="5F4F06B9">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471" w:type="dxa"/>
                  <w:vMerge w:val="continue"/>
                  <w:tcBorders>
                    <w:left w:val="nil"/>
                    <w:bottom w:val="single" w:color="000000" w:sz="12" w:space="0"/>
                  </w:tcBorders>
                  <w:shd w:val="clear" w:color="auto" w:fill="auto"/>
                  <w:vAlign w:val="center"/>
                </w:tcPr>
                <w:p w14:paraId="1E7A9D3C">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472" w:type="dxa"/>
                  <w:vMerge w:val="continue"/>
                  <w:tcBorders>
                    <w:bottom w:val="single" w:color="000000" w:sz="12" w:space="0"/>
                  </w:tcBorders>
                  <w:shd w:val="clear" w:color="auto" w:fill="auto"/>
                  <w:vAlign w:val="center"/>
                </w:tcPr>
                <w:p w14:paraId="7D3DACAB">
                  <w:pPr>
                    <w:pStyle w:val="38"/>
                    <w:keepNext w:val="0"/>
                    <w:keepLines w:val="0"/>
                    <w:widowControl/>
                    <w:suppressLineNumbers w:val="0"/>
                    <w:bidi w:val="0"/>
                    <w:spacing w:before="0" w:beforeAutospacing="0" w:after="0" w:afterAutospacing="0"/>
                    <w:ind w:left="0" w:right="0"/>
                    <w:rPr>
                      <w:rFonts w:hint="eastAsia"/>
                      <w:szCs w:val="22"/>
                    </w:rPr>
                  </w:pPr>
                </w:p>
              </w:tc>
              <w:tc>
                <w:tcPr>
                  <w:tcW w:w="344" w:type="dxa"/>
                  <w:tcBorders>
                    <w:bottom w:val="single" w:color="000000" w:sz="12" w:space="0"/>
                  </w:tcBorders>
                  <w:shd w:val="clear" w:color="auto" w:fill="auto"/>
                  <w:vAlign w:val="center"/>
                </w:tcPr>
                <w:p w14:paraId="684BA86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无组织</w:t>
                  </w:r>
                </w:p>
              </w:tc>
              <w:tc>
                <w:tcPr>
                  <w:tcW w:w="568" w:type="dxa"/>
                  <w:vMerge w:val="continue"/>
                  <w:tcBorders>
                    <w:bottom w:val="single" w:color="000000" w:sz="12" w:space="0"/>
                  </w:tcBorders>
                  <w:shd w:val="clear" w:color="auto" w:fill="auto"/>
                  <w:vAlign w:val="center"/>
                </w:tcPr>
                <w:p w14:paraId="7F93805A">
                  <w:pPr>
                    <w:pStyle w:val="38"/>
                    <w:keepNext w:val="0"/>
                    <w:keepLines w:val="0"/>
                    <w:widowControl/>
                    <w:suppressLineNumbers w:val="0"/>
                    <w:bidi w:val="0"/>
                    <w:spacing w:before="0" w:beforeAutospacing="0" w:after="0" w:afterAutospacing="0"/>
                    <w:ind w:left="0" w:right="0"/>
                    <w:rPr>
                      <w:rFonts w:hint="default"/>
                      <w:szCs w:val="22"/>
                    </w:rPr>
                  </w:pPr>
                </w:p>
              </w:tc>
              <w:tc>
                <w:tcPr>
                  <w:tcW w:w="568" w:type="dxa"/>
                  <w:vMerge w:val="continue"/>
                  <w:tcBorders>
                    <w:bottom w:val="single" w:color="000000" w:sz="12" w:space="0"/>
                  </w:tcBorders>
                  <w:shd w:val="clear" w:color="auto" w:fill="auto"/>
                  <w:noWrap/>
                  <w:vAlign w:val="center"/>
                </w:tcPr>
                <w:p w14:paraId="67AC3003">
                  <w:pPr>
                    <w:pStyle w:val="38"/>
                    <w:keepNext w:val="0"/>
                    <w:keepLines w:val="0"/>
                    <w:widowControl/>
                    <w:suppressLineNumbers w:val="0"/>
                    <w:bidi w:val="0"/>
                    <w:spacing w:before="0" w:beforeAutospacing="0" w:after="0" w:afterAutospacing="0"/>
                    <w:ind w:left="0" w:right="0"/>
                    <w:rPr>
                      <w:rFonts w:hint="default"/>
                      <w:szCs w:val="22"/>
                    </w:rPr>
                  </w:pPr>
                </w:p>
              </w:tc>
              <w:tc>
                <w:tcPr>
                  <w:tcW w:w="542" w:type="dxa"/>
                  <w:tcBorders>
                    <w:bottom w:val="single" w:color="000000" w:sz="12" w:space="0"/>
                  </w:tcBorders>
                  <w:shd w:val="clear" w:color="auto" w:fill="auto"/>
                  <w:vAlign w:val="center"/>
                </w:tcPr>
                <w:p w14:paraId="4E5902A8">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w:t>
                  </w:r>
                </w:p>
              </w:tc>
              <w:tc>
                <w:tcPr>
                  <w:tcW w:w="641" w:type="dxa"/>
                  <w:tcBorders>
                    <w:bottom w:val="single" w:color="000000" w:sz="12" w:space="0"/>
                  </w:tcBorders>
                  <w:shd w:val="clear" w:color="auto" w:fill="auto"/>
                  <w:vAlign w:val="center"/>
                </w:tcPr>
                <w:p w14:paraId="507CC07E">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w:t>
                  </w:r>
                </w:p>
              </w:tc>
              <w:tc>
                <w:tcPr>
                  <w:tcW w:w="568" w:type="dxa"/>
                  <w:tcBorders>
                    <w:bottom w:val="single" w:color="000000" w:sz="12" w:space="0"/>
                  </w:tcBorders>
                  <w:shd w:val="clear" w:color="auto" w:fill="auto"/>
                  <w:vAlign w:val="center"/>
                </w:tcPr>
                <w:p w14:paraId="53134F5C">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0.085</w:t>
                  </w:r>
                </w:p>
              </w:tc>
              <w:tc>
                <w:tcPr>
                  <w:tcW w:w="472" w:type="dxa"/>
                  <w:vMerge w:val="continue"/>
                  <w:tcBorders>
                    <w:bottom w:val="single" w:color="000000" w:sz="12" w:space="0"/>
                  </w:tcBorders>
                  <w:shd w:val="clear" w:color="auto" w:fill="auto"/>
                  <w:vAlign w:val="center"/>
                </w:tcPr>
                <w:p w14:paraId="59D86E81">
                  <w:pPr>
                    <w:pStyle w:val="38"/>
                    <w:keepNext w:val="0"/>
                    <w:keepLines w:val="0"/>
                    <w:widowControl/>
                    <w:suppressLineNumbers w:val="0"/>
                    <w:bidi w:val="0"/>
                    <w:spacing w:before="0" w:beforeAutospacing="0" w:after="0" w:afterAutospacing="0"/>
                    <w:ind w:left="0" w:right="0"/>
                    <w:rPr>
                      <w:rFonts w:hint="eastAsia"/>
                      <w:szCs w:val="22"/>
                    </w:rPr>
                  </w:pPr>
                </w:p>
              </w:tc>
              <w:tc>
                <w:tcPr>
                  <w:tcW w:w="450" w:type="dxa"/>
                  <w:tcBorders>
                    <w:bottom w:val="single" w:color="000000" w:sz="12" w:space="0"/>
                  </w:tcBorders>
                  <w:shd w:val="clear" w:color="auto" w:fill="auto"/>
                  <w:vAlign w:val="center"/>
                </w:tcPr>
                <w:p w14:paraId="41CBABAC">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w:t>
                  </w:r>
                </w:p>
              </w:tc>
              <w:tc>
                <w:tcPr>
                  <w:tcW w:w="611" w:type="dxa"/>
                  <w:tcBorders>
                    <w:bottom w:val="single" w:color="000000" w:sz="12" w:space="0"/>
                  </w:tcBorders>
                  <w:shd w:val="clear" w:color="auto" w:fill="auto"/>
                  <w:vAlign w:val="center"/>
                </w:tcPr>
                <w:p w14:paraId="13241818">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w:t>
                  </w:r>
                </w:p>
              </w:tc>
              <w:tc>
                <w:tcPr>
                  <w:tcW w:w="641" w:type="dxa"/>
                  <w:tcBorders>
                    <w:bottom w:val="single" w:color="000000" w:sz="12" w:space="0"/>
                  </w:tcBorders>
                  <w:shd w:val="clear" w:color="auto" w:fill="auto"/>
                  <w:vAlign w:val="center"/>
                </w:tcPr>
                <w:p w14:paraId="75A42DC2">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w:t>
                  </w:r>
                </w:p>
              </w:tc>
              <w:tc>
                <w:tcPr>
                  <w:tcW w:w="568" w:type="dxa"/>
                  <w:tcBorders>
                    <w:bottom w:val="single" w:color="000000" w:sz="12" w:space="0"/>
                  </w:tcBorders>
                  <w:shd w:val="clear" w:color="auto" w:fill="auto"/>
                  <w:vAlign w:val="center"/>
                </w:tcPr>
                <w:p w14:paraId="2451018D">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0.0236</w:t>
                  </w:r>
                </w:p>
              </w:tc>
              <w:tc>
                <w:tcPr>
                  <w:tcW w:w="568" w:type="dxa"/>
                  <w:tcBorders>
                    <w:bottom w:val="single" w:color="000000" w:sz="12" w:space="0"/>
                  </w:tcBorders>
                  <w:shd w:val="clear" w:color="auto" w:fill="auto"/>
                  <w:vAlign w:val="center"/>
                </w:tcPr>
                <w:p w14:paraId="5DF54E2A">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0.085</w:t>
                  </w:r>
                </w:p>
              </w:tc>
              <w:tc>
                <w:tcPr>
                  <w:tcW w:w="1047" w:type="dxa"/>
                  <w:vMerge w:val="continue"/>
                  <w:tcBorders>
                    <w:bottom w:val="single" w:color="000000" w:sz="12" w:space="0"/>
                    <w:right w:val="nil"/>
                  </w:tcBorders>
                  <w:shd w:val="clear" w:color="auto" w:fill="auto"/>
                  <w:noWrap/>
                  <w:vAlign w:val="center"/>
                </w:tcPr>
                <w:p w14:paraId="5252D8D6">
                  <w:pPr>
                    <w:pStyle w:val="38"/>
                    <w:keepNext w:val="0"/>
                    <w:keepLines w:val="0"/>
                    <w:widowControl/>
                    <w:suppressLineNumbers w:val="0"/>
                    <w:bidi w:val="0"/>
                    <w:spacing w:before="0" w:beforeAutospacing="0" w:after="0" w:afterAutospacing="0"/>
                    <w:ind w:left="0" w:right="0"/>
                    <w:rPr>
                      <w:rFonts w:hint="default"/>
                      <w:b w:val="0"/>
                      <w:color w:val="000000"/>
                      <w:szCs w:val="22"/>
                    </w:rPr>
                  </w:pPr>
                </w:p>
              </w:tc>
            </w:tr>
          </w:tbl>
          <w:p w14:paraId="74AA8760">
            <w:pPr>
              <w:pStyle w:val="4"/>
              <w:suppressLineNumbers w:val="0"/>
              <w:bidi w:val="0"/>
              <w:spacing w:before="0" w:beforeAutospacing="0" w:after="0" w:afterAutospacing="0"/>
              <w:ind w:left="0" w:right="0"/>
              <w:rPr>
                <w:rFonts w:hint="default"/>
                <w:lang w:val="en-US" w:eastAsia="zh-CN"/>
              </w:rPr>
            </w:pPr>
            <w:r>
              <w:rPr>
                <w:rFonts w:hint="default"/>
                <w:lang w:val="en-US" w:eastAsia="zh-CN"/>
              </w:rPr>
              <w:t>运营期大气污染防治措施合理性分析</w:t>
            </w:r>
          </w:p>
          <w:p w14:paraId="3388EE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本项目设置</w:t>
            </w:r>
            <w:r>
              <w:rPr>
                <w:rFonts w:hint="eastAsia" w:cs="Times New Roman"/>
                <w:color w:val="auto"/>
                <w:kern w:val="0"/>
                <w:sz w:val="24"/>
                <w:szCs w:val="24"/>
                <w:lang w:val="en-US" w:eastAsia="zh-CN" w:bidi="ar-SA"/>
              </w:rPr>
              <w:t>3</w:t>
            </w:r>
            <w:r>
              <w:rPr>
                <w:rFonts w:hint="eastAsia" w:ascii="Times New Roman" w:hAnsi="Times New Roman" w:eastAsia="宋体" w:cs="Times New Roman"/>
                <w:color w:val="auto"/>
                <w:kern w:val="0"/>
                <w:sz w:val="24"/>
                <w:szCs w:val="24"/>
                <w:lang w:val="en-US" w:eastAsia="zh-CN" w:bidi="ar-SA"/>
              </w:rPr>
              <w:t>条生产线，配套废气处理系统。生产线1</w:t>
            </w:r>
            <w:r>
              <w:rPr>
                <w:rFonts w:hint="eastAsia" w:cs="Times New Roman"/>
                <w:color w:val="auto"/>
                <w:kern w:val="0"/>
                <w:sz w:val="24"/>
                <w:szCs w:val="24"/>
                <w:lang w:val="en-US" w:eastAsia="zh-CN" w:bidi="ar-SA"/>
              </w:rPr>
              <w:t>#</w:t>
            </w:r>
            <w:r>
              <w:rPr>
                <w:rFonts w:hint="eastAsia" w:ascii="Times New Roman" w:hAnsi="Times New Roman" w:eastAsia="宋体" w:cs="Times New Roman"/>
                <w:color w:val="auto"/>
                <w:kern w:val="0"/>
                <w:sz w:val="24"/>
                <w:szCs w:val="24"/>
                <w:lang w:val="en-US" w:eastAsia="zh-CN" w:bidi="ar-SA"/>
              </w:rPr>
              <w:t>的烘干废气和加烤废气分别经密闭管道收集后，与经水帘柜处理后的喷漆废气合并，共同进入</w:t>
            </w:r>
            <w:r>
              <w:rPr>
                <w:rFonts w:hint="eastAsia" w:cs="Times New Roman"/>
                <w:color w:val="auto"/>
                <w:kern w:val="0"/>
                <w:sz w:val="24"/>
                <w:szCs w:val="24"/>
                <w:lang w:val="en-US" w:eastAsia="zh-CN" w:bidi="ar-SA"/>
              </w:rPr>
              <w:t>“</w:t>
            </w:r>
            <w:r>
              <w:rPr>
                <w:rFonts w:hint="eastAsia" w:ascii="Times New Roman" w:hAnsi="Times New Roman" w:eastAsia="宋体" w:cs="Times New Roman"/>
                <w:color w:val="auto"/>
                <w:kern w:val="0"/>
                <w:sz w:val="24"/>
                <w:szCs w:val="24"/>
                <w:lang w:val="en-US" w:eastAsia="zh-CN" w:bidi="ar-SA"/>
              </w:rPr>
              <w:t>过滤棉+活性炭吸附装置</w:t>
            </w:r>
            <w:r>
              <w:rPr>
                <w:rFonts w:hint="eastAsia" w:cs="Times New Roman"/>
                <w:color w:val="auto"/>
                <w:kern w:val="0"/>
                <w:sz w:val="24"/>
                <w:szCs w:val="24"/>
                <w:lang w:val="en-US" w:eastAsia="zh-CN" w:bidi="ar-SA"/>
              </w:rPr>
              <w:t>”1#</w:t>
            </w:r>
            <w:r>
              <w:rPr>
                <w:rFonts w:hint="eastAsia" w:ascii="Times New Roman" w:hAnsi="Times New Roman" w:eastAsia="宋体" w:cs="Times New Roman"/>
                <w:color w:val="auto"/>
                <w:kern w:val="0"/>
                <w:sz w:val="24"/>
                <w:szCs w:val="24"/>
                <w:lang w:val="en-US" w:eastAsia="zh-CN" w:bidi="ar-SA"/>
              </w:rPr>
              <w:t>进行处理，达标</w:t>
            </w:r>
            <w:r>
              <w:rPr>
                <w:rFonts w:hint="eastAsia" w:cs="Times New Roman"/>
                <w:color w:val="auto"/>
                <w:kern w:val="0"/>
                <w:sz w:val="24"/>
                <w:szCs w:val="24"/>
                <w:lang w:val="en-US" w:eastAsia="zh-CN" w:bidi="ar-SA"/>
              </w:rPr>
              <w:t>后</w:t>
            </w:r>
            <w:r>
              <w:rPr>
                <w:rFonts w:hint="eastAsia" w:ascii="Times New Roman" w:hAnsi="Times New Roman" w:eastAsia="宋体" w:cs="Times New Roman"/>
                <w:color w:val="auto"/>
                <w:kern w:val="0"/>
                <w:sz w:val="24"/>
                <w:szCs w:val="24"/>
                <w:lang w:val="en-US" w:eastAsia="zh-CN" w:bidi="ar-SA"/>
              </w:rPr>
              <w:t>通过一根15米高排气筒（DA001）排放。生产线2</w:t>
            </w:r>
            <w:r>
              <w:rPr>
                <w:rFonts w:hint="eastAsia" w:cs="Times New Roman"/>
                <w:color w:val="auto"/>
                <w:kern w:val="0"/>
                <w:sz w:val="24"/>
                <w:szCs w:val="24"/>
                <w:lang w:val="en-US" w:eastAsia="zh-CN" w:bidi="ar-SA"/>
              </w:rPr>
              <w:t>#</w:t>
            </w:r>
            <w:r>
              <w:rPr>
                <w:rFonts w:hint="eastAsia" w:ascii="Times New Roman" w:hAnsi="Times New Roman" w:eastAsia="宋体" w:cs="Times New Roman"/>
                <w:color w:val="auto"/>
                <w:kern w:val="0"/>
                <w:sz w:val="24"/>
                <w:szCs w:val="24"/>
                <w:lang w:val="en-US" w:eastAsia="zh-CN" w:bidi="ar-SA"/>
              </w:rPr>
              <w:t>的烘干废气、加烤</w:t>
            </w:r>
            <w:r>
              <w:rPr>
                <w:rFonts w:hint="eastAsia" w:cs="Times New Roman"/>
                <w:color w:val="auto"/>
                <w:kern w:val="0"/>
                <w:sz w:val="24"/>
                <w:szCs w:val="24"/>
                <w:lang w:val="en-US" w:eastAsia="zh-CN" w:bidi="ar-SA"/>
              </w:rPr>
              <w:t>废气</w:t>
            </w:r>
            <w:r>
              <w:rPr>
                <w:rFonts w:hint="eastAsia" w:ascii="Times New Roman" w:hAnsi="Times New Roman" w:eastAsia="宋体" w:cs="Times New Roman"/>
                <w:color w:val="auto"/>
                <w:kern w:val="0"/>
                <w:sz w:val="24"/>
                <w:szCs w:val="24"/>
                <w:lang w:val="en-US" w:eastAsia="zh-CN" w:bidi="ar-SA"/>
              </w:rPr>
              <w:t>分别经密闭管道收集后，与经水帘柜处理后的喷漆废气合并，共同进入</w:t>
            </w:r>
            <w:r>
              <w:rPr>
                <w:rFonts w:hint="eastAsia" w:cs="Times New Roman"/>
                <w:color w:val="auto"/>
                <w:kern w:val="0"/>
                <w:sz w:val="24"/>
                <w:szCs w:val="24"/>
                <w:lang w:val="en-US" w:eastAsia="zh-CN" w:bidi="ar-SA"/>
              </w:rPr>
              <w:t>“</w:t>
            </w:r>
            <w:r>
              <w:rPr>
                <w:rFonts w:hint="eastAsia" w:ascii="Times New Roman" w:hAnsi="Times New Roman" w:eastAsia="宋体" w:cs="Times New Roman"/>
                <w:color w:val="auto"/>
                <w:kern w:val="0"/>
                <w:sz w:val="24"/>
                <w:szCs w:val="24"/>
                <w:lang w:val="en-US" w:eastAsia="zh-CN" w:bidi="ar-SA"/>
              </w:rPr>
              <w:t>过滤棉+活性炭吸附装置</w:t>
            </w:r>
            <w:r>
              <w:rPr>
                <w:rFonts w:hint="eastAsia" w:cs="Times New Roman"/>
                <w:color w:val="auto"/>
                <w:kern w:val="0"/>
                <w:sz w:val="24"/>
                <w:szCs w:val="24"/>
                <w:lang w:val="en-US" w:eastAsia="zh-CN" w:bidi="ar-SA"/>
              </w:rPr>
              <w:t>”2#</w:t>
            </w:r>
            <w:r>
              <w:rPr>
                <w:rFonts w:hint="eastAsia" w:ascii="Times New Roman" w:hAnsi="Times New Roman" w:eastAsia="宋体" w:cs="Times New Roman"/>
                <w:color w:val="auto"/>
                <w:kern w:val="0"/>
                <w:sz w:val="24"/>
                <w:szCs w:val="24"/>
                <w:lang w:val="en-US" w:eastAsia="zh-CN" w:bidi="ar-SA"/>
              </w:rPr>
              <w:t>进行处理，达标</w:t>
            </w:r>
            <w:r>
              <w:rPr>
                <w:rFonts w:hint="eastAsia" w:cs="Times New Roman"/>
                <w:color w:val="auto"/>
                <w:kern w:val="0"/>
                <w:sz w:val="24"/>
                <w:szCs w:val="24"/>
                <w:lang w:val="en-US" w:eastAsia="zh-CN" w:bidi="ar-SA"/>
              </w:rPr>
              <w:t>后</w:t>
            </w:r>
            <w:r>
              <w:rPr>
                <w:rFonts w:hint="eastAsia" w:ascii="Times New Roman" w:hAnsi="Times New Roman" w:eastAsia="宋体" w:cs="Times New Roman"/>
                <w:color w:val="auto"/>
                <w:kern w:val="0"/>
                <w:sz w:val="24"/>
                <w:szCs w:val="24"/>
                <w:lang w:val="en-US" w:eastAsia="zh-CN" w:bidi="ar-SA"/>
              </w:rPr>
              <w:t>通过一根15米高排气筒（DA002）排放</w:t>
            </w:r>
            <w:r>
              <w:rPr>
                <w:rFonts w:hint="eastAsia" w:cs="Times New Roman"/>
                <w:color w:val="auto"/>
                <w:kern w:val="0"/>
                <w:sz w:val="24"/>
                <w:szCs w:val="24"/>
                <w:lang w:val="en-US" w:eastAsia="zh-CN" w:bidi="ar-SA"/>
              </w:rPr>
              <w:t>；生产线3#</w:t>
            </w:r>
            <w:r>
              <w:rPr>
                <w:rFonts w:hint="eastAsia" w:ascii="Times New Roman" w:hAnsi="Times New Roman" w:eastAsia="宋体" w:cs="Times New Roman"/>
                <w:color w:val="auto"/>
                <w:kern w:val="0"/>
                <w:sz w:val="24"/>
                <w:szCs w:val="24"/>
                <w:lang w:val="en-US" w:eastAsia="zh-CN" w:bidi="ar-SA"/>
              </w:rPr>
              <w:t>的烘干废气、加烤</w:t>
            </w:r>
            <w:r>
              <w:rPr>
                <w:rFonts w:hint="eastAsia" w:cs="Times New Roman"/>
                <w:color w:val="auto"/>
                <w:kern w:val="0"/>
                <w:sz w:val="24"/>
                <w:szCs w:val="24"/>
                <w:lang w:val="en-US" w:eastAsia="zh-CN" w:bidi="ar-SA"/>
              </w:rPr>
              <w:t>废气</w:t>
            </w:r>
            <w:r>
              <w:rPr>
                <w:rFonts w:hint="eastAsia" w:ascii="Times New Roman" w:hAnsi="Times New Roman" w:eastAsia="宋体" w:cs="Times New Roman"/>
                <w:color w:val="auto"/>
                <w:kern w:val="0"/>
                <w:sz w:val="24"/>
                <w:szCs w:val="24"/>
                <w:lang w:val="en-US" w:eastAsia="zh-CN" w:bidi="ar-SA"/>
              </w:rPr>
              <w:t>经密闭管道收集后，与经水帘柜处理后的喷漆废气合并，共同进入</w:t>
            </w:r>
            <w:r>
              <w:rPr>
                <w:rFonts w:hint="eastAsia" w:cs="Times New Roman"/>
                <w:color w:val="auto"/>
                <w:kern w:val="0"/>
                <w:sz w:val="24"/>
                <w:szCs w:val="24"/>
                <w:lang w:val="en-US" w:eastAsia="zh-CN" w:bidi="ar-SA"/>
              </w:rPr>
              <w:t>“</w:t>
            </w:r>
            <w:r>
              <w:rPr>
                <w:rFonts w:hint="eastAsia" w:ascii="Times New Roman" w:hAnsi="Times New Roman" w:eastAsia="宋体" w:cs="Times New Roman"/>
                <w:color w:val="auto"/>
                <w:kern w:val="0"/>
                <w:sz w:val="24"/>
                <w:szCs w:val="24"/>
                <w:lang w:val="en-US" w:eastAsia="zh-CN" w:bidi="ar-SA"/>
              </w:rPr>
              <w:t>过滤棉+活性炭吸附装置</w:t>
            </w:r>
            <w:r>
              <w:rPr>
                <w:rFonts w:hint="eastAsia" w:cs="Times New Roman"/>
                <w:color w:val="auto"/>
                <w:kern w:val="0"/>
                <w:sz w:val="24"/>
                <w:szCs w:val="24"/>
                <w:lang w:val="en-US" w:eastAsia="zh-CN" w:bidi="ar-SA"/>
              </w:rPr>
              <w:t>”3#</w:t>
            </w:r>
            <w:r>
              <w:rPr>
                <w:rFonts w:hint="eastAsia" w:ascii="Times New Roman" w:hAnsi="Times New Roman" w:eastAsia="宋体" w:cs="Times New Roman"/>
                <w:color w:val="auto"/>
                <w:kern w:val="0"/>
                <w:sz w:val="24"/>
                <w:szCs w:val="24"/>
                <w:lang w:val="en-US" w:eastAsia="zh-CN" w:bidi="ar-SA"/>
              </w:rPr>
              <w:t>进行处理，达标</w:t>
            </w:r>
            <w:r>
              <w:rPr>
                <w:rFonts w:hint="eastAsia" w:cs="Times New Roman"/>
                <w:color w:val="auto"/>
                <w:kern w:val="0"/>
                <w:sz w:val="24"/>
                <w:szCs w:val="24"/>
                <w:lang w:val="en-US" w:eastAsia="zh-CN" w:bidi="ar-SA"/>
              </w:rPr>
              <w:t>后</w:t>
            </w:r>
            <w:r>
              <w:rPr>
                <w:rFonts w:hint="eastAsia" w:ascii="Times New Roman" w:hAnsi="Times New Roman" w:eastAsia="宋体" w:cs="Times New Roman"/>
                <w:color w:val="auto"/>
                <w:kern w:val="0"/>
                <w:sz w:val="24"/>
                <w:szCs w:val="24"/>
                <w:lang w:val="en-US" w:eastAsia="zh-CN" w:bidi="ar-SA"/>
              </w:rPr>
              <w:t>通过一根15米高排气筒（DA00</w:t>
            </w:r>
            <w:r>
              <w:rPr>
                <w:rFonts w:hint="eastAsia" w:cs="Times New Roman"/>
                <w:color w:val="auto"/>
                <w:kern w:val="0"/>
                <w:sz w:val="24"/>
                <w:szCs w:val="24"/>
                <w:lang w:val="en-US" w:eastAsia="zh-CN" w:bidi="ar-SA"/>
              </w:rPr>
              <w:t>3</w:t>
            </w:r>
            <w:r>
              <w:rPr>
                <w:rFonts w:hint="eastAsia" w:ascii="Times New Roman" w:hAnsi="Times New Roman" w:eastAsia="宋体" w:cs="Times New Roman"/>
                <w:color w:val="auto"/>
                <w:kern w:val="0"/>
                <w:sz w:val="24"/>
                <w:szCs w:val="24"/>
                <w:lang w:val="en-US" w:eastAsia="zh-CN" w:bidi="ar-SA"/>
              </w:rPr>
              <w:t>）排放。</w:t>
            </w:r>
          </w:p>
          <w:p w14:paraId="01771A73">
            <w:pPr>
              <w:pStyle w:val="26"/>
              <w:keepNext w:val="0"/>
              <w:keepLines w:val="0"/>
              <w:suppressLineNumbers w:val="0"/>
              <w:spacing w:before="0" w:beforeAutospacing="0" w:after="0" w:afterAutospacing="0"/>
              <w:ind w:left="0" w:right="0"/>
              <w:rPr>
                <w:rFonts w:hint="eastAsia" w:cs="Times New Roman"/>
                <w:color w:val="auto"/>
                <w:kern w:val="0"/>
                <w:sz w:val="24"/>
                <w:szCs w:val="24"/>
                <w:lang w:val="en-US" w:eastAsia="zh-CN" w:bidi="ar-SA"/>
              </w:rPr>
            </w:pPr>
            <w:r>
              <w:rPr>
                <w:rFonts w:hint="eastAsia" w:cs="Times New Roman"/>
                <w:color w:val="auto"/>
                <w:kern w:val="0"/>
                <w:sz w:val="24"/>
                <w:szCs w:val="24"/>
                <w:lang w:val="en-US" w:eastAsia="zh-CN" w:bidi="ar-SA"/>
              </w:rPr>
              <w:t>（1）收集系统</w:t>
            </w:r>
          </w:p>
          <w:p w14:paraId="1E85F5A7">
            <w:pPr>
              <w:keepNext w:val="0"/>
              <w:keepLines w:val="0"/>
              <w:suppressLineNumbers w:val="0"/>
              <w:spacing w:before="0" w:beforeAutospacing="0" w:after="0" w:afterAutospacing="0"/>
              <w:ind w:left="0" w:right="0"/>
              <w:rPr>
                <w:rFonts w:hint="default"/>
                <w:b w:val="0"/>
                <w:bCs w:val="0"/>
                <w:iCs w:val="0"/>
                <w:color w:val="auto"/>
                <w:lang w:val="en-US" w:eastAsia="zh-CN"/>
              </w:rPr>
            </w:pPr>
            <w:r>
              <w:rPr>
                <w:rFonts w:hint="eastAsia" w:cs="Times New Roman"/>
                <w:color w:val="auto"/>
                <w:kern w:val="0"/>
                <w:sz w:val="24"/>
                <w:szCs w:val="24"/>
                <w:lang w:val="en-US" w:eastAsia="zh-CN" w:bidi="ar-SA"/>
              </w:rPr>
              <w:t>本项目生产线1#、生产线2#、生产线3#喷漆、烘干及加烤工序均采用密闭车间负压收集，每条生产线尺寸35m*9m*2.5m，</w:t>
            </w:r>
            <w:r>
              <w:rPr>
                <w:rFonts w:hint="eastAsia" w:cs="Times New Roman"/>
                <w:color w:val="000000"/>
                <w:sz w:val="24"/>
                <w:highlight w:val="none"/>
                <w:lang w:val="en-US" w:eastAsia="zh-CN"/>
              </w:rPr>
              <w:t>人员进出口设置透明PVC门帘，带密封条的门窗，顶部换气，设置风机风量20000m</w:t>
            </w:r>
            <w:r>
              <w:rPr>
                <w:rFonts w:hint="eastAsia" w:cs="Times New Roman"/>
                <w:color w:val="000000"/>
                <w:sz w:val="24"/>
                <w:highlight w:val="none"/>
                <w:vertAlign w:val="superscript"/>
                <w:lang w:val="en-US" w:eastAsia="zh-CN"/>
              </w:rPr>
              <w:t>3</w:t>
            </w:r>
            <w:r>
              <w:rPr>
                <w:rFonts w:hint="eastAsia" w:cs="Times New Roman"/>
                <w:color w:val="000000"/>
                <w:sz w:val="24"/>
                <w:highlight w:val="none"/>
                <w:lang w:val="en-US" w:eastAsia="zh-CN"/>
              </w:rPr>
              <w:t>/h，保证车间总排风量大于总送风量</w:t>
            </w:r>
            <w:r>
              <w:rPr>
                <w:rFonts w:hint="default"/>
                <w:b w:val="0"/>
                <w:bCs w:val="0"/>
                <w:iCs w:val="0"/>
                <w:color w:val="auto"/>
                <w:lang w:val="en-US" w:eastAsia="zh-CN"/>
              </w:rPr>
              <w:t>。</w:t>
            </w:r>
          </w:p>
          <w:p w14:paraId="41CF66E5">
            <w:pPr>
              <w:keepNext w:val="0"/>
              <w:keepLines w:val="0"/>
              <w:suppressLineNumbers w:val="0"/>
              <w:spacing w:before="0" w:beforeAutospacing="0" w:after="0" w:afterAutospacing="0"/>
              <w:ind w:left="0" w:right="0"/>
              <w:rPr>
                <w:rFonts w:hint="eastAsia" w:cs="Times New Roman"/>
                <w:color w:val="000000"/>
                <w:sz w:val="24"/>
                <w:highlight w:val="none"/>
                <w:lang w:val="en-US" w:eastAsia="zh-CN"/>
              </w:rPr>
            </w:pPr>
            <w:r>
              <w:rPr>
                <w:rFonts w:hint="eastAsia" w:cs="Times New Roman"/>
                <w:color w:val="000000"/>
                <w:sz w:val="24"/>
                <w:highlight w:val="none"/>
                <w:lang w:val="en-US" w:eastAsia="zh-CN"/>
              </w:rPr>
              <w:t>风机风量核算：根据《工业建筑供暖通风与空气调节设计规范》（GB 50019-2015），计算负压收集车间的风机风量：</w:t>
            </w:r>
          </w:p>
          <w:p w14:paraId="6C22FEA7">
            <w:pPr>
              <w:keepNext w:val="0"/>
              <w:keepLines w:val="0"/>
              <w:suppressLineNumbers w:val="0"/>
              <w:adjustRightInd w:val="0"/>
              <w:snapToGrid w:val="0"/>
              <w:spacing w:before="0" w:beforeAutospacing="0" w:after="0" w:afterAutospacing="0" w:line="360" w:lineRule="auto"/>
              <w:ind w:left="0" w:right="0"/>
              <w:jc w:val="center"/>
              <w:rPr>
                <w:rFonts w:hint="eastAsia" w:cs="Times New Roman"/>
                <w:color w:val="000000"/>
                <w:sz w:val="24"/>
                <w:highlight w:val="none"/>
                <w:lang w:val="en-US" w:eastAsia="zh-CN"/>
              </w:rPr>
            </w:pPr>
            <w:r>
              <w:rPr>
                <w:rFonts w:hint="eastAsia" w:cs="Times New Roman"/>
                <w:color w:val="000000"/>
                <w:sz w:val="24"/>
                <w:highlight w:val="none"/>
                <w:lang w:val="en-US" w:eastAsia="zh-CN"/>
              </w:rPr>
              <w:t>Q=nV</w:t>
            </w:r>
          </w:p>
          <w:p w14:paraId="7B750596">
            <w:pPr>
              <w:keepNext w:val="0"/>
              <w:keepLines w:val="0"/>
              <w:suppressLineNumbers w:val="0"/>
              <w:adjustRightInd w:val="0"/>
              <w:snapToGrid w:val="0"/>
              <w:spacing w:before="0" w:beforeAutospacing="0" w:after="0" w:afterAutospacing="0" w:line="360" w:lineRule="auto"/>
              <w:ind w:left="0" w:right="0"/>
              <w:jc w:val="left"/>
              <w:rPr>
                <w:rFonts w:hint="eastAsia" w:cs="Times New Roman"/>
                <w:color w:val="000000"/>
                <w:sz w:val="24"/>
                <w:highlight w:val="none"/>
                <w:lang w:val="en-US" w:eastAsia="zh-CN"/>
              </w:rPr>
            </w:pPr>
            <w:r>
              <w:rPr>
                <w:rFonts w:hint="eastAsia" w:cs="Times New Roman"/>
                <w:color w:val="000000"/>
                <w:sz w:val="24"/>
                <w:highlight w:val="none"/>
                <w:lang w:val="en-US" w:eastAsia="zh-CN"/>
              </w:rPr>
              <w:t>式中：</w:t>
            </w:r>
          </w:p>
          <w:p w14:paraId="214ED893">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000000"/>
                <w:sz w:val="24"/>
                <w:highlight w:val="none"/>
                <w:lang w:val="en-US" w:eastAsia="zh-CN"/>
              </w:rPr>
            </w:pPr>
            <w:r>
              <w:rPr>
                <w:rFonts w:hint="eastAsia" w:cs="Times New Roman"/>
                <w:color w:val="000000"/>
                <w:sz w:val="24"/>
                <w:highlight w:val="none"/>
                <w:lang w:val="en-US" w:eastAsia="zh-CN"/>
              </w:rPr>
              <w:t>Q</w:t>
            </w:r>
            <w:r>
              <w:rPr>
                <w:rFonts w:hint="eastAsia" w:ascii="Times New Roman" w:hAnsi="Times New Roman" w:eastAsia="宋体" w:cs="Times New Roman"/>
                <w:color w:val="000000"/>
                <w:sz w:val="24"/>
                <w:highlight w:val="none"/>
                <w:lang w:val="en-US" w:eastAsia="zh-CN"/>
              </w:rPr>
              <w:t>—风量，m</w:t>
            </w:r>
            <w:r>
              <w:rPr>
                <w:rFonts w:hint="eastAsia" w:ascii="Times New Roman" w:hAnsi="Times New Roman" w:eastAsia="宋体" w:cs="Times New Roman"/>
                <w:color w:val="000000"/>
                <w:sz w:val="24"/>
                <w:highlight w:val="none"/>
                <w:vertAlign w:val="superscript"/>
                <w:lang w:val="en-US" w:eastAsia="zh-CN"/>
              </w:rPr>
              <w:t>3</w:t>
            </w:r>
            <w:r>
              <w:rPr>
                <w:rFonts w:hint="eastAsia" w:ascii="Times New Roman" w:hAnsi="Times New Roman" w:eastAsia="宋体" w:cs="Times New Roman"/>
                <w:color w:val="000000"/>
                <w:sz w:val="24"/>
                <w:highlight w:val="none"/>
                <w:lang w:val="en-US" w:eastAsia="zh-CN"/>
              </w:rPr>
              <w:t>/h；</w:t>
            </w:r>
          </w:p>
          <w:p w14:paraId="79C4E657">
            <w:pPr>
              <w:keepNext w:val="0"/>
              <w:keepLines w:val="0"/>
              <w:suppressLineNumbers w:val="0"/>
              <w:adjustRightInd w:val="0"/>
              <w:snapToGrid w:val="0"/>
              <w:spacing w:before="0" w:beforeAutospacing="0" w:after="0" w:afterAutospacing="0" w:line="360" w:lineRule="auto"/>
              <w:ind w:left="0" w:right="0"/>
              <w:jc w:val="left"/>
              <w:rPr>
                <w:rFonts w:hint="default" w:eastAsia="宋体" w:cs="Times New Roman"/>
                <w:color w:val="000000"/>
                <w:sz w:val="24"/>
                <w:highlight w:val="none"/>
                <w:lang w:val="en-US" w:eastAsia="zh-CN"/>
              </w:rPr>
            </w:pPr>
            <w:r>
              <w:rPr>
                <w:rFonts w:hint="eastAsia" w:cs="Times New Roman"/>
                <w:color w:val="000000"/>
                <w:sz w:val="24"/>
                <w:highlight w:val="none"/>
                <w:lang w:val="en-US" w:eastAsia="zh-CN"/>
              </w:rPr>
              <w:t>n—换气次数</w:t>
            </w:r>
            <w:r>
              <w:rPr>
                <w:rFonts w:hint="eastAsia" w:ascii="Times New Roman" w:hAnsi="Times New Roman" w:eastAsia="宋体" w:cs="Times New Roman"/>
                <w:color w:val="000000"/>
                <w:sz w:val="24"/>
                <w:highlight w:val="none"/>
                <w:lang w:val="en-US" w:eastAsia="zh-CN"/>
              </w:rPr>
              <w:t>，次，</w:t>
            </w:r>
            <w:r>
              <w:rPr>
                <w:rFonts w:hint="eastAsia" w:ascii="Times New Roman" w:hAnsi="Times New Roman" w:eastAsia="宋体" w:cs="宋体"/>
                <w:sz w:val="24"/>
                <w:szCs w:val="24"/>
              </w:rPr>
              <w:t>一般工业车间8-15次/h</w:t>
            </w:r>
            <w:r>
              <w:rPr>
                <w:rFonts w:hint="eastAsia" w:ascii="Times New Roman" w:hAnsi="Times New Roman" w:eastAsia="宋体" w:cs="宋体"/>
                <w:sz w:val="24"/>
                <w:szCs w:val="24"/>
                <w:lang w:eastAsia="zh-CN"/>
              </w:rPr>
              <w:t>，</w:t>
            </w:r>
            <w:r>
              <w:rPr>
                <w:rFonts w:hint="eastAsia" w:ascii="Times New Roman" w:hAnsi="Times New Roman" w:eastAsia="宋体" w:cs="宋体"/>
                <w:sz w:val="24"/>
                <w:szCs w:val="24"/>
                <w:lang w:val="en-US" w:eastAsia="zh-CN"/>
              </w:rPr>
              <w:t>本项目取</w:t>
            </w:r>
            <w:r>
              <w:rPr>
                <w:rFonts w:hint="eastAsia" w:cs="宋体"/>
                <w:sz w:val="24"/>
                <w:szCs w:val="24"/>
                <w:lang w:val="en-US" w:eastAsia="zh-CN"/>
              </w:rPr>
              <w:t>15</w:t>
            </w:r>
            <w:r>
              <w:rPr>
                <w:rFonts w:hint="eastAsia" w:ascii="Times New Roman" w:hAnsi="Times New Roman" w:eastAsia="宋体" w:cs="宋体"/>
                <w:sz w:val="24"/>
                <w:szCs w:val="24"/>
                <w:lang w:val="en-US" w:eastAsia="zh-CN"/>
              </w:rPr>
              <w:t>次/h；</w:t>
            </w:r>
          </w:p>
          <w:p w14:paraId="323F1FDD">
            <w:pPr>
              <w:keepNext w:val="0"/>
              <w:keepLines w:val="0"/>
              <w:suppressLineNumbers w:val="0"/>
              <w:adjustRightInd w:val="0"/>
              <w:snapToGrid w:val="0"/>
              <w:spacing w:before="0" w:beforeAutospacing="0" w:after="0" w:afterAutospacing="0" w:line="360" w:lineRule="auto"/>
              <w:ind w:left="0" w:right="0"/>
              <w:jc w:val="left"/>
              <w:rPr>
                <w:rFonts w:hint="eastAsia" w:cs="Times New Roman"/>
                <w:color w:val="000000"/>
                <w:sz w:val="24"/>
                <w:highlight w:val="none"/>
                <w:lang w:val="en-US" w:eastAsia="zh-CN"/>
              </w:rPr>
            </w:pPr>
            <w:r>
              <w:rPr>
                <w:rFonts w:hint="default" w:cs="Times New Roman"/>
                <w:color w:val="000000"/>
                <w:sz w:val="24"/>
                <w:highlight w:val="none"/>
                <w:lang w:val="en-US" w:eastAsia="zh-CN"/>
              </w:rPr>
              <w:t>V</w:t>
            </w:r>
            <w:r>
              <w:rPr>
                <w:rFonts w:hint="eastAsia" w:cs="Times New Roman"/>
                <w:color w:val="000000"/>
                <w:sz w:val="24"/>
                <w:highlight w:val="none"/>
                <w:lang w:val="en-US" w:eastAsia="zh-CN"/>
              </w:rPr>
              <w:t>—</w:t>
            </w:r>
            <w:r>
              <w:rPr>
                <w:rFonts w:hint="default" w:cs="Times New Roman"/>
                <w:color w:val="000000"/>
                <w:sz w:val="24"/>
                <w:highlight w:val="none"/>
                <w:lang w:val="en-US" w:eastAsia="zh-CN"/>
              </w:rPr>
              <w:t>车间体积</w:t>
            </w:r>
            <w:r>
              <w:rPr>
                <w:rFonts w:hint="eastAsia" w:cs="Times New Roman"/>
                <w:color w:val="000000"/>
                <w:sz w:val="24"/>
                <w:highlight w:val="none"/>
                <w:lang w:val="en-US" w:eastAsia="zh-CN"/>
              </w:rPr>
              <w:t>，</w:t>
            </w:r>
            <w:r>
              <w:rPr>
                <w:rFonts w:hint="default" w:cs="Times New Roman"/>
                <w:color w:val="000000"/>
                <w:sz w:val="24"/>
                <w:highlight w:val="none"/>
                <w:lang w:val="en-US" w:eastAsia="zh-CN"/>
              </w:rPr>
              <w:t>m³</w:t>
            </w:r>
            <w:r>
              <w:rPr>
                <w:rFonts w:hint="eastAsia" w:cs="Times New Roman"/>
                <w:color w:val="000000"/>
                <w:sz w:val="24"/>
                <w:highlight w:val="none"/>
                <w:lang w:val="en-US" w:eastAsia="zh-CN"/>
              </w:rPr>
              <w:t>，本项目单条生产线车间体积V=35m*9m*2.5m=787.5</w:t>
            </w:r>
            <w:r>
              <w:rPr>
                <w:rFonts w:hint="default" w:cs="Times New Roman"/>
                <w:color w:val="000000"/>
                <w:sz w:val="24"/>
                <w:highlight w:val="none"/>
                <w:lang w:val="en-US" w:eastAsia="zh-CN"/>
              </w:rPr>
              <w:t>m³</w:t>
            </w:r>
            <w:r>
              <w:rPr>
                <w:rFonts w:hint="eastAsia" w:cs="Times New Roman"/>
                <w:color w:val="000000"/>
                <w:sz w:val="24"/>
                <w:highlight w:val="none"/>
                <w:lang w:val="en-US" w:eastAsia="zh-CN"/>
              </w:rPr>
              <w:t>；</w:t>
            </w:r>
          </w:p>
          <w:p w14:paraId="5C636DAA">
            <w:pPr>
              <w:keepNext w:val="0"/>
              <w:keepLines w:val="0"/>
              <w:suppressLineNumbers w:val="0"/>
              <w:adjustRightInd w:val="0"/>
              <w:snapToGrid w:val="0"/>
              <w:spacing w:before="0" w:beforeAutospacing="0" w:after="0" w:afterAutospacing="0" w:line="360" w:lineRule="auto"/>
              <w:ind w:left="0" w:right="0"/>
              <w:jc w:val="left"/>
              <w:rPr>
                <w:rFonts w:hint="eastAsia" w:ascii="Times New Roman" w:hAnsi="Times New Roman" w:eastAsia="宋体" w:cs="Times New Roman"/>
                <w:color w:val="000000"/>
                <w:sz w:val="24"/>
                <w:highlight w:val="none"/>
                <w:lang w:val="en-US" w:eastAsia="zh-CN"/>
              </w:rPr>
            </w:pPr>
            <w:r>
              <w:rPr>
                <w:rFonts w:hint="eastAsia" w:cs="Times New Roman"/>
                <w:color w:val="000000"/>
                <w:sz w:val="24"/>
                <w:highlight w:val="none"/>
                <w:lang w:val="en-US" w:eastAsia="zh-CN"/>
              </w:rPr>
              <w:t>生产线1#</w:t>
            </w:r>
            <w:r>
              <w:rPr>
                <w:rFonts w:hint="eastAsia" w:cs="Times New Roman"/>
                <w:color w:val="auto"/>
                <w:kern w:val="0"/>
                <w:sz w:val="24"/>
                <w:szCs w:val="24"/>
                <w:lang w:val="en-US" w:eastAsia="zh-CN" w:bidi="ar-SA"/>
              </w:rPr>
              <w:t>喷漆、烘干及加烤工序车间</w:t>
            </w:r>
            <w:r>
              <w:rPr>
                <w:rFonts w:hint="eastAsia" w:cs="Times New Roman"/>
                <w:color w:val="000000"/>
                <w:sz w:val="24"/>
                <w:highlight w:val="none"/>
                <w:lang w:val="en-US" w:eastAsia="zh-CN"/>
              </w:rPr>
              <w:t>风机风量Q</w:t>
            </w:r>
            <w:r>
              <w:rPr>
                <w:rFonts w:hint="eastAsia" w:cs="Times New Roman"/>
                <w:color w:val="000000"/>
                <w:sz w:val="24"/>
                <w:highlight w:val="none"/>
                <w:vertAlign w:val="subscript"/>
                <w:lang w:val="en-US" w:eastAsia="zh-CN"/>
              </w:rPr>
              <w:t>1</w:t>
            </w:r>
            <w:r>
              <w:rPr>
                <w:rFonts w:hint="eastAsia" w:cs="Times New Roman"/>
                <w:color w:val="000000"/>
                <w:sz w:val="24"/>
                <w:highlight w:val="none"/>
                <w:vertAlign w:val="baseline"/>
                <w:lang w:val="en-US" w:eastAsia="zh-CN"/>
              </w:rPr>
              <w:t>=787.5</w:t>
            </w:r>
            <w:r>
              <w:rPr>
                <w:rFonts w:hint="default" w:ascii="Times New Roman" w:hAnsi="Times New Roman" w:cs="Arial"/>
                <w:b w:val="0"/>
                <w:bCs w:val="0"/>
                <w:iCs w:val="0"/>
                <w:color w:val="auto"/>
                <w:sz w:val="24"/>
                <w:lang w:val="en-US" w:eastAsia="zh-CN"/>
              </w:rPr>
              <w:t>×</w:t>
            </w:r>
            <w:r>
              <w:rPr>
                <w:rFonts w:hint="eastAsia" w:ascii="Times New Roman" w:hAnsi="Times New Roman" w:cs="Arial"/>
                <w:b w:val="0"/>
                <w:bCs w:val="0"/>
                <w:iCs w:val="0"/>
                <w:color w:val="auto"/>
                <w:sz w:val="24"/>
                <w:lang w:val="en-US" w:eastAsia="zh-CN"/>
              </w:rPr>
              <w:t>15=</w:t>
            </w:r>
            <w:r>
              <w:rPr>
                <w:rFonts w:hint="eastAsia" w:cs="Arial"/>
                <w:b w:val="0"/>
                <w:bCs w:val="0"/>
                <w:iCs w:val="0"/>
                <w:color w:val="auto"/>
                <w:sz w:val="24"/>
                <w:lang w:val="en-US" w:eastAsia="zh-CN"/>
              </w:rPr>
              <w:t>11812.5</w:t>
            </w:r>
            <w:r>
              <w:rPr>
                <w:rFonts w:hint="eastAsia" w:ascii="Times New Roman" w:hAnsi="Times New Roman" w:eastAsia="宋体" w:cs="Times New Roman"/>
                <w:color w:val="000000"/>
                <w:sz w:val="24"/>
                <w:highlight w:val="none"/>
                <w:lang w:val="en-US" w:eastAsia="zh-CN"/>
              </w:rPr>
              <w:t>m</w:t>
            </w:r>
            <w:r>
              <w:rPr>
                <w:rFonts w:hint="eastAsia" w:ascii="Times New Roman" w:hAnsi="Times New Roman" w:eastAsia="宋体" w:cs="Times New Roman"/>
                <w:color w:val="000000"/>
                <w:sz w:val="24"/>
                <w:highlight w:val="none"/>
                <w:vertAlign w:val="superscript"/>
                <w:lang w:val="en-US" w:eastAsia="zh-CN"/>
              </w:rPr>
              <w:t>3</w:t>
            </w:r>
            <w:r>
              <w:rPr>
                <w:rFonts w:hint="eastAsia" w:ascii="Times New Roman" w:hAnsi="Times New Roman" w:eastAsia="宋体" w:cs="Times New Roman"/>
                <w:color w:val="000000"/>
                <w:sz w:val="24"/>
                <w:highlight w:val="none"/>
                <w:lang w:val="en-US" w:eastAsia="zh-CN"/>
              </w:rPr>
              <w:t>/h，本项目设计</w:t>
            </w:r>
            <w:r>
              <w:rPr>
                <w:rFonts w:hint="eastAsia" w:cs="Times New Roman"/>
                <w:color w:val="000000"/>
                <w:sz w:val="24"/>
                <w:highlight w:val="none"/>
                <w:lang w:val="en-US" w:eastAsia="zh-CN"/>
              </w:rPr>
              <w:t>3</w:t>
            </w:r>
            <w:r>
              <w:rPr>
                <w:rFonts w:hint="eastAsia" w:ascii="Times New Roman" w:hAnsi="Times New Roman" w:eastAsia="宋体" w:cs="Times New Roman"/>
                <w:color w:val="000000"/>
                <w:sz w:val="24"/>
                <w:highlight w:val="none"/>
                <w:lang w:val="en-US" w:eastAsia="zh-CN"/>
              </w:rPr>
              <w:t>台风机，生产线1#对应的风机1#风量设计20000m</w:t>
            </w:r>
            <w:r>
              <w:rPr>
                <w:rFonts w:hint="eastAsia" w:ascii="Times New Roman" w:hAnsi="Times New Roman" w:eastAsia="宋体" w:cs="Times New Roman"/>
                <w:color w:val="000000"/>
                <w:sz w:val="24"/>
                <w:highlight w:val="none"/>
                <w:vertAlign w:val="superscript"/>
                <w:lang w:val="en-US" w:eastAsia="zh-CN"/>
              </w:rPr>
              <w:t>3</w:t>
            </w:r>
            <w:r>
              <w:rPr>
                <w:rFonts w:hint="eastAsia" w:ascii="Times New Roman" w:hAnsi="Times New Roman" w:eastAsia="宋体" w:cs="Times New Roman"/>
                <w:color w:val="000000"/>
                <w:sz w:val="24"/>
                <w:highlight w:val="none"/>
                <w:lang w:val="en-US" w:eastAsia="zh-CN"/>
              </w:rPr>
              <w:t>/h，满足当前项目需求。</w:t>
            </w:r>
            <w:r>
              <w:rPr>
                <w:rFonts w:hint="eastAsia"/>
                <w:lang w:val="en-US" w:eastAsia="zh-CN"/>
              </w:rPr>
              <w:t>生产线2#</w:t>
            </w:r>
            <w:r>
              <w:rPr>
                <w:rFonts w:hint="eastAsia" w:cs="Times New Roman"/>
                <w:color w:val="auto"/>
                <w:kern w:val="0"/>
                <w:sz w:val="24"/>
                <w:szCs w:val="24"/>
                <w:lang w:val="en-US" w:eastAsia="zh-CN" w:bidi="ar-SA"/>
              </w:rPr>
              <w:t>、生产线3#喷漆、烘干及加烤工序车间收集系统与生产线1#相同，</w:t>
            </w:r>
            <w:r>
              <w:rPr>
                <w:rFonts w:hint="eastAsia" w:ascii="Times New Roman" w:hAnsi="Times New Roman" w:eastAsia="宋体" w:cs="Times New Roman"/>
                <w:color w:val="000000"/>
                <w:sz w:val="24"/>
                <w:highlight w:val="none"/>
                <w:lang w:val="en-US" w:eastAsia="zh-CN"/>
              </w:rPr>
              <w:t>生产线2#</w:t>
            </w:r>
            <w:r>
              <w:rPr>
                <w:rFonts w:hint="eastAsia" w:cs="Times New Roman"/>
                <w:color w:val="auto"/>
                <w:kern w:val="0"/>
                <w:sz w:val="24"/>
                <w:szCs w:val="24"/>
                <w:lang w:val="en-US" w:eastAsia="zh-CN" w:bidi="ar-SA"/>
              </w:rPr>
              <w:t>、生产线3#</w:t>
            </w:r>
            <w:r>
              <w:rPr>
                <w:rFonts w:hint="eastAsia" w:ascii="Times New Roman" w:hAnsi="Times New Roman" w:eastAsia="宋体" w:cs="Times New Roman"/>
                <w:color w:val="000000"/>
                <w:sz w:val="24"/>
                <w:highlight w:val="none"/>
                <w:lang w:val="en-US" w:eastAsia="zh-CN"/>
              </w:rPr>
              <w:t>对应的风机风量设计20000m</w:t>
            </w:r>
            <w:r>
              <w:rPr>
                <w:rFonts w:hint="eastAsia" w:ascii="Times New Roman" w:hAnsi="Times New Roman" w:eastAsia="宋体" w:cs="Times New Roman"/>
                <w:color w:val="000000"/>
                <w:sz w:val="24"/>
                <w:highlight w:val="none"/>
                <w:vertAlign w:val="superscript"/>
                <w:lang w:val="en-US" w:eastAsia="zh-CN"/>
              </w:rPr>
              <w:t>3</w:t>
            </w:r>
            <w:r>
              <w:rPr>
                <w:rFonts w:hint="eastAsia" w:ascii="Times New Roman" w:hAnsi="Times New Roman" w:eastAsia="宋体" w:cs="Times New Roman"/>
                <w:color w:val="000000"/>
                <w:sz w:val="24"/>
                <w:highlight w:val="none"/>
                <w:lang w:val="en-US" w:eastAsia="zh-CN"/>
              </w:rPr>
              <w:t>/h，综上本项目两条生产线设计风量满足需求。</w:t>
            </w:r>
          </w:p>
          <w:p w14:paraId="32AC3DA8">
            <w:pPr>
              <w:pStyle w:val="39"/>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表4.2-3 项目废气集气及废气治理设施情况一览表</w:t>
            </w:r>
          </w:p>
          <w:tbl>
            <w:tblPr>
              <w:tblStyle w:val="29"/>
              <w:tblW w:w="5000" w:type="pct"/>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76"/>
              <w:gridCol w:w="802"/>
              <w:gridCol w:w="1016"/>
              <w:gridCol w:w="1815"/>
              <w:gridCol w:w="1365"/>
              <w:gridCol w:w="1291"/>
              <w:gridCol w:w="1114"/>
            </w:tblGrid>
            <w:tr w14:paraId="413E632C">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582" w:type="pct"/>
                  <w:tcBorders>
                    <w:top w:val="single" w:color="000000" w:sz="12" w:space="0"/>
                    <w:left w:val="nil"/>
                    <w:tl2br w:val="nil"/>
                  </w:tcBorders>
                  <w:shd w:val="clear" w:color="auto" w:fill="auto"/>
                  <w:noWrap/>
                  <w:vAlign w:val="center"/>
                </w:tcPr>
                <w:p w14:paraId="447C96AE">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生产线</w:t>
                  </w:r>
                </w:p>
              </w:tc>
              <w:tc>
                <w:tcPr>
                  <w:tcW w:w="478" w:type="pct"/>
                  <w:tcBorders>
                    <w:top w:val="single" w:color="000000" w:sz="12" w:space="0"/>
                  </w:tcBorders>
                  <w:shd w:val="clear" w:color="auto" w:fill="auto"/>
                  <w:noWrap/>
                  <w:vAlign w:val="center"/>
                </w:tcPr>
                <w:p w14:paraId="402267AC">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集气方式</w:t>
                  </w:r>
                </w:p>
              </w:tc>
              <w:tc>
                <w:tcPr>
                  <w:tcW w:w="606" w:type="pct"/>
                  <w:tcBorders>
                    <w:top w:val="single" w:color="000000" w:sz="12" w:space="0"/>
                  </w:tcBorders>
                  <w:shd w:val="clear" w:color="auto" w:fill="auto"/>
                  <w:noWrap/>
                  <w:vAlign w:val="center"/>
                </w:tcPr>
                <w:p w14:paraId="5A56DD8D">
                  <w:pPr>
                    <w:pStyle w:val="38"/>
                    <w:keepNext w:val="0"/>
                    <w:keepLines w:val="0"/>
                    <w:widowControl/>
                    <w:suppressLineNumbers w:val="0"/>
                    <w:bidi w:val="0"/>
                    <w:spacing w:before="0" w:beforeAutospacing="0" w:after="0" w:afterAutospacing="0"/>
                    <w:ind w:left="0" w:right="0"/>
                    <w:rPr>
                      <w:rFonts w:hint="default"/>
                      <w:b w:val="0"/>
                      <w:color w:val="000000"/>
                      <w:szCs w:val="22"/>
                      <w:lang w:val="en-US"/>
                    </w:rPr>
                  </w:pPr>
                  <w:r>
                    <w:rPr>
                      <w:rFonts w:hint="eastAsia"/>
                      <w:b w:val="0"/>
                      <w:color w:val="000000"/>
                      <w:szCs w:val="22"/>
                      <w:lang w:val="en-US" w:eastAsia="zh-CN"/>
                    </w:rPr>
                    <w:t>车间体积</w:t>
                  </w:r>
                </w:p>
              </w:tc>
              <w:tc>
                <w:tcPr>
                  <w:tcW w:w="1082" w:type="pct"/>
                  <w:tcBorders>
                    <w:top w:val="single" w:color="000000" w:sz="12" w:space="0"/>
                  </w:tcBorders>
                  <w:shd w:val="clear" w:color="auto" w:fill="auto"/>
                  <w:noWrap/>
                  <w:vAlign w:val="center"/>
                </w:tcPr>
                <w:p w14:paraId="2DB9E39B">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废气治理设施</w:t>
                  </w:r>
                </w:p>
              </w:tc>
              <w:tc>
                <w:tcPr>
                  <w:tcW w:w="814" w:type="pct"/>
                  <w:tcBorders>
                    <w:top w:val="single" w:color="000000" w:sz="12" w:space="0"/>
                  </w:tcBorders>
                  <w:shd w:val="clear" w:color="auto" w:fill="auto"/>
                  <w:noWrap/>
                  <w:vAlign w:val="center"/>
                </w:tcPr>
                <w:p w14:paraId="0B2DFD39">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设计风机风量</w:t>
                  </w:r>
                </w:p>
              </w:tc>
              <w:tc>
                <w:tcPr>
                  <w:tcW w:w="770" w:type="pct"/>
                  <w:tcBorders>
                    <w:top w:val="single" w:color="000000" w:sz="12" w:space="0"/>
                  </w:tcBorders>
                  <w:shd w:val="clear" w:color="auto" w:fill="auto"/>
                  <w:noWrap/>
                  <w:vAlign w:val="center"/>
                </w:tcPr>
                <w:p w14:paraId="15AB75FA">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理论风量</w:t>
                  </w:r>
                </w:p>
              </w:tc>
              <w:tc>
                <w:tcPr>
                  <w:tcW w:w="664" w:type="pct"/>
                  <w:tcBorders>
                    <w:top w:val="single" w:color="000000" w:sz="12" w:space="0"/>
                    <w:right w:val="nil"/>
                  </w:tcBorders>
                  <w:shd w:val="clear" w:color="auto" w:fill="auto"/>
                  <w:noWrap/>
                  <w:vAlign w:val="center"/>
                </w:tcPr>
                <w:p w14:paraId="097E9151">
                  <w:pPr>
                    <w:pStyle w:val="38"/>
                    <w:keepNext w:val="0"/>
                    <w:keepLines w:val="0"/>
                    <w:widowControl/>
                    <w:suppressLineNumbers w:val="0"/>
                    <w:bidi w:val="0"/>
                    <w:spacing w:before="0" w:beforeAutospacing="0" w:after="0" w:afterAutospacing="0"/>
                    <w:ind w:left="0" w:right="0"/>
                    <w:rPr>
                      <w:rFonts w:hint="default"/>
                      <w:b w:val="0"/>
                      <w:color w:val="000000"/>
                      <w:szCs w:val="22"/>
                      <w:lang w:val="en-US"/>
                    </w:rPr>
                  </w:pPr>
                  <w:r>
                    <w:rPr>
                      <w:rFonts w:hint="eastAsia"/>
                      <w:b w:val="0"/>
                      <w:color w:val="000000"/>
                      <w:szCs w:val="22"/>
                      <w:lang w:val="en-US" w:eastAsia="zh-CN"/>
                    </w:rPr>
                    <w:t>排气筒编号</w:t>
                  </w:r>
                </w:p>
              </w:tc>
            </w:tr>
            <w:tr w14:paraId="2E582A1E">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4" w:hRule="atLeast"/>
              </w:trPr>
              <w:tc>
                <w:tcPr>
                  <w:tcW w:w="582" w:type="pct"/>
                  <w:tcBorders>
                    <w:left w:val="nil"/>
                  </w:tcBorders>
                  <w:shd w:val="clear" w:color="auto" w:fill="auto"/>
                  <w:noWrap/>
                  <w:vAlign w:val="center"/>
                </w:tcPr>
                <w:p w14:paraId="46D83BB7">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生产线1#</w:t>
                  </w:r>
                </w:p>
              </w:tc>
              <w:tc>
                <w:tcPr>
                  <w:tcW w:w="478" w:type="pct"/>
                  <w:vMerge w:val="restart"/>
                  <w:shd w:val="clear" w:color="auto" w:fill="auto"/>
                  <w:noWrap/>
                  <w:vAlign w:val="center"/>
                </w:tcPr>
                <w:p w14:paraId="5128B9EE">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车间密闭负压收集</w:t>
                  </w:r>
                </w:p>
              </w:tc>
              <w:tc>
                <w:tcPr>
                  <w:tcW w:w="606" w:type="pct"/>
                  <w:shd w:val="clear" w:color="auto" w:fill="auto"/>
                  <w:noWrap/>
                  <w:vAlign w:val="center"/>
                </w:tcPr>
                <w:p w14:paraId="41054857">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eastAsia"/>
                      <w:b w:val="0"/>
                      <w:color w:val="000000"/>
                      <w:szCs w:val="22"/>
                      <w:lang w:val="en-US" w:eastAsia="zh-CN"/>
                    </w:rPr>
                    <w:t>787.5m</w:t>
                  </w:r>
                  <w:r>
                    <w:rPr>
                      <w:rFonts w:hint="default" w:cs="Times New Roman"/>
                      <w:color w:val="000000"/>
                      <w:sz w:val="24"/>
                      <w:szCs w:val="22"/>
                      <w:highlight w:val="none"/>
                      <w:lang w:val="en-US" w:eastAsia="zh-CN"/>
                    </w:rPr>
                    <w:t>³</w:t>
                  </w:r>
                </w:p>
              </w:tc>
              <w:tc>
                <w:tcPr>
                  <w:tcW w:w="1082" w:type="pct"/>
                  <w:shd w:val="clear" w:color="auto" w:fill="auto"/>
                  <w:vAlign w:val="center"/>
                </w:tcPr>
                <w:p w14:paraId="1AC16A87">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“过滤棉+活性炭吸附装置”1#</w:t>
                  </w:r>
                </w:p>
              </w:tc>
              <w:tc>
                <w:tcPr>
                  <w:tcW w:w="814" w:type="pct"/>
                  <w:shd w:val="clear" w:color="auto" w:fill="auto"/>
                  <w:noWrap/>
                  <w:vAlign w:val="center"/>
                </w:tcPr>
                <w:p w14:paraId="313644AE">
                  <w:pPr>
                    <w:pStyle w:val="38"/>
                    <w:keepNext w:val="0"/>
                    <w:keepLines w:val="0"/>
                    <w:widowControl/>
                    <w:suppressLineNumbers w:val="0"/>
                    <w:bidi w:val="0"/>
                    <w:spacing w:before="0" w:beforeAutospacing="0" w:after="0" w:afterAutospacing="0"/>
                    <w:ind w:left="0" w:right="0"/>
                    <w:rPr>
                      <w:rFonts w:hint="default"/>
                      <w:b w:val="0"/>
                      <w:color w:val="000000"/>
                      <w:szCs w:val="22"/>
                      <w:vertAlign w:val="baseline"/>
                      <w:lang w:val="en-US"/>
                    </w:rPr>
                  </w:pPr>
                  <w:r>
                    <w:rPr>
                      <w:rFonts w:hint="eastAsia"/>
                      <w:b w:val="0"/>
                      <w:color w:val="000000"/>
                      <w:szCs w:val="22"/>
                      <w:lang w:val="en-US" w:eastAsia="zh-CN"/>
                    </w:rPr>
                    <w:t>20000m</w:t>
                  </w:r>
                  <w:r>
                    <w:rPr>
                      <w:rFonts w:hint="eastAsia"/>
                      <w:b w:val="0"/>
                      <w:color w:val="000000"/>
                      <w:szCs w:val="22"/>
                      <w:vertAlign w:val="superscript"/>
                      <w:lang w:val="en-US" w:eastAsia="zh-CN"/>
                    </w:rPr>
                    <w:t>3</w:t>
                  </w:r>
                  <w:r>
                    <w:rPr>
                      <w:rFonts w:hint="eastAsia"/>
                      <w:b w:val="0"/>
                      <w:color w:val="000000"/>
                      <w:szCs w:val="22"/>
                      <w:vertAlign w:val="baseline"/>
                      <w:lang w:val="en-US" w:eastAsia="zh-CN"/>
                    </w:rPr>
                    <w:t>/h</w:t>
                  </w:r>
                </w:p>
              </w:tc>
              <w:tc>
                <w:tcPr>
                  <w:tcW w:w="770" w:type="pct"/>
                  <w:shd w:val="clear" w:color="auto" w:fill="auto"/>
                  <w:noWrap/>
                  <w:vAlign w:val="center"/>
                </w:tcPr>
                <w:p w14:paraId="1FE7C89B">
                  <w:pPr>
                    <w:pStyle w:val="38"/>
                    <w:keepNext w:val="0"/>
                    <w:keepLines w:val="0"/>
                    <w:widowControl/>
                    <w:suppressLineNumbers w:val="0"/>
                    <w:bidi w:val="0"/>
                    <w:spacing w:before="0" w:beforeAutospacing="0" w:after="0" w:afterAutospacing="0"/>
                    <w:ind w:left="0" w:right="0"/>
                    <w:rPr>
                      <w:rFonts w:hint="default"/>
                      <w:b w:val="0"/>
                      <w:color w:val="000000"/>
                      <w:szCs w:val="22"/>
                      <w:lang w:val="en-US"/>
                    </w:rPr>
                  </w:pPr>
                  <w:r>
                    <w:rPr>
                      <w:rFonts w:hint="eastAsia"/>
                      <w:b w:val="0"/>
                      <w:color w:val="000000"/>
                      <w:szCs w:val="22"/>
                      <w:lang w:val="en-US" w:eastAsia="zh-CN"/>
                    </w:rPr>
                    <w:t>11812.5m</w:t>
                  </w:r>
                  <w:r>
                    <w:rPr>
                      <w:rFonts w:hint="eastAsia"/>
                      <w:b w:val="0"/>
                      <w:color w:val="000000"/>
                      <w:szCs w:val="22"/>
                      <w:vertAlign w:val="superscript"/>
                      <w:lang w:val="en-US" w:eastAsia="zh-CN"/>
                    </w:rPr>
                    <w:t>3</w:t>
                  </w:r>
                  <w:r>
                    <w:rPr>
                      <w:rFonts w:hint="eastAsia"/>
                      <w:b w:val="0"/>
                      <w:color w:val="000000"/>
                      <w:szCs w:val="22"/>
                      <w:vertAlign w:val="baseline"/>
                      <w:lang w:val="en-US" w:eastAsia="zh-CN"/>
                    </w:rPr>
                    <w:t>/h</w:t>
                  </w:r>
                </w:p>
              </w:tc>
              <w:tc>
                <w:tcPr>
                  <w:tcW w:w="664" w:type="pct"/>
                  <w:tcBorders>
                    <w:right w:val="nil"/>
                  </w:tcBorders>
                  <w:shd w:val="clear" w:color="auto" w:fill="auto"/>
                  <w:noWrap/>
                  <w:vAlign w:val="center"/>
                </w:tcPr>
                <w:p w14:paraId="0D83EDB0">
                  <w:pPr>
                    <w:pStyle w:val="38"/>
                    <w:keepNext w:val="0"/>
                    <w:keepLines w:val="0"/>
                    <w:widowControl/>
                    <w:suppressLineNumbers w:val="0"/>
                    <w:bidi w:val="0"/>
                    <w:spacing w:before="0" w:beforeAutospacing="0" w:after="0" w:afterAutospacing="0"/>
                    <w:ind w:left="0" w:right="0"/>
                    <w:rPr>
                      <w:rFonts w:hint="eastAsia"/>
                      <w:b w:val="0"/>
                      <w:color w:val="000000"/>
                      <w:szCs w:val="22"/>
                      <w:lang w:val="en-US" w:eastAsia="zh-CN"/>
                    </w:rPr>
                  </w:pPr>
                  <w:r>
                    <w:rPr>
                      <w:rFonts w:hint="eastAsia"/>
                      <w:b w:val="0"/>
                      <w:color w:val="000000"/>
                      <w:szCs w:val="22"/>
                      <w:lang w:val="en-US" w:eastAsia="zh-CN"/>
                    </w:rPr>
                    <w:t>DA001</w:t>
                  </w:r>
                </w:p>
                <w:p w14:paraId="4E75F4C6">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（15m）</w:t>
                  </w:r>
                </w:p>
              </w:tc>
            </w:tr>
            <w:tr w14:paraId="77E5155D">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64" w:hRule="atLeast"/>
              </w:trPr>
              <w:tc>
                <w:tcPr>
                  <w:tcW w:w="582" w:type="pct"/>
                  <w:tcBorders>
                    <w:left w:val="nil"/>
                  </w:tcBorders>
                  <w:shd w:val="clear" w:color="auto" w:fill="auto"/>
                  <w:noWrap/>
                  <w:vAlign w:val="center"/>
                </w:tcPr>
                <w:p w14:paraId="2A2E0BB2">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生产线2#</w:t>
                  </w:r>
                </w:p>
              </w:tc>
              <w:tc>
                <w:tcPr>
                  <w:tcW w:w="478" w:type="pct"/>
                  <w:vMerge w:val="continue"/>
                  <w:shd w:val="clear" w:color="auto" w:fill="auto"/>
                  <w:noWrap/>
                  <w:vAlign w:val="center"/>
                </w:tcPr>
                <w:p w14:paraId="21F1FC8C">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606" w:type="pct"/>
                  <w:shd w:val="clear" w:color="auto" w:fill="auto"/>
                  <w:noWrap/>
                  <w:vAlign w:val="center"/>
                </w:tcPr>
                <w:p w14:paraId="3CA2BA62">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eastAsia"/>
                      <w:b w:val="0"/>
                      <w:color w:val="000000"/>
                      <w:szCs w:val="22"/>
                      <w:lang w:val="en-US" w:eastAsia="zh-CN"/>
                    </w:rPr>
                    <w:t>787.5m</w:t>
                  </w:r>
                  <w:r>
                    <w:rPr>
                      <w:rFonts w:hint="default" w:cs="Times New Roman"/>
                      <w:color w:val="000000"/>
                      <w:sz w:val="24"/>
                      <w:szCs w:val="22"/>
                      <w:highlight w:val="none"/>
                      <w:lang w:val="en-US" w:eastAsia="zh-CN"/>
                    </w:rPr>
                    <w:t>³</w:t>
                  </w:r>
                </w:p>
              </w:tc>
              <w:tc>
                <w:tcPr>
                  <w:tcW w:w="1082" w:type="pct"/>
                  <w:shd w:val="clear" w:color="auto" w:fill="auto"/>
                  <w:vAlign w:val="center"/>
                </w:tcPr>
                <w:p w14:paraId="6F8DE56E">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“过滤棉+活性炭吸附装置”2#</w:t>
                  </w:r>
                </w:p>
              </w:tc>
              <w:tc>
                <w:tcPr>
                  <w:tcW w:w="814" w:type="pct"/>
                  <w:shd w:val="clear" w:color="auto" w:fill="auto"/>
                  <w:noWrap/>
                  <w:vAlign w:val="center"/>
                </w:tcPr>
                <w:p w14:paraId="425F5E6D">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20000m</w:t>
                  </w:r>
                  <w:r>
                    <w:rPr>
                      <w:rFonts w:hint="eastAsia"/>
                      <w:b w:val="0"/>
                      <w:color w:val="000000"/>
                      <w:szCs w:val="22"/>
                      <w:vertAlign w:val="superscript"/>
                      <w:lang w:val="en-US" w:eastAsia="zh-CN"/>
                    </w:rPr>
                    <w:t>3</w:t>
                  </w:r>
                  <w:r>
                    <w:rPr>
                      <w:rFonts w:hint="eastAsia"/>
                      <w:b w:val="0"/>
                      <w:color w:val="000000"/>
                      <w:szCs w:val="22"/>
                      <w:vertAlign w:val="baseline"/>
                      <w:lang w:val="en-US" w:eastAsia="zh-CN"/>
                    </w:rPr>
                    <w:t>/h</w:t>
                  </w:r>
                </w:p>
              </w:tc>
              <w:tc>
                <w:tcPr>
                  <w:tcW w:w="770" w:type="pct"/>
                  <w:shd w:val="clear" w:color="auto" w:fill="auto"/>
                  <w:noWrap/>
                  <w:vAlign w:val="center"/>
                </w:tcPr>
                <w:p w14:paraId="6F2F21AC">
                  <w:pPr>
                    <w:pStyle w:val="38"/>
                    <w:keepNext w:val="0"/>
                    <w:keepLines w:val="0"/>
                    <w:widowControl/>
                    <w:suppressLineNumbers w:val="0"/>
                    <w:bidi w:val="0"/>
                    <w:spacing w:before="0" w:beforeAutospacing="0" w:after="0" w:afterAutospacing="0"/>
                    <w:ind w:left="0" w:leftChars="0" w:right="0" w:rightChars="0"/>
                    <w:rPr>
                      <w:rFonts w:hint="eastAsia"/>
                      <w:b w:val="0"/>
                      <w:color w:val="000000"/>
                      <w:szCs w:val="22"/>
                    </w:rPr>
                  </w:pPr>
                  <w:r>
                    <w:rPr>
                      <w:rFonts w:hint="eastAsia"/>
                      <w:b w:val="0"/>
                      <w:color w:val="000000"/>
                      <w:szCs w:val="22"/>
                      <w:lang w:val="en-US" w:eastAsia="zh-CN"/>
                    </w:rPr>
                    <w:t>11812.5m</w:t>
                  </w:r>
                  <w:r>
                    <w:rPr>
                      <w:rFonts w:hint="eastAsia"/>
                      <w:b w:val="0"/>
                      <w:color w:val="000000"/>
                      <w:szCs w:val="22"/>
                      <w:vertAlign w:val="superscript"/>
                      <w:lang w:val="en-US" w:eastAsia="zh-CN"/>
                    </w:rPr>
                    <w:t>3</w:t>
                  </w:r>
                  <w:r>
                    <w:rPr>
                      <w:rFonts w:hint="eastAsia"/>
                      <w:b w:val="0"/>
                      <w:color w:val="000000"/>
                      <w:szCs w:val="22"/>
                      <w:vertAlign w:val="baseline"/>
                      <w:lang w:val="en-US" w:eastAsia="zh-CN"/>
                    </w:rPr>
                    <w:t>/h</w:t>
                  </w:r>
                </w:p>
              </w:tc>
              <w:tc>
                <w:tcPr>
                  <w:tcW w:w="664" w:type="pct"/>
                  <w:tcBorders>
                    <w:right w:val="nil"/>
                  </w:tcBorders>
                  <w:shd w:val="clear" w:color="auto" w:fill="auto"/>
                  <w:noWrap/>
                  <w:vAlign w:val="center"/>
                </w:tcPr>
                <w:p w14:paraId="2553BE10">
                  <w:pPr>
                    <w:pStyle w:val="38"/>
                    <w:keepNext w:val="0"/>
                    <w:keepLines w:val="0"/>
                    <w:widowControl/>
                    <w:suppressLineNumbers w:val="0"/>
                    <w:bidi w:val="0"/>
                    <w:spacing w:before="0" w:beforeAutospacing="0" w:after="0" w:afterAutospacing="0"/>
                    <w:ind w:left="0" w:right="0"/>
                    <w:rPr>
                      <w:rFonts w:hint="eastAsia"/>
                      <w:b w:val="0"/>
                      <w:color w:val="000000"/>
                      <w:szCs w:val="22"/>
                      <w:lang w:val="en-US" w:eastAsia="zh-CN"/>
                    </w:rPr>
                  </w:pPr>
                  <w:r>
                    <w:rPr>
                      <w:rFonts w:hint="eastAsia"/>
                      <w:b w:val="0"/>
                      <w:color w:val="000000"/>
                      <w:szCs w:val="22"/>
                      <w:lang w:val="en-US" w:eastAsia="zh-CN"/>
                    </w:rPr>
                    <w:t>DA002</w:t>
                  </w:r>
                </w:p>
                <w:p w14:paraId="48A2DA3D">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（15m）</w:t>
                  </w:r>
                </w:p>
              </w:tc>
            </w:tr>
            <w:tr w14:paraId="7DEEB793">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4" w:hRule="atLeast"/>
              </w:trPr>
              <w:tc>
                <w:tcPr>
                  <w:tcW w:w="582" w:type="pct"/>
                  <w:tcBorders>
                    <w:left w:val="nil"/>
                    <w:bottom w:val="single" w:color="000000" w:sz="12" w:space="0"/>
                  </w:tcBorders>
                  <w:shd w:val="clear" w:color="auto" w:fill="auto"/>
                  <w:noWrap/>
                  <w:vAlign w:val="center"/>
                </w:tcPr>
                <w:p w14:paraId="4EEEBE33">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生产线3</w:t>
                  </w:r>
                </w:p>
              </w:tc>
              <w:tc>
                <w:tcPr>
                  <w:tcW w:w="478" w:type="pct"/>
                  <w:vMerge w:val="continue"/>
                  <w:tcBorders>
                    <w:bottom w:val="single" w:color="000000" w:sz="12" w:space="0"/>
                  </w:tcBorders>
                  <w:shd w:val="clear" w:color="auto" w:fill="auto"/>
                  <w:noWrap/>
                  <w:vAlign w:val="center"/>
                </w:tcPr>
                <w:p w14:paraId="4A15B4F4">
                  <w:pPr>
                    <w:pStyle w:val="38"/>
                    <w:keepNext w:val="0"/>
                    <w:keepLines w:val="0"/>
                    <w:widowControl/>
                    <w:suppressLineNumbers w:val="0"/>
                    <w:bidi w:val="0"/>
                    <w:spacing w:before="0" w:beforeAutospacing="0" w:after="0" w:afterAutospacing="0"/>
                    <w:ind w:left="0" w:right="0"/>
                    <w:rPr>
                      <w:rFonts w:hint="eastAsia"/>
                      <w:b w:val="0"/>
                      <w:color w:val="000000"/>
                      <w:szCs w:val="22"/>
                    </w:rPr>
                  </w:pPr>
                </w:p>
              </w:tc>
              <w:tc>
                <w:tcPr>
                  <w:tcW w:w="606" w:type="pct"/>
                  <w:tcBorders>
                    <w:bottom w:val="single" w:color="000000" w:sz="12" w:space="0"/>
                  </w:tcBorders>
                  <w:shd w:val="clear" w:color="auto" w:fill="auto"/>
                  <w:noWrap/>
                  <w:vAlign w:val="center"/>
                </w:tcPr>
                <w:p w14:paraId="4509DAEA">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eastAsia"/>
                      <w:b w:val="0"/>
                      <w:color w:val="000000"/>
                      <w:szCs w:val="22"/>
                      <w:lang w:val="en-US" w:eastAsia="zh-CN"/>
                    </w:rPr>
                    <w:t>787.5m</w:t>
                  </w:r>
                  <w:r>
                    <w:rPr>
                      <w:rFonts w:hint="default" w:cs="Times New Roman"/>
                      <w:color w:val="000000"/>
                      <w:sz w:val="24"/>
                      <w:szCs w:val="22"/>
                      <w:highlight w:val="none"/>
                      <w:lang w:val="en-US" w:eastAsia="zh-CN"/>
                    </w:rPr>
                    <w:t>³</w:t>
                  </w:r>
                </w:p>
              </w:tc>
              <w:tc>
                <w:tcPr>
                  <w:tcW w:w="1082" w:type="pct"/>
                  <w:tcBorders>
                    <w:bottom w:val="single" w:color="000000" w:sz="12" w:space="0"/>
                  </w:tcBorders>
                  <w:shd w:val="clear" w:color="auto" w:fill="auto"/>
                  <w:vAlign w:val="center"/>
                </w:tcPr>
                <w:p w14:paraId="28381EA9">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“过滤棉+活性炭吸附装置”3#</w:t>
                  </w:r>
                </w:p>
              </w:tc>
              <w:tc>
                <w:tcPr>
                  <w:tcW w:w="814" w:type="pct"/>
                  <w:tcBorders>
                    <w:bottom w:val="single" w:color="000000" w:sz="12" w:space="0"/>
                  </w:tcBorders>
                  <w:shd w:val="clear" w:color="auto" w:fill="auto"/>
                  <w:noWrap/>
                  <w:vAlign w:val="center"/>
                </w:tcPr>
                <w:p w14:paraId="37B1A969">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20000m</w:t>
                  </w:r>
                  <w:r>
                    <w:rPr>
                      <w:rFonts w:hint="eastAsia"/>
                      <w:b w:val="0"/>
                      <w:color w:val="000000"/>
                      <w:szCs w:val="22"/>
                      <w:vertAlign w:val="superscript"/>
                      <w:lang w:val="en-US" w:eastAsia="zh-CN"/>
                    </w:rPr>
                    <w:t>3</w:t>
                  </w:r>
                  <w:r>
                    <w:rPr>
                      <w:rFonts w:hint="eastAsia"/>
                      <w:b w:val="0"/>
                      <w:color w:val="000000"/>
                      <w:szCs w:val="22"/>
                      <w:vertAlign w:val="baseline"/>
                      <w:lang w:val="en-US" w:eastAsia="zh-CN"/>
                    </w:rPr>
                    <w:t>/h</w:t>
                  </w:r>
                </w:p>
              </w:tc>
              <w:tc>
                <w:tcPr>
                  <w:tcW w:w="770" w:type="pct"/>
                  <w:tcBorders>
                    <w:bottom w:val="single" w:color="000000" w:sz="12" w:space="0"/>
                  </w:tcBorders>
                  <w:shd w:val="clear" w:color="auto" w:fill="auto"/>
                  <w:noWrap/>
                  <w:vAlign w:val="center"/>
                </w:tcPr>
                <w:p w14:paraId="2DF642F9">
                  <w:pPr>
                    <w:pStyle w:val="38"/>
                    <w:keepNext w:val="0"/>
                    <w:keepLines w:val="0"/>
                    <w:widowControl/>
                    <w:suppressLineNumbers w:val="0"/>
                    <w:bidi w:val="0"/>
                    <w:spacing w:before="0" w:beforeAutospacing="0" w:after="0" w:afterAutospacing="0"/>
                    <w:ind w:left="0" w:leftChars="0" w:right="0" w:rightChars="0"/>
                    <w:rPr>
                      <w:rFonts w:hint="eastAsia"/>
                      <w:b w:val="0"/>
                      <w:color w:val="000000"/>
                      <w:szCs w:val="22"/>
                    </w:rPr>
                  </w:pPr>
                  <w:r>
                    <w:rPr>
                      <w:rFonts w:hint="eastAsia"/>
                      <w:b w:val="0"/>
                      <w:color w:val="000000"/>
                      <w:szCs w:val="22"/>
                      <w:lang w:val="en-US" w:eastAsia="zh-CN"/>
                    </w:rPr>
                    <w:t>11812.5m</w:t>
                  </w:r>
                  <w:r>
                    <w:rPr>
                      <w:rFonts w:hint="eastAsia"/>
                      <w:b w:val="0"/>
                      <w:color w:val="000000"/>
                      <w:szCs w:val="22"/>
                      <w:vertAlign w:val="superscript"/>
                      <w:lang w:val="en-US" w:eastAsia="zh-CN"/>
                    </w:rPr>
                    <w:t>3</w:t>
                  </w:r>
                  <w:r>
                    <w:rPr>
                      <w:rFonts w:hint="eastAsia"/>
                      <w:b w:val="0"/>
                      <w:color w:val="000000"/>
                      <w:szCs w:val="22"/>
                      <w:vertAlign w:val="baseline"/>
                      <w:lang w:val="en-US" w:eastAsia="zh-CN"/>
                    </w:rPr>
                    <w:t>/h</w:t>
                  </w:r>
                </w:p>
              </w:tc>
              <w:tc>
                <w:tcPr>
                  <w:tcW w:w="664" w:type="pct"/>
                  <w:tcBorders>
                    <w:bottom w:val="single" w:color="000000" w:sz="12" w:space="0"/>
                    <w:right w:val="nil"/>
                  </w:tcBorders>
                  <w:shd w:val="clear" w:color="auto" w:fill="auto"/>
                  <w:noWrap/>
                  <w:vAlign w:val="center"/>
                </w:tcPr>
                <w:p w14:paraId="61F22D7A">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eastAsia"/>
                      <w:b w:val="0"/>
                      <w:color w:val="000000"/>
                      <w:szCs w:val="22"/>
                      <w:lang w:val="en-US" w:eastAsia="zh-CN"/>
                    </w:rPr>
                    <w:t>DA003</w:t>
                  </w:r>
                </w:p>
                <w:p w14:paraId="57DD4ADB">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（15m）</w:t>
                  </w:r>
                </w:p>
              </w:tc>
            </w:tr>
          </w:tbl>
          <w:p w14:paraId="7C4EDFCA">
            <w:pPr>
              <w:keepNext w:val="0"/>
              <w:keepLines w:val="0"/>
              <w:suppressLineNumbers w:val="0"/>
              <w:spacing w:before="0" w:beforeAutospacing="0" w:after="0" w:afterAutospacing="0" w:line="360" w:lineRule="auto"/>
              <w:ind w:left="0" w:right="0" w:firstLine="480" w:firstLineChars="200"/>
              <w:rPr>
                <w:rFonts w:hint="default" w:cs="Times New Roman"/>
                <w:color w:val="auto"/>
                <w:sz w:val="24"/>
                <w:highlight w:val="none"/>
                <w:u w:val="none"/>
                <w:lang w:val="en-US" w:eastAsia="zh-CN"/>
              </w:rPr>
            </w:pPr>
            <w:r>
              <w:rPr>
                <w:rFonts w:hint="eastAsia" w:cs="Times New Roman"/>
                <w:color w:val="auto"/>
                <w:sz w:val="24"/>
                <w:highlight w:val="none"/>
                <w:u w:val="none"/>
                <w:lang w:eastAsia="zh-CN"/>
              </w:rPr>
              <w:t>（</w:t>
            </w:r>
            <w:r>
              <w:rPr>
                <w:rFonts w:hint="eastAsia" w:cs="Times New Roman"/>
                <w:color w:val="auto"/>
                <w:sz w:val="24"/>
                <w:highlight w:val="none"/>
                <w:u w:val="none"/>
                <w:lang w:val="en-US" w:eastAsia="zh-CN"/>
              </w:rPr>
              <w:t>2</w:t>
            </w:r>
            <w:r>
              <w:rPr>
                <w:rFonts w:hint="eastAsia" w:cs="Times New Roman"/>
                <w:color w:val="auto"/>
                <w:sz w:val="24"/>
                <w:highlight w:val="none"/>
                <w:u w:val="none"/>
                <w:lang w:eastAsia="zh-CN"/>
              </w:rPr>
              <w:t>）</w:t>
            </w:r>
            <w:r>
              <w:rPr>
                <w:rFonts w:hint="eastAsia" w:cs="Times New Roman"/>
                <w:color w:val="auto"/>
                <w:sz w:val="24"/>
                <w:highlight w:val="none"/>
                <w:u w:val="none"/>
                <w:lang w:val="en-US" w:eastAsia="zh-CN"/>
              </w:rPr>
              <w:t>废气治理设施可行性分析</w:t>
            </w:r>
          </w:p>
          <w:p w14:paraId="32999BF3">
            <w:pPr>
              <w:keepNext w:val="0"/>
              <w:keepLines w:val="0"/>
              <w:suppressLineNumbers w:val="0"/>
              <w:spacing w:before="0" w:beforeAutospacing="0" w:after="0" w:afterAutospacing="0"/>
              <w:ind w:left="0" w:right="0" w:firstLine="480" w:firstLineChars="200"/>
              <w:rPr>
                <w:rFonts w:hint="eastAsia"/>
                <w:color w:val="auto"/>
              </w:rPr>
            </w:pPr>
            <w:r>
              <w:rPr>
                <w:rFonts w:hint="eastAsia" w:ascii="Times New Roman" w:hAnsi="Times New Roman" w:eastAsia="宋体" w:cs="Times New Roman"/>
                <w:color w:val="auto"/>
                <w:kern w:val="0"/>
                <w:sz w:val="24"/>
                <w:szCs w:val="24"/>
                <w:lang w:val="en-US" w:eastAsia="zh-CN" w:bidi="ar-SA"/>
              </w:rPr>
              <w:t>①</w:t>
            </w:r>
            <w:r>
              <w:rPr>
                <w:rFonts w:hint="eastAsia"/>
                <w:color w:val="auto"/>
              </w:rPr>
              <w:t>水帘装置</w:t>
            </w:r>
          </w:p>
          <w:p w14:paraId="4A008840">
            <w:pPr>
              <w:keepNext w:val="0"/>
              <w:keepLines w:val="0"/>
              <w:suppressLineNumbers w:val="0"/>
              <w:spacing w:before="0" w:beforeAutospacing="0" w:after="0" w:afterAutospacing="0"/>
              <w:ind w:left="0" w:right="0" w:firstLine="480" w:firstLineChars="200"/>
              <w:rPr>
                <w:rFonts w:hint="eastAsia" w:cs="宋体"/>
                <w:color w:val="auto"/>
              </w:rPr>
            </w:pPr>
            <w:r>
              <w:rPr>
                <w:rFonts w:hint="eastAsia" w:cs="宋体"/>
                <w:color w:val="auto"/>
              </w:rPr>
              <w:t>水帘喷漆房是利用水来捕捉漆雾的一种设备。它一般由排风装置、供水装置、捕集漆雾水帘和喷淋装置、汽水分离装置、风道等构成。在排风机引力的作用下，含有漆雾的空气向水帘喷漆房的内壁水帘板方向流动，一部分漆雾直接接触到水帘板上的水膜而被吸附，一部分漆雾在经过水帘板上淌下的水帘时被水帘冲刷掉，其余未被水膜和水帘捕捉到的残余漆雾在通过水洗区和清洗区时被清洗掉。</w:t>
            </w:r>
          </w:p>
          <w:p w14:paraId="5E2820B7">
            <w:pPr>
              <w:keepNext w:val="0"/>
              <w:keepLines w:val="0"/>
              <w:suppressLineNumbers w:val="0"/>
              <w:spacing w:before="0" w:beforeAutospacing="0" w:after="0" w:afterAutospacing="0" w:line="360" w:lineRule="auto"/>
              <w:ind w:left="0" w:right="0" w:firstLine="480" w:firstLineChars="200"/>
              <w:rPr>
                <w:rFonts w:hint="eastAsia" w:cs="宋体"/>
                <w:color w:val="auto"/>
              </w:rPr>
            </w:pPr>
            <w:r>
              <w:rPr>
                <w:rFonts w:hint="eastAsia" w:cs="Times New Roman"/>
                <w:bCs/>
                <w:color w:val="auto"/>
                <w:sz w:val="24"/>
                <w:highlight w:val="none"/>
                <w:u w:val="none"/>
                <w:lang w:val="en-US" w:eastAsia="zh-CN"/>
              </w:rPr>
              <w:t>②</w:t>
            </w:r>
            <w:r>
              <w:rPr>
                <w:rFonts w:hint="eastAsia"/>
                <w:color w:val="auto"/>
                <w:lang w:val="en-US" w:eastAsia="zh-CN"/>
              </w:rPr>
              <w:t>过滤棉</w:t>
            </w:r>
            <w:r>
              <w:rPr>
                <w:rFonts w:hint="eastAsia" w:cs="宋体"/>
                <w:color w:val="auto"/>
              </w:rPr>
              <w:t>+二级活性炭吸附治理措施</w:t>
            </w:r>
          </w:p>
          <w:p w14:paraId="1042C347">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u w:val="none"/>
              </w:rPr>
            </w:pPr>
            <w:r>
              <w:rPr>
                <w:rFonts w:hint="default" w:ascii="Times New Roman" w:hAnsi="Times New Roman" w:cs="Times New Roman"/>
                <w:bCs/>
                <w:color w:val="auto"/>
                <w:sz w:val="24"/>
                <w:highlight w:val="none"/>
                <w:u w:val="none"/>
              </w:rPr>
              <w:t>过滤棉主要用于去除漆雾。活性炭是一种具有多孔结构和大的内部比表面积的材料。由于其大的比表面积、微孔结构、高的吸附能力和很高的表面活性而成为独特的多功能吸附剂</w:t>
            </w:r>
            <w:r>
              <w:rPr>
                <w:rFonts w:hint="eastAsia" w:cs="Times New Roman"/>
                <w:bCs/>
                <w:color w:val="auto"/>
                <w:sz w:val="24"/>
                <w:highlight w:val="none"/>
                <w:u w:val="none"/>
                <w:lang w:eastAsia="zh-CN"/>
              </w:rPr>
              <w:t>且</w:t>
            </w:r>
            <w:r>
              <w:rPr>
                <w:rFonts w:hint="default" w:ascii="Times New Roman" w:hAnsi="Times New Roman" w:cs="Times New Roman"/>
                <w:bCs/>
                <w:color w:val="auto"/>
                <w:sz w:val="24"/>
                <w:highlight w:val="none"/>
                <w:u w:val="none"/>
              </w:rPr>
              <w:t>其价廉易得，可再生活化，同时它可有效去除废水、废气中的大部分有机物和某些无机物，所以它被世界各国广泛地应用于污水及废气的处理、空气净化、回收溶剂等环境保护和资源回收等领域。活性炭分为粉末活性炭、粒状活性炭及活性炭纤维，但是由于粉末活性炭产生二次污染且不能再生而被限制使用。粒状活性炭粒径500～5000μm，有机废气通过吸附床，与活性炭接触，废气中的有机污染物被吸附在活性炭表面，从而从气流中脱离出来，达到净化效果。</w:t>
            </w:r>
          </w:p>
          <w:p w14:paraId="6B204FE6">
            <w:pPr>
              <w:keepNext w:val="0"/>
              <w:keepLines w:val="0"/>
              <w:suppressLineNumbers w:val="0"/>
              <w:spacing w:before="0" w:beforeAutospacing="0" w:after="0" w:afterAutospacing="0" w:line="360" w:lineRule="auto"/>
              <w:ind w:left="0" w:right="0" w:firstLine="480" w:firstLineChars="200"/>
              <w:rPr>
                <w:rFonts w:hint="default"/>
              </w:rPr>
            </w:pPr>
            <w:r>
              <w:rPr>
                <w:rFonts w:hint="eastAsia"/>
                <w:b w:val="0"/>
                <w:bCs w:val="0"/>
                <w:iCs w:val="0"/>
                <w:color w:val="auto"/>
                <w:kern w:val="0"/>
                <w:lang w:val="en-US" w:eastAsia="zh-CN" w:bidi="ar"/>
              </w:rPr>
              <w:t>更换周期</w:t>
            </w:r>
            <w:r>
              <w:rPr>
                <w:rFonts w:hint="eastAsia"/>
                <w:b w:val="0"/>
                <w:bCs w:val="0"/>
                <w:iCs w:val="0"/>
                <w:color w:val="auto"/>
                <w:kern w:val="0"/>
                <w:lang w:bidi="ar"/>
              </w:rPr>
              <w:t>参照《重庆市生态环境委员会办公室2023年重庆市夏秋季臭氧污染防治攻坚工作方案》（渝生态环委办〔2023〕2号）中附件2《活性炭治理设施专项整治相关要求》第五点关于活性炭装填控制要求：“活性炭更换周期宜不超过累计运行500小时或3个月</w:t>
            </w:r>
            <w:r>
              <w:rPr>
                <w:rFonts w:hint="eastAsia"/>
                <w:b w:val="0"/>
                <w:bCs w:val="0"/>
                <w:iCs w:val="0"/>
                <w:color w:val="auto"/>
                <w:kern w:val="0"/>
                <w:lang w:eastAsia="zh-CN" w:bidi="ar"/>
              </w:rPr>
              <w:t>”</w:t>
            </w:r>
            <w:r>
              <w:rPr>
                <w:rFonts w:hint="eastAsia"/>
                <w:b w:val="0"/>
                <w:bCs w:val="0"/>
                <w:iCs w:val="0"/>
                <w:color w:val="auto"/>
                <w:kern w:val="0"/>
                <w:lang w:bidi="ar"/>
              </w:rPr>
              <w:t>，</w:t>
            </w:r>
            <w:r>
              <w:rPr>
                <w:rFonts w:hint="eastAsia"/>
                <w:b w:val="0"/>
                <w:bCs w:val="0"/>
                <w:iCs w:val="0"/>
                <w:color w:val="auto"/>
                <w:kern w:val="0"/>
                <w:lang w:val="en-US" w:eastAsia="zh-CN" w:bidi="ar"/>
              </w:rPr>
              <w:t>本项目计划每3个月更换一次活性炭</w:t>
            </w:r>
            <w:r>
              <w:rPr>
                <w:rFonts w:hint="eastAsia"/>
                <w:b w:val="0"/>
                <w:bCs w:val="0"/>
                <w:iCs w:val="0"/>
                <w:color w:val="auto"/>
                <w:kern w:val="0"/>
                <w:lang w:bidi="ar"/>
              </w:rPr>
              <w:t>，为确保</w:t>
            </w:r>
            <w:r>
              <w:rPr>
                <w:rFonts w:hint="eastAsia"/>
                <w:b w:val="0"/>
                <w:bCs w:val="0"/>
                <w:iCs w:val="0"/>
                <w:color w:val="auto"/>
                <w:kern w:val="0"/>
                <w:lang w:val="en-US" w:eastAsia="zh-CN" w:bidi="ar"/>
              </w:rPr>
              <w:t>单</w:t>
            </w:r>
            <w:r>
              <w:rPr>
                <w:rFonts w:hint="eastAsia"/>
                <w:b w:val="0"/>
                <w:bCs w:val="0"/>
                <w:iCs w:val="0"/>
                <w:color w:val="auto"/>
                <w:kern w:val="0"/>
                <w:lang w:bidi="ar"/>
              </w:rPr>
              <w:t>级活性炭吸附装置处理效率，要求年更换次数不少于</w:t>
            </w:r>
            <w:r>
              <w:rPr>
                <w:rFonts w:hint="eastAsia"/>
                <w:b w:val="0"/>
                <w:bCs w:val="0"/>
                <w:iCs w:val="0"/>
                <w:color w:val="auto"/>
                <w:kern w:val="0"/>
                <w:lang w:val="en-US" w:eastAsia="zh-CN" w:bidi="ar"/>
              </w:rPr>
              <w:t>4</w:t>
            </w:r>
            <w:r>
              <w:rPr>
                <w:rFonts w:hint="eastAsia"/>
                <w:b w:val="0"/>
                <w:bCs w:val="0"/>
                <w:iCs w:val="0"/>
                <w:color w:val="auto"/>
                <w:kern w:val="0"/>
                <w:lang w:bidi="ar"/>
              </w:rPr>
              <w:t>次。</w:t>
            </w:r>
          </w:p>
          <w:p w14:paraId="25C261A1">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bCs/>
                <w:color w:val="auto"/>
                <w:sz w:val="24"/>
                <w:highlight w:val="none"/>
                <w:u w:val="none"/>
                <w:lang w:eastAsia="zh-CN"/>
              </w:rPr>
            </w:pPr>
            <w:r>
              <w:rPr>
                <w:rFonts w:hint="eastAsia" w:cs="Times New Roman"/>
                <w:color w:val="auto"/>
                <w:kern w:val="0"/>
                <w:sz w:val="24"/>
                <w:szCs w:val="24"/>
                <w:lang w:val="en-US" w:eastAsia="zh-CN" w:bidi="ar-SA"/>
              </w:rPr>
              <w:t>③</w:t>
            </w:r>
            <w:r>
              <w:rPr>
                <w:rFonts w:hint="eastAsia" w:ascii="Times New Roman" w:hAnsi="Times New Roman" w:eastAsia="宋体" w:cs="Times New Roman"/>
                <w:bCs/>
                <w:color w:val="auto"/>
                <w:sz w:val="24"/>
                <w:highlight w:val="none"/>
                <w:u w:val="none"/>
                <w:lang w:eastAsia="zh-CN"/>
              </w:rPr>
              <w:t>技术可行分析</w:t>
            </w:r>
          </w:p>
          <w:p w14:paraId="632D395A">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bCs/>
                <w:color w:val="auto"/>
                <w:sz w:val="24"/>
                <w:highlight w:val="none"/>
                <w:u w:val="none"/>
                <w:lang w:eastAsia="zh-CN"/>
              </w:rPr>
            </w:pPr>
            <w:r>
              <w:rPr>
                <w:rFonts w:hint="eastAsia" w:cs="Times New Roman"/>
                <w:bCs/>
                <w:color w:val="auto"/>
                <w:sz w:val="24"/>
                <w:highlight w:val="none"/>
                <w:u w:val="none"/>
                <w:lang w:val="en-US" w:eastAsia="zh-CN"/>
              </w:rPr>
              <w:t>A</w:t>
            </w:r>
            <w:r>
              <w:rPr>
                <w:rFonts w:hint="eastAsia" w:ascii="Times New Roman" w:hAnsi="Times New Roman" w:eastAsia="宋体" w:cs="Times New Roman"/>
                <w:bCs/>
                <w:color w:val="auto"/>
                <w:sz w:val="24"/>
                <w:highlight w:val="none"/>
                <w:u w:val="none"/>
                <w:lang w:eastAsia="zh-CN"/>
              </w:rPr>
              <w:t>、集气效率要求及可靠性分析</w:t>
            </w:r>
          </w:p>
          <w:p w14:paraId="13714829">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u w:val="none"/>
              </w:rPr>
            </w:pPr>
            <w:r>
              <w:rPr>
                <w:rFonts w:hint="default" w:ascii="Times New Roman" w:hAnsi="Times New Roman" w:eastAsia="宋体" w:cs="Times New Roman"/>
                <w:bCs/>
                <w:color w:val="auto"/>
                <w:sz w:val="24"/>
                <w:highlight w:val="none"/>
                <w:u w:val="none"/>
              </w:rPr>
              <w:t>根据《福建省环保厅关于印发福建省重点行业挥发性有机物排放控制要求</w:t>
            </w:r>
            <w:r>
              <w:rPr>
                <w:rFonts w:hint="eastAsia" w:ascii="Times New Roman" w:hAnsi="Times New Roman" w:eastAsia="宋体" w:cs="Times New Roman"/>
                <w:bCs/>
                <w:color w:val="auto"/>
                <w:sz w:val="24"/>
                <w:highlight w:val="none"/>
                <w:u w:val="none"/>
                <w:lang w:eastAsia="zh-CN"/>
              </w:rPr>
              <w:t>（</w:t>
            </w:r>
            <w:r>
              <w:rPr>
                <w:rFonts w:hint="default" w:ascii="Times New Roman" w:hAnsi="Times New Roman" w:eastAsia="宋体" w:cs="Times New Roman"/>
                <w:bCs/>
                <w:color w:val="auto"/>
                <w:sz w:val="24"/>
                <w:highlight w:val="none"/>
                <w:u w:val="none"/>
              </w:rPr>
              <w:t>试行</w:t>
            </w:r>
            <w:r>
              <w:rPr>
                <w:rFonts w:hint="eastAsia" w:ascii="Times New Roman" w:hAnsi="Times New Roman" w:eastAsia="宋体" w:cs="Times New Roman"/>
                <w:bCs/>
                <w:color w:val="auto"/>
                <w:sz w:val="24"/>
                <w:highlight w:val="none"/>
                <w:u w:val="none"/>
                <w:lang w:eastAsia="zh-CN"/>
              </w:rPr>
              <w:t>）</w:t>
            </w:r>
            <w:r>
              <w:rPr>
                <w:rFonts w:hint="default" w:ascii="Times New Roman" w:hAnsi="Times New Roman" w:eastAsia="宋体" w:cs="Times New Roman"/>
                <w:bCs/>
                <w:color w:val="auto"/>
                <w:sz w:val="24"/>
                <w:highlight w:val="none"/>
                <w:u w:val="none"/>
              </w:rPr>
              <w:t>的通知》</w:t>
            </w:r>
            <w:r>
              <w:rPr>
                <w:rFonts w:hint="eastAsia" w:ascii="Times New Roman" w:hAnsi="Times New Roman" w:eastAsia="宋体" w:cs="Times New Roman"/>
                <w:bCs/>
                <w:color w:val="auto"/>
                <w:sz w:val="24"/>
                <w:highlight w:val="none"/>
                <w:u w:val="none"/>
                <w:lang w:eastAsia="zh-CN"/>
              </w:rPr>
              <w:t>（</w:t>
            </w:r>
            <w:r>
              <w:rPr>
                <w:rFonts w:hint="default" w:ascii="Times New Roman" w:hAnsi="Times New Roman" w:eastAsia="宋体" w:cs="Times New Roman"/>
                <w:bCs/>
                <w:color w:val="auto"/>
                <w:sz w:val="24"/>
                <w:highlight w:val="none"/>
                <w:u w:val="none"/>
              </w:rPr>
              <w:t>闽环保大气〔2017〕9号</w:t>
            </w:r>
            <w:r>
              <w:rPr>
                <w:rFonts w:hint="eastAsia" w:ascii="Times New Roman" w:hAnsi="Times New Roman" w:eastAsia="宋体" w:cs="Times New Roman"/>
                <w:bCs/>
                <w:color w:val="auto"/>
                <w:sz w:val="24"/>
                <w:highlight w:val="none"/>
                <w:u w:val="none"/>
                <w:lang w:eastAsia="zh-CN"/>
              </w:rPr>
              <w:t>）</w:t>
            </w:r>
            <w:r>
              <w:rPr>
                <w:rFonts w:hint="default" w:ascii="Times New Roman" w:hAnsi="Times New Roman" w:eastAsia="宋体" w:cs="Times New Roman"/>
                <w:bCs/>
                <w:color w:val="auto"/>
                <w:sz w:val="24"/>
                <w:highlight w:val="none"/>
                <w:u w:val="none"/>
              </w:rPr>
              <w:t>中提出的密闭式局部收集的逸散的VOCs废气收集率应达到80%以上</w:t>
            </w:r>
            <w:r>
              <w:rPr>
                <w:rFonts w:hint="default" w:ascii="Times New Roman" w:hAnsi="Times New Roman" w:eastAsia="宋体" w:cs="Times New Roman"/>
                <w:bCs/>
                <w:color w:val="auto"/>
                <w:sz w:val="24"/>
                <w:highlight w:val="none"/>
                <w:u w:val="none"/>
                <w:lang w:eastAsia="zh-CN"/>
              </w:rPr>
              <w:t>。本项目</w:t>
            </w:r>
            <w:r>
              <w:rPr>
                <w:rFonts w:hint="default" w:ascii="Times New Roman" w:hAnsi="Times New Roman" w:eastAsia="宋体" w:cs="Times New Roman"/>
                <w:bCs/>
                <w:color w:val="auto"/>
                <w:sz w:val="24"/>
                <w:highlight w:val="none"/>
                <w:u w:val="none"/>
              </w:rPr>
              <w:t>挥发性有机物</w:t>
            </w:r>
            <w:r>
              <w:rPr>
                <w:rFonts w:hint="eastAsia" w:cs="Times New Roman"/>
                <w:bCs/>
                <w:color w:val="auto"/>
                <w:sz w:val="24"/>
                <w:highlight w:val="none"/>
                <w:u w:val="none"/>
                <w:lang w:eastAsia="zh-CN"/>
              </w:rPr>
              <w:t>排放</w:t>
            </w:r>
            <w:r>
              <w:rPr>
                <w:rFonts w:hint="default" w:ascii="Times New Roman" w:hAnsi="Times New Roman" w:eastAsia="宋体" w:cs="Times New Roman"/>
                <w:bCs/>
                <w:color w:val="auto"/>
                <w:sz w:val="24"/>
                <w:highlight w:val="none"/>
                <w:u w:val="none"/>
                <w:lang w:eastAsia="zh-CN"/>
              </w:rPr>
              <w:t>主要为</w:t>
            </w:r>
            <w:r>
              <w:rPr>
                <w:rFonts w:hint="eastAsia" w:ascii="Times New Roman" w:hAnsi="Times New Roman" w:eastAsia="宋体" w:cs="Times New Roman"/>
                <w:bCs/>
                <w:color w:val="auto"/>
                <w:sz w:val="24"/>
                <w:highlight w:val="none"/>
                <w:u w:val="none"/>
                <w:lang w:val="en-US" w:eastAsia="zh-CN"/>
              </w:rPr>
              <w:t>喷漆、烘干、加烤</w:t>
            </w:r>
            <w:r>
              <w:rPr>
                <w:rFonts w:hint="default" w:ascii="Times New Roman" w:hAnsi="Times New Roman" w:eastAsia="宋体" w:cs="Times New Roman"/>
                <w:bCs/>
                <w:color w:val="auto"/>
                <w:sz w:val="24"/>
                <w:highlight w:val="none"/>
                <w:u w:val="none"/>
                <w:lang w:eastAsia="zh-CN"/>
              </w:rPr>
              <w:t>废气。</w:t>
            </w:r>
            <w:r>
              <w:rPr>
                <w:rFonts w:hint="default" w:ascii="Times New Roman" w:hAnsi="Times New Roman" w:eastAsia="宋体" w:cs="Times New Roman"/>
                <w:bCs/>
                <w:color w:val="auto"/>
                <w:sz w:val="24"/>
                <w:highlight w:val="none"/>
                <w:u w:val="none"/>
                <w:lang w:val="en-US" w:eastAsia="zh-CN"/>
              </w:rPr>
              <w:t>项目</w:t>
            </w:r>
            <w:r>
              <w:rPr>
                <w:rFonts w:hint="eastAsia" w:ascii="Times New Roman" w:hAnsi="Times New Roman" w:eastAsia="宋体" w:cs="Times New Roman"/>
                <w:bCs/>
                <w:color w:val="auto"/>
                <w:sz w:val="24"/>
                <w:highlight w:val="none"/>
                <w:u w:val="none"/>
                <w:lang w:val="en-US" w:eastAsia="zh-CN"/>
              </w:rPr>
              <w:t>废气</w:t>
            </w:r>
            <w:r>
              <w:rPr>
                <w:rFonts w:hint="default" w:ascii="Times New Roman" w:hAnsi="Times New Roman" w:eastAsia="宋体" w:cs="Times New Roman"/>
                <w:bCs/>
                <w:color w:val="auto"/>
                <w:sz w:val="24"/>
                <w:highlight w:val="none"/>
                <w:u w:val="none"/>
                <w:lang w:val="en-US" w:eastAsia="zh-CN"/>
              </w:rPr>
              <w:t>收集效率按9</w:t>
            </w:r>
            <w:r>
              <w:rPr>
                <w:rFonts w:hint="eastAsia" w:ascii="Times New Roman" w:hAnsi="Times New Roman" w:eastAsia="宋体" w:cs="Times New Roman"/>
                <w:bCs/>
                <w:color w:val="auto"/>
                <w:sz w:val="24"/>
                <w:highlight w:val="none"/>
                <w:u w:val="none"/>
                <w:lang w:val="en-US" w:eastAsia="zh-CN"/>
              </w:rPr>
              <w:t>0</w:t>
            </w:r>
            <w:r>
              <w:rPr>
                <w:rFonts w:hint="default" w:ascii="Times New Roman" w:hAnsi="Times New Roman" w:eastAsia="宋体" w:cs="Times New Roman"/>
                <w:bCs/>
                <w:color w:val="auto"/>
                <w:sz w:val="24"/>
                <w:highlight w:val="none"/>
                <w:u w:val="none"/>
                <w:lang w:val="en-US" w:eastAsia="zh-CN"/>
              </w:rPr>
              <w:t>%计</w:t>
            </w:r>
            <w:r>
              <w:rPr>
                <w:rFonts w:hint="default" w:ascii="Times New Roman" w:hAnsi="Times New Roman" w:eastAsia="宋体" w:cs="Times New Roman"/>
                <w:bCs/>
                <w:color w:val="auto"/>
                <w:sz w:val="24"/>
                <w:highlight w:val="none"/>
                <w:u w:val="none"/>
                <w:lang w:eastAsia="zh-CN"/>
              </w:rPr>
              <w:t>，要求</w:t>
            </w:r>
            <w:r>
              <w:rPr>
                <w:rFonts w:hint="default" w:ascii="Times New Roman" w:hAnsi="Times New Roman" w:eastAsia="宋体" w:cs="Times New Roman"/>
                <w:bCs/>
                <w:color w:val="auto"/>
                <w:sz w:val="24"/>
                <w:highlight w:val="none"/>
                <w:u w:val="none"/>
              </w:rPr>
              <w:t>废气收集系统与生产设备自动同步启动，</w:t>
            </w:r>
            <w:r>
              <w:rPr>
                <w:rFonts w:hint="default" w:ascii="Times New Roman" w:hAnsi="Times New Roman" w:eastAsia="宋体" w:cs="Times New Roman"/>
                <w:bCs/>
                <w:color w:val="auto"/>
                <w:sz w:val="24"/>
                <w:highlight w:val="none"/>
                <w:u w:val="none"/>
                <w:lang w:val="en-US" w:eastAsia="zh-CN"/>
              </w:rPr>
              <w:t>采取以上措施，</w:t>
            </w:r>
            <w:r>
              <w:rPr>
                <w:rFonts w:hint="default" w:ascii="Times New Roman" w:hAnsi="Times New Roman" w:eastAsia="宋体" w:cs="Times New Roman"/>
                <w:bCs/>
                <w:color w:val="auto"/>
                <w:sz w:val="24"/>
                <w:highlight w:val="none"/>
                <w:u w:val="none"/>
                <w:lang w:eastAsia="zh-CN"/>
              </w:rPr>
              <w:t>正常情</w:t>
            </w:r>
            <w:r>
              <w:rPr>
                <w:rFonts w:hint="eastAsia" w:cs="Times New Roman"/>
                <w:bCs/>
                <w:color w:val="auto"/>
                <w:sz w:val="24"/>
                <w:highlight w:val="none"/>
                <w:u w:val="none"/>
                <w:lang w:eastAsia="zh-CN"/>
              </w:rPr>
              <w:t>况下</w:t>
            </w:r>
            <w:r>
              <w:rPr>
                <w:rFonts w:hint="default" w:ascii="Times New Roman" w:hAnsi="Times New Roman" w:eastAsia="宋体" w:cs="Times New Roman"/>
                <w:bCs/>
                <w:color w:val="auto"/>
                <w:sz w:val="24"/>
                <w:highlight w:val="none"/>
                <w:u w:val="none"/>
                <w:lang w:eastAsia="zh-CN"/>
              </w:rPr>
              <w:t>，可确保收集效率可达</w:t>
            </w:r>
            <w:r>
              <w:rPr>
                <w:rFonts w:hint="default" w:ascii="Times New Roman" w:hAnsi="Times New Roman" w:eastAsia="宋体" w:cs="Times New Roman"/>
                <w:bCs/>
                <w:color w:val="auto"/>
                <w:sz w:val="24"/>
                <w:highlight w:val="none"/>
                <w:u w:val="none"/>
                <w:lang w:val="en-US" w:eastAsia="zh-CN"/>
              </w:rPr>
              <w:t>9</w:t>
            </w:r>
            <w:r>
              <w:rPr>
                <w:rFonts w:hint="eastAsia" w:ascii="Times New Roman" w:hAnsi="Times New Roman" w:eastAsia="宋体" w:cs="Times New Roman"/>
                <w:bCs/>
                <w:color w:val="auto"/>
                <w:sz w:val="24"/>
                <w:highlight w:val="none"/>
                <w:u w:val="none"/>
                <w:lang w:val="en-US" w:eastAsia="zh-CN"/>
              </w:rPr>
              <w:t>0</w:t>
            </w:r>
            <w:r>
              <w:rPr>
                <w:rFonts w:hint="default" w:ascii="Times New Roman" w:hAnsi="Times New Roman" w:eastAsia="宋体" w:cs="Times New Roman"/>
                <w:bCs/>
                <w:color w:val="auto"/>
                <w:sz w:val="24"/>
                <w:highlight w:val="none"/>
                <w:u w:val="none"/>
                <w:lang w:val="en-US" w:eastAsia="zh-CN"/>
              </w:rPr>
              <w:t>%，可符合</w:t>
            </w:r>
            <w:r>
              <w:rPr>
                <w:rFonts w:hint="default" w:ascii="Times New Roman" w:hAnsi="Times New Roman" w:eastAsia="宋体" w:cs="Times New Roman"/>
                <w:bCs/>
                <w:color w:val="auto"/>
                <w:sz w:val="24"/>
                <w:highlight w:val="none"/>
                <w:u w:val="none"/>
              </w:rPr>
              <w:t>闽环保大气〔2017〕9号提出VOCs废气收集率应达到80%以上，可符合要求。</w:t>
            </w:r>
          </w:p>
          <w:p w14:paraId="6E8894BF">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lang w:val="en-US" w:eastAsia="zh-CN"/>
              </w:rPr>
            </w:pPr>
            <w:r>
              <w:rPr>
                <w:rFonts w:hint="eastAsia" w:cs="Times New Roman"/>
                <w:color w:val="auto"/>
                <w:sz w:val="24"/>
                <w:lang w:val="en-US" w:eastAsia="zh-CN"/>
              </w:rPr>
              <w:t>B</w:t>
            </w:r>
            <w:r>
              <w:rPr>
                <w:rFonts w:hint="eastAsia" w:ascii="Times New Roman" w:hAnsi="Times New Roman" w:eastAsia="宋体" w:cs="Times New Roman"/>
                <w:color w:val="auto"/>
                <w:sz w:val="24"/>
                <w:lang w:val="en-US" w:eastAsia="zh-CN"/>
              </w:rPr>
              <w:t>、环保措施可行性分析：</w:t>
            </w:r>
          </w:p>
          <w:p w14:paraId="2BCF7B24">
            <w:pPr>
              <w:keepNext w:val="0"/>
              <w:keepLines w:val="0"/>
              <w:suppressLineNumbers w:val="0"/>
              <w:spacing w:before="0" w:beforeAutospacing="0" w:after="0" w:afterAutospacing="0" w:line="351" w:lineRule="auto"/>
              <w:ind w:left="0" w:right="0"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过滤棉主要用于去除漆雾。当有机废气气体由风机提供动力，正压或负压进入塔体，由于活性炭固体表面上存在着未平衡和未饱和的分子引力或</w:t>
            </w:r>
            <w:r>
              <w:rPr>
                <w:rFonts w:hint="eastAsia" w:cs="Times New Roman"/>
                <w:color w:val="auto"/>
                <w:sz w:val="24"/>
                <w:lang w:val="en-US" w:eastAsia="zh-CN"/>
              </w:rPr>
              <w:t>化学键</w:t>
            </w:r>
            <w:r>
              <w:rPr>
                <w:rFonts w:hint="eastAsia" w:ascii="Times New Roman" w:hAnsi="Times New Roman" w:eastAsia="宋体" w:cs="Times New Roman"/>
                <w:color w:val="auto"/>
                <w:sz w:val="24"/>
                <w:lang w:val="en-US" w:eastAsia="zh-CN"/>
              </w:rPr>
              <w:t>力，因此</w:t>
            </w:r>
            <w:r>
              <w:rPr>
                <w:rFonts w:hint="eastAsia" w:cs="Times New Roman"/>
                <w:color w:val="auto"/>
                <w:sz w:val="24"/>
                <w:lang w:val="en-US" w:eastAsia="zh-CN"/>
              </w:rPr>
              <w:t>当</w:t>
            </w:r>
            <w:r>
              <w:rPr>
                <w:rFonts w:hint="eastAsia" w:ascii="Times New Roman" w:hAnsi="Times New Roman" w:eastAsia="宋体" w:cs="Times New Roman"/>
                <w:color w:val="auto"/>
                <w:sz w:val="24"/>
                <w:lang w:val="en-US" w:eastAsia="zh-CN"/>
              </w:rPr>
              <w:t>固体表面与气体接触时，就能吸引气体分子，使其浓聚并保持在固体表面，污染物质及气味从而被吸附，废气经活性炭吸附塔后，净化气体高空达标排放。</w:t>
            </w:r>
          </w:p>
          <w:p w14:paraId="2A519491">
            <w:pPr>
              <w:keepNext w:val="0"/>
              <w:keepLines w:val="0"/>
              <w:suppressLineNumbers w:val="0"/>
              <w:spacing w:before="0" w:beforeAutospacing="0" w:after="0" w:afterAutospacing="0" w:line="351" w:lineRule="auto"/>
              <w:ind w:left="0" w:right="0"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bCs/>
                <w:color w:val="000000"/>
                <w:sz w:val="24"/>
                <w:highlight w:val="none"/>
                <w:lang w:val="en-US" w:eastAsia="zh-CN"/>
              </w:rPr>
              <w:t>由表4.2-2可知，本项目产生的有机废气经处理后</w:t>
            </w:r>
            <w:r>
              <w:rPr>
                <w:rFonts w:hint="eastAsia" w:ascii="Times New Roman" w:hAnsi="Times New Roman" w:eastAsia="宋体" w:cs="Times New Roman"/>
                <w:bCs/>
                <w:color w:val="000000"/>
                <w:sz w:val="24"/>
                <w:highlight w:val="none"/>
              </w:rPr>
              <w:t>可达到</w:t>
            </w:r>
            <w:r>
              <w:rPr>
                <w:rFonts w:hint="default" w:ascii="Times New Roman" w:hAnsi="Times New Roman" w:cs="Times New Roman"/>
                <w:color w:val="000000"/>
                <w:sz w:val="24"/>
                <w:szCs w:val="24"/>
                <w:highlight w:val="none"/>
              </w:rPr>
              <w:t>非甲烷总烃的排放浓度满足</w:t>
            </w:r>
            <w:r>
              <w:rPr>
                <w:rFonts w:hint="eastAsia" w:ascii="Times New Roman" w:hAnsi="Times New Roman" w:eastAsia="宋体" w:cs="Times New Roman"/>
                <w:bCs/>
                <w:color w:val="auto"/>
                <w:sz w:val="24"/>
                <w:highlight w:val="none"/>
                <w:u w:val="none"/>
                <w:lang w:eastAsia="zh-CN"/>
              </w:rPr>
              <w:t>可达到《工业涂装工序挥发性有机物排放标准》（DB35/1783-2018）中表1标准中排放限值要求。</w:t>
            </w:r>
            <w:r>
              <w:rPr>
                <w:rFonts w:hint="default" w:ascii="Times New Roman" w:hAnsi="Times New Roman" w:eastAsia="宋体" w:cs="Times New Roman"/>
                <w:bCs/>
                <w:color w:val="000000"/>
                <w:sz w:val="24"/>
                <w:highlight w:val="none"/>
              </w:rPr>
              <w:t>因此，</w:t>
            </w:r>
            <w:r>
              <w:rPr>
                <w:rFonts w:hint="eastAsia" w:ascii="Times New Roman" w:hAnsi="Times New Roman" w:eastAsia="宋体" w:cs="Times New Roman"/>
                <w:bCs/>
                <w:color w:val="000000"/>
                <w:sz w:val="24"/>
                <w:highlight w:val="none"/>
                <w:lang w:eastAsia="zh-CN"/>
              </w:rPr>
              <w:t>项目有机废气经处理后对环境影响较小，</w:t>
            </w:r>
            <w:r>
              <w:rPr>
                <w:rFonts w:hint="default" w:ascii="Times New Roman" w:hAnsi="Times New Roman" w:eastAsia="宋体" w:cs="Times New Roman"/>
                <w:bCs/>
                <w:color w:val="000000"/>
                <w:sz w:val="24"/>
                <w:highlight w:val="none"/>
              </w:rPr>
              <w:t>采取的措施可行。</w:t>
            </w:r>
            <w:r>
              <w:rPr>
                <w:rFonts w:hint="eastAsia" w:ascii="Times New Roman" w:hAnsi="Times New Roman" w:eastAsia="宋体" w:cs="Times New Roman"/>
                <w:color w:val="auto"/>
                <w:sz w:val="24"/>
                <w:lang w:val="en-US" w:eastAsia="zh-CN"/>
              </w:rPr>
              <w:t>过滤棉+活性炭装置有着管理方便，运行稳定，处理效率高、体积较小的优点，适用于本项目废气处理。</w:t>
            </w:r>
          </w:p>
          <w:p w14:paraId="5E66A5C9">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rPr>
            </w:pPr>
            <w:r>
              <w:rPr>
                <w:rFonts w:hint="eastAsia" w:cs="Times New Roman"/>
                <w:color w:val="auto"/>
                <w:sz w:val="24"/>
                <w:lang w:val="en-US" w:eastAsia="zh-CN"/>
              </w:rPr>
              <w:t>C</w:t>
            </w:r>
            <w:r>
              <w:rPr>
                <w:rFonts w:hint="eastAsia" w:ascii="Times New Roman" w:hAnsi="Times New Roman" w:eastAsia="宋体" w:cs="Times New Roman"/>
                <w:color w:val="auto"/>
                <w:sz w:val="24"/>
                <w:lang w:val="en-US" w:eastAsia="zh-CN"/>
              </w:rPr>
              <w:t xml:space="preserve">、长期稳定运行和达标排放要求 </w:t>
            </w:r>
          </w:p>
          <w:p w14:paraId="2D6EA1FD">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为确保活性炭吸附装置对有机废气的净化效率，本评价要求采取以下设计措施：</w:t>
            </w:r>
          </w:p>
          <w:p w14:paraId="145E8720">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a</w:t>
            </w:r>
            <w:r>
              <w:rPr>
                <w:rFonts w:hint="eastAsia" w:ascii="Times New Roman" w:hAnsi="Times New Roman" w:eastAsia="宋体" w:cs="Times New Roman"/>
                <w:color w:val="auto"/>
                <w:sz w:val="24"/>
                <w:lang w:val="en-US" w:eastAsia="zh-CN"/>
              </w:rPr>
              <w:t>、活性炭的断裂强度应不小于</w:t>
            </w:r>
            <w:r>
              <w:rPr>
                <w:rFonts w:hint="default" w:ascii="Times New Roman" w:hAnsi="Times New Roman" w:eastAsia="宋体" w:cs="Times New Roman"/>
                <w:color w:val="auto"/>
                <w:sz w:val="24"/>
                <w:lang w:val="en-US" w:eastAsia="zh-CN"/>
              </w:rPr>
              <w:t>5N</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en-US" w:eastAsia="zh-CN"/>
              </w:rPr>
              <w:t>BET</w:t>
            </w:r>
            <w:r>
              <w:rPr>
                <w:rFonts w:hint="eastAsia" w:ascii="Times New Roman" w:hAnsi="Times New Roman" w:eastAsia="宋体" w:cs="Times New Roman"/>
                <w:color w:val="auto"/>
                <w:sz w:val="24"/>
                <w:lang w:val="en-US" w:eastAsia="zh-CN"/>
              </w:rPr>
              <w:t>比表面积应不低于</w:t>
            </w:r>
            <w:r>
              <w:rPr>
                <w:rFonts w:hint="default" w:ascii="Times New Roman" w:hAnsi="Times New Roman" w:eastAsia="宋体" w:cs="Times New Roman"/>
                <w:color w:val="auto"/>
                <w:sz w:val="24"/>
                <w:lang w:val="en-US" w:eastAsia="zh-CN"/>
              </w:rPr>
              <w:t>1100m</w:t>
            </w:r>
            <w:r>
              <w:rPr>
                <w:rFonts w:hint="default" w:ascii="Times New Roman" w:hAnsi="Times New Roman" w:eastAsia="宋体" w:cs="Times New Roman"/>
                <w:color w:val="auto"/>
                <w:sz w:val="24"/>
                <w:vertAlign w:val="superscript"/>
                <w:lang w:val="en-US" w:eastAsia="zh-CN"/>
              </w:rPr>
              <w:t>2</w:t>
            </w:r>
            <w:r>
              <w:rPr>
                <w:rFonts w:hint="default" w:ascii="Times New Roman" w:hAnsi="Times New Roman" w:eastAsia="宋体" w:cs="Times New Roman"/>
                <w:color w:val="auto"/>
                <w:sz w:val="24"/>
                <w:lang w:val="en-US" w:eastAsia="zh-CN"/>
              </w:rPr>
              <w:t>/g</w:t>
            </w:r>
            <w:r>
              <w:rPr>
                <w:rFonts w:hint="eastAsia" w:ascii="Times New Roman" w:hAnsi="Times New Roman" w:eastAsia="宋体" w:cs="Times New Roman"/>
                <w:color w:val="auto"/>
                <w:sz w:val="24"/>
                <w:lang w:val="en-US" w:eastAsia="zh-CN"/>
              </w:rPr>
              <w:t xml:space="preserve">； </w:t>
            </w:r>
          </w:p>
          <w:p w14:paraId="4A88BDE2">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b</w:t>
            </w:r>
            <w:r>
              <w:rPr>
                <w:rFonts w:hint="eastAsia" w:ascii="Times New Roman" w:hAnsi="Times New Roman" w:eastAsia="宋体" w:cs="Times New Roman"/>
                <w:color w:val="auto"/>
                <w:sz w:val="24"/>
                <w:lang w:val="en-US" w:eastAsia="zh-CN"/>
              </w:rPr>
              <w:t>、采用纤维状吸附剂</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活性炭纤维毡</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时，气体流速宜低于</w:t>
            </w:r>
            <w:r>
              <w:rPr>
                <w:rFonts w:hint="default" w:ascii="Times New Roman" w:hAnsi="Times New Roman" w:eastAsia="宋体" w:cs="Times New Roman"/>
                <w:color w:val="auto"/>
                <w:sz w:val="24"/>
                <w:lang w:val="en-US" w:eastAsia="zh-CN"/>
              </w:rPr>
              <w:t>0.15m/s</w:t>
            </w:r>
            <w:r>
              <w:rPr>
                <w:rFonts w:hint="eastAsia" w:ascii="Times New Roman" w:hAnsi="Times New Roman" w:eastAsia="宋体" w:cs="Times New Roman"/>
                <w:color w:val="auto"/>
                <w:sz w:val="24"/>
                <w:lang w:val="en-US" w:eastAsia="zh-CN"/>
              </w:rPr>
              <w:t xml:space="preserve">； </w:t>
            </w:r>
          </w:p>
          <w:p w14:paraId="3449D811">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c</w:t>
            </w:r>
            <w:r>
              <w:rPr>
                <w:rFonts w:hint="eastAsia" w:ascii="Times New Roman" w:hAnsi="Times New Roman" w:eastAsia="宋体" w:cs="Times New Roman"/>
                <w:color w:val="auto"/>
                <w:sz w:val="24"/>
                <w:lang w:val="en-US" w:eastAsia="zh-CN"/>
              </w:rPr>
              <w:t>、有机</w:t>
            </w:r>
            <w:r>
              <w:rPr>
                <w:rFonts w:hint="eastAsia" w:cs="Times New Roman"/>
                <w:color w:val="auto"/>
                <w:sz w:val="24"/>
                <w:lang w:val="en-US" w:eastAsia="zh-CN"/>
              </w:rPr>
              <w:t>废气</w:t>
            </w:r>
            <w:r>
              <w:rPr>
                <w:rFonts w:hint="eastAsia" w:ascii="Times New Roman" w:hAnsi="Times New Roman" w:eastAsia="宋体" w:cs="Times New Roman"/>
                <w:color w:val="auto"/>
                <w:sz w:val="24"/>
                <w:lang w:val="en-US" w:eastAsia="zh-CN"/>
              </w:rPr>
              <w:t>中颗粒物含量不得超过</w:t>
            </w:r>
            <w:r>
              <w:rPr>
                <w:rFonts w:hint="default" w:ascii="Times New Roman" w:hAnsi="Times New Roman" w:eastAsia="宋体" w:cs="Times New Roman"/>
                <w:color w:val="auto"/>
                <w:sz w:val="24"/>
                <w:lang w:val="en-US" w:eastAsia="zh-CN"/>
              </w:rPr>
              <w:t>1mg/m</w:t>
            </w:r>
            <w:r>
              <w:rPr>
                <w:rFonts w:hint="default"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 xml:space="preserve">时； </w:t>
            </w:r>
          </w:p>
          <w:p w14:paraId="5DD11A36">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d</w:t>
            </w:r>
            <w:r>
              <w:rPr>
                <w:rFonts w:hint="eastAsia" w:ascii="Times New Roman" w:hAnsi="Times New Roman" w:eastAsia="宋体" w:cs="Times New Roman"/>
                <w:color w:val="auto"/>
                <w:sz w:val="24"/>
                <w:lang w:val="en-US" w:eastAsia="zh-CN"/>
              </w:rPr>
              <w:t>、当排气浓度不能满足设计或排放要求时应更换吸附剂；</w:t>
            </w:r>
          </w:p>
          <w:p w14:paraId="6882852A">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e</w:t>
            </w:r>
            <w:r>
              <w:rPr>
                <w:rFonts w:hint="eastAsia" w:ascii="Times New Roman" w:hAnsi="Times New Roman" w:eastAsia="宋体" w:cs="Times New Roman"/>
                <w:color w:val="auto"/>
                <w:sz w:val="24"/>
                <w:lang w:val="en-US" w:eastAsia="zh-CN"/>
              </w:rPr>
              <w:t>、采用纤维状吸附剂时，吸附单元的压力损失宜低于</w:t>
            </w:r>
            <w:r>
              <w:rPr>
                <w:rFonts w:hint="default" w:ascii="Times New Roman" w:hAnsi="Times New Roman" w:eastAsia="宋体" w:cs="Times New Roman"/>
                <w:color w:val="auto"/>
                <w:sz w:val="24"/>
                <w:lang w:val="en-US" w:eastAsia="zh-CN"/>
              </w:rPr>
              <w:t>4kPa</w:t>
            </w:r>
            <w:r>
              <w:rPr>
                <w:rFonts w:hint="eastAsia" w:ascii="Times New Roman" w:hAnsi="Times New Roman" w:eastAsia="宋体" w:cs="Times New Roman"/>
                <w:color w:val="auto"/>
                <w:sz w:val="24"/>
                <w:lang w:val="en-US" w:eastAsia="zh-CN"/>
              </w:rPr>
              <w:t xml:space="preserve">； </w:t>
            </w:r>
          </w:p>
          <w:p w14:paraId="52E1396F">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f</w:t>
            </w:r>
            <w:r>
              <w:rPr>
                <w:rFonts w:hint="eastAsia" w:ascii="Times New Roman" w:hAnsi="Times New Roman" w:eastAsia="宋体" w:cs="Times New Roman"/>
                <w:color w:val="auto"/>
                <w:sz w:val="24"/>
                <w:lang w:val="en-US" w:eastAsia="zh-CN"/>
              </w:rPr>
              <w:t xml:space="preserve">、采用孔径、空容分布及比表面积大的活性炭纤维； </w:t>
            </w:r>
          </w:p>
          <w:p w14:paraId="13421630">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g</w:t>
            </w:r>
            <w:r>
              <w:rPr>
                <w:rFonts w:hint="eastAsia" w:ascii="Times New Roman" w:hAnsi="Times New Roman" w:eastAsia="宋体" w:cs="Times New Roman"/>
                <w:color w:val="auto"/>
                <w:sz w:val="24"/>
                <w:lang w:val="en-US" w:eastAsia="zh-CN"/>
              </w:rPr>
              <w:t>、保证吸附质与吸附剂之间一定的接触时间，才能使吸附剂发挥最大的吸附能力。</w:t>
            </w:r>
          </w:p>
          <w:p w14:paraId="5FBA6870">
            <w:pPr>
              <w:keepNext w:val="0"/>
              <w:keepLines w:val="0"/>
              <w:suppressLineNumbers w:val="0"/>
              <w:bidi w:val="0"/>
              <w:spacing w:before="0" w:beforeAutospacing="0" w:after="0" w:afterAutospacing="0"/>
              <w:ind w:left="0" w:right="0"/>
              <w:rPr>
                <w:rFonts w:hint="eastAsia"/>
              </w:rPr>
            </w:pPr>
            <w:r>
              <w:rPr>
                <w:rFonts w:hint="eastAsia"/>
              </w:rPr>
              <w:t>③无组织废气治理措施</w:t>
            </w:r>
          </w:p>
          <w:p w14:paraId="07C81848">
            <w:pPr>
              <w:keepNext w:val="0"/>
              <w:keepLines w:val="0"/>
              <w:suppressLineNumbers w:val="0"/>
              <w:bidi w:val="0"/>
              <w:spacing w:before="0" w:beforeAutospacing="0" w:after="0" w:afterAutospacing="0"/>
              <w:ind w:left="0" w:right="0"/>
              <w:rPr>
                <w:rFonts w:hint="eastAsia"/>
              </w:rPr>
            </w:pPr>
            <w:r>
              <w:rPr>
                <w:rFonts w:hint="eastAsia"/>
              </w:rPr>
              <w:t>项目无组织废气主要为</w:t>
            </w:r>
            <w:r>
              <w:rPr>
                <w:rFonts w:hint="eastAsia"/>
                <w:lang w:val="en-US" w:eastAsia="zh-CN"/>
              </w:rPr>
              <w:t>打磨区产生的粉尘、喷漆、烘干房</w:t>
            </w:r>
            <w:r>
              <w:rPr>
                <w:rFonts w:hint="default"/>
                <w:lang w:val="en-US" w:eastAsia="zh-CN"/>
              </w:rPr>
              <w:t>人员进出关门</w:t>
            </w:r>
            <w:r>
              <w:rPr>
                <w:rFonts w:hint="eastAsia"/>
                <w:lang w:val="en-US" w:eastAsia="zh-CN"/>
              </w:rPr>
              <w:t>及电面包炉开关门时</w:t>
            </w:r>
            <w:r>
              <w:rPr>
                <w:rFonts w:hint="default"/>
                <w:lang w:val="en-US" w:eastAsia="zh-CN"/>
              </w:rPr>
              <w:t>溢出的非甲烷总烃和颗粒物</w:t>
            </w:r>
            <w:r>
              <w:rPr>
                <w:rFonts w:hint="eastAsia"/>
                <w:lang w:val="en-US" w:eastAsia="zh-CN"/>
              </w:rPr>
              <w:t>以及产生的粉尘</w:t>
            </w:r>
            <w:r>
              <w:rPr>
                <w:rFonts w:hint="eastAsia"/>
              </w:rPr>
              <w:t>。</w:t>
            </w:r>
            <w:r>
              <w:rPr>
                <w:rFonts w:hint="default"/>
                <w:lang w:val="en-US" w:eastAsia="zh-CN"/>
              </w:rPr>
              <w:t>采取的防止无组织气体排放的主要措施有：</w:t>
            </w:r>
          </w:p>
          <w:p w14:paraId="3A34CFDF">
            <w:pPr>
              <w:keepNext w:val="0"/>
              <w:keepLines w:val="0"/>
              <w:suppressLineNumbers w:val="0"/>
              <w:bidi w:val="0"/>
              <w:spacing w:before="0" w:beforeAutospacing="0" w:after="0" w:afterAutospacing="0"/>
              <w:ind w:left="0" w:right="0"/>
              <w:rPr>
                <w:rFonts w:hint="eastAsia"/>
              </w:rPr>
            </w:pPr>
            <w:r>
              <w:rPr>
                <w:rFonts w:hint="eastAsia"/>
              </w:rPr>
              <w:t>A、加强废气集中收集和处理，确保废气收集系统的密闭性，减少废气的无组织排放。</w:t>
            </w:r>
            <w:r>
              <w:rPr>
                <w:rFonts w:hint="default"/>
                <w:lang w:val="en-US" w:eastAsia="zh-CN"/>
              </w:rPr>
              <w:t>加强车间地面的清扫，减少粉尘对职工及周边环境的影响；</w:t>
            </w:r>
          </w:p>
          <w:p w14:paraId="69DD0A07">
            <w:pPr>
              <w:keepNext w:val="0"/>
              <w:keepLines w:val="0"/>
              <w:suppressLineNumbers w:val="0"/>
              <w:bidi w:val="0"/>
              <w:spacing w:before="0" w:beforeAutospacing="0" w:after="0" w:afterAutospacing="0"/>
              <w:ind w:left="0" w:right="0"/>
              <w:rPr>
                <w:rFonts w:hint="eastAsia"/>
              </w:rPr>
            </w:pPr>
            <w:r>
              <w:rPr>
                <w:rFonts w:hint="eastAsia"/>
              </w:rPr>
              <w:t>B、</w:t>
            </w:r>
            <w:r>
              <w:rPr>
                <w:rFonts w:hint="default"/>
                <w:lang w:val="en-US" w:eastAsia="zh-CN"/>
              </w:rPr>
              <w:t>通过加强车间通风，减少废气对职工及周边环境的影响；</w:t>
            </w:r>
          </w:p>
          <w:p w14:paraId="4895D719">
            <w:pPr>
              <w:keepNext w:val="0"/>
              <w:keepLines w:val="0"/>
              <w:suppressLineNumbers w:val="0"/>
              <w:bidi w:val="0"/>
              <w:spacing w:before="0" w:beforeAutospacing="0" w:after="0" w:afterAutospacing="0"/>
              <w:ind w:left="0" w:right="0"/>
              <w:rPr>
                <w:rFonts w:hint="eastAsia"/>
              </w:rPr>
            </w:pPr>
            <w:r>
              <w:rPr>
                <w:rFonts w:hint="eastAsia"/>
              </w:rPr>
              <w:t>C、加强运行管理和环境管理，提高工人操作水平，通过宣传增强职工环保意识，积极推行清洁生产，节能降耗，多种措施并举，减少污染物排放。</w:t>
            </w:r>
          </w:p>
          <w:p w14:paraId="7CADFB6D">
            <w:pPr>
              <w:pStyle w:val="4"/>
              <w:keepNext/>
              <w:keepLines/>
              <w:pageBreakBefore w:val="0"/>
              <w:widowControl w:val="0"/>
              <w:suppressLineNumbers w:val="0"/>
              <w:tabs>
                <w:tab w:val="left" w:pos="420"/>
                <w:tab w:val="clear" w:pos="0"/>
              </w:tabs>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color w:val="auto"/>
                <w:highlight w:val="none"/>
                <w:lang w:val="en-US" w:eastAsia="zh-CN"/>
              </w:rPr>
            </w:pPr>
            <w:r>
              <w:rPr>
                <w:rFonts w:hint="default"/>
                <w:color w:val="auto"/>
                <w:highlight w:val="none"/>
                <w:lang w:val="en-US" w:eastAsia="zh-CN"/>
              </w:rPr>
              <w:t>非正常工况排放量核算</w:t>
            </w:r>
          </w:p>
          <w:p w14:paraId="60AC281D">
            <w:pPr>
              <w:keepNext w:val="0"/>
              <w:keepLines w:val="0"/>
              <w:widowControl w:val="0"/>
              <w:suppressLineNumbers w:val="0"/>
              <w:bidi w:val="0"/>
              <w:spacing w:before="0" w:beforeAutospacing="0" w:after="0" w:afterAutospacing="0" w:line="360" w:lineRule="auto"/>
              <w:ind w:left="0" w:right="0" w:firstLine="480" w:firstLineChars="200"/>
              <w:jc w:val="both"/>
              <w:rPr>
                <w:rFonts w:hint="default" w:ascii="Times New Roman" w:hAnsi="Times New Roman" w:eastAsia="宋体" w:cs="宋体"/>
                <w:color w:val="auto"/>
                <w:kern w:val="2"/>
                <w:sz w:val="24"/>
                <w:szCs w:val="24"/>
                <w:highlight w:val="none"/>
                <w:lang w:val="en-US" w:eastAsia="zh-CN" w:bidi="ar-SA"/>
              </w:rPr>
            </w:pPr>
            <w:r>
              <w:rPr>
                <w:rFonts w:hint="default" w:ascii="Times New Roman" w:hAnsi="Times New Roman" w:eastAsia="宋体" w:cs="宋体"/>
                <w:color w:val="auto"/>
                <w:kern w:val="2"/>
                <w:sz w:val="24"/>
                <w:szCs w:val="24"/>
                <w:highlight w:val="none"/>
                <w:lang w:val="en-US" w:eastAsia="zh-CN" w:bidi="ar-SA"/>
              </w:rPr>
              <w:t>（1）非正常排放情形及排放源强</w:t>
            </w:r>
          </w:p>
          <w:p w14:paraId="7BC3233E">
            <w:pPr>
              <w:keepNext w:val="0"/>
              <w:keepLines w:val="0"/>
              <w:widowControl w:val="0"/>
              <w:suppressLineNumbers w:val="0"/>
              <w:bidi w:val="0"/>
              <w:spacing w:before="0" w:beforeAutospacing="0" w:after="0" w:afterAutospacing="0" w:line="360" w:lineRule="auto"/>
              <w:ind w:left="0" w:right="0" w:firstLine="480" w:firstLineChars="200"/>
              <w:jc w:val="both"/>
              <w:rPr>
                <w:rFonts w:hint="default" w:ascii="Times New Roman" w:hAnsi="Times New Roman" w:eastAsia="宋体" w:cs="宋体"/>
                <w:color w:val="auto"/>
                <w:kern w:val="2"/>
                <w:sz w:val="24"/>
                <w:szCs w:val="24"/>
                <w:highlight w:val="none"/>
                <w:lang w:val="en-US" w:eastAsia="zh-CN" w:bidi="ar-SA"/>
              </w:rPr>
            </w:pPr>
            <w:r>
              <w:rPr>
                <w:rFonts w:hint="default" w:ascii="Times New Roman" w:hAnsi="Times New Roman" w:eastAsia="宋体" w:cs="宋体"/>
                <w:color w:val="auto"/>
                <w:kern w:val="2"/>
                <w:sz w:val="24"/>
                <w:szCs w:val="24"/>
                <w:highlight w:val="none"/>
                <w:lang w:val="en-US" w:eastAsia="zh-CN" w:bidi="ar-SA"/>
              </w:rPr>
              <w:t>非正常排放情况指设备检修、污染物排放控制措施达不到应有效率、工艺设备运转异常等情况下的排污。根据本项目的情况，结合同类企业运营情况，确定项目非正常排放情况为污染治理设施发生故障、运转异常（如风机故障、集气管道破裂等），或维护不到位导致废气处理设施效率降低等非正常工况，情形如下：</w:t>
            </w:r>
          </w:p>
          <w:p w14:paraId="41E127ED">
            <w:pPr>
              <w:keepNext w:val="0"/>
              <w:keepLines w:val="0"/>
              <w:widowControl w:val="0"/>
              <w:suppressLineNumbers w:val="0"/>
              <w:bidi w:val="0"/>
              <w:spacing w:before="0" w:beforeAutospacing="0" w:after="0" w:afterAutospacing="0" w:line="360" w:lineRule="auto"/>
              <w:ind w:left="0" w:right="0" w:firstLine="480" w:firstLineChars="200"/>
              <w:jc w:val="both"/>
              <w:rPr>
                <w:rFonts w:hint="default" w:ascii="Times New Roman" w:hAnsi="Times New Roman" w:eastAsia="宋体" w:cs="宋体"/>
                <w:color w:val="auto"/>
                <w:kern w:val="2"/>
                <w:sz w:val="24"/>
                <w:szCs w:val="24"/>
                <w:highlight w:val="none"/>
                <w:lang w:val="en-US" w:eastAsia="zh-CN" w:bidi="ar-SA"/>
              </w:rPr>
            </w:pPr>
            <w:r>
              <w:rPr>
                <w:rFonts w:hint="default" w:ascii="Times New Roman" w:hAnsi="Times New Roman" w:eastAsia="宋体" w:cs="宋体"/>
                <w:color w:val="auto"/>
                <w:kern w:val="2"/>
                <w:sz w:val="24"/>
                <w:szCs w:val="24"/>
                <w:highlight w:val="none"/>
                <w:lang w:val="en-US" w:eastAsia="zh-CN" w:bidi="ar-SA"/>
              </w:rPr>
              <w:t>①有机废气处理设施故障，导致有机废气非正常排放。</w:t>
            </w:r>
          </w:p>
          <w:p w14:paraId="73B0A67A">
            <w:pPr>
              <w:keepNext w:val="0"/>
              <w:keepLines w:val="0"/>
              <w:widowControl w:val="0"/>
              <w:suppressLineNumbers w:val="0"/>
              <w:bidi w:val="0"/>
              <w:spacing w:before="0" w:beforeAutospacing="0" w:after="0" w:afterAutospacing="0" w:line="360" w:lineRule="auto"/>
              <w:ind w:left="0" w:right="0" w:firstLine="480" w:firstLineChars="200"/>
              <w:jc w:val="both"/>
              <w:rPr>
                <w:rFonts w:hint="default" w:ascii="Times New Roman" w:hAnsi="Times New Roman" w:eastAsia="宋体" w:cs="宋体"/>
                <w:color w:val="auto"/>
                <w:kern w:val="2"/>
                <w:sz w:val="24"/>
                <w:szCs w:val="24"/>
                <w:highlight w:val="none"/>
                <w:lang w:val="en-US" w:eastAsia="zh-CN" w:bidi="ar-SA"/>
              </w:rPr>
            </w:pPr>
            <w:r>
              <w:rPr>
                <w:rFonts w:hint="default" w:ascii="Times New Roman" w:hAnsi="Times New Roman" w:eastAsia="宋体" w:cs="宋体"/>
                <w:color w:val="auto"/>
                <w:kern w:val="2"/>
                <w:sz w:val="24"/>
                <w:szCs w:val="24"/>
                <w:highlight w:val="none"/>
                <w:lang w:val="en-US" w:eastAsia="zh-CN" w:bidi="ar-SA"/>
              </w:rPr>
              <w:t>本评价按最不利情况考虑，即废气处理效率降低为0%的情况下污染物排放对周边环境的影响。由于有机废气事故排放效果不显著，短时间内难以发现，非正常工况持续时间按1h计，发生频率按1次/年。非正常工况下废气排放源强核算结果见下表4</w:t>
            </w:r>
            <w:r>
              <w:rPr>
                <w:rFonts w:hint="eastAsia" w:ascii="Times New Roman" w:hAnsi="Times New Roman" w:eastAsia="宋体" w:cs="宋体"/>
                <w:color w:val="auto"/>
                <w:kern w:val="2"/>
                <w:sz w:val="24"/>
                <w:szCs w:val="24"/>
                <w:highlight w:val="none"/>
                <w:lang w:val="en-US" w:eastAsia="zh-CN" w:bidi="ar-SA"/>
              </w:rPr>
              <w:t>.1-3</w:t>
            </w:r>
            <w:r>
              <w:rPr>
                <w:rFonts w:hint="default" w:ascii="Times New Roman" w:hAnsi="Times New Roman" w:eastAsia="宋体" w:cs="宋体"/>
                <w:color w:val="auto"/>
                <w:kern w:val="2"/>
                <w:sz w:val="24"/>
                <w:szCs w:val="24"/>
                <w:highlight w:val="none"/>
                <w:lang w:val="en-US" w:eastAsia="zh-CN" w:bidi="ar-SA"/>
              </w:rPr>
              <w:t>。</w:t>
            </w:r>
          </w:p>
          <w:p w14:paraId="712050F0">
            <w:pPr>
              <w:pStyle w:val="39"/>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表4.</w:t>
            </w:r>
            <w:r>
              <w:rPr>
                <w:rFonts w:hint="eastAsia"/>
                <w:lang w:val="en-US" w:eastAsia="zh-CN"/>
              </w:rPr>
              <w:t>1</w:t>
            </w:r>
            <w:r>
              <w:rPr>
                <w:rFonts w:hint="default"/>
                <w:lang w:val="en-US" w:eastAsia="zh-CN"/>
              </w:rPr>
              <w:t>-</w:t>
            </w:r>
            <w:r>
              <w:rPr>
                <w:rFonts w:hint="eastAsia"/>
                <w:lang w:val="en-US" w:eastAsia="zh-CN"/>
              </w:rPr>
              <w:t xml:space="preserve">3  </w:t>
            </w:r>
            <w:r>
              <w:rPr>
                <w:rFonts w:hint="default"/>
                <w:lang w:val="en-US" w:eastAsia="zh-CN"/>
              </w:rPr>
              <w:t>污染源非正常排放量核算</w:t>
            </w:r>
          </w:p>
          <w:tbl>
            <w:tblPr>
              <w:tblStyle w:val="29"/>
              <w:tblW w:w="0" w:type="auto"/>
              <w:tblInd w:w="-15"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473"/>
              <w:gridCol w:w="838"/>
              <w:gridCol w:w="761"/>
              <w:gridCol w:w="1172"/>
              <w:gridCol w:w="1554"/>
              <w:gridCol w:w="1345"/>
              <w:gridCol w:w="665"/>
              <w:gridCol w:w="617"/>
              <w:gridCol w:w="1018"/>
            </w:tblGrid>
            <w:tr w14:paraId="0B39FCC0">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55" w:hRule="atLeast"/>
              </w:trPr>
              <w:tc>
                <w:tcPr>
                  <w:tcW w:w="473" w:type="dxa"/>
                  <w:tcBorders>
                    <w:top w:val="single" w:color="000000" w:sz="12" w:space="0"/>
                    <w:left w:val="nil"/>
                    <w:tl2br w:val="nil"/>
                  </w:tcBorders>
                  <w:shd w:val="clear" w:color="auto" w:fill="auto"/>
                  <w:vAlign w:val="center"/>
                </w:tcPr>
                <w:p w14:paraId="4936795B">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序号</w:t>
                  </w:r>
                </w:p>
              </w:tc>
              <w:tc>
                <w:tcPr>
                  <w:tcW w:w="838" w:type="dxa"/>
                  <w:tcBorders>
                    <w:top w:val="single" w:color="000000" w:sz="12" w:space="0"/>
                  </w:tcBorders>
                  <w:shd w:val="clear" w:color="auto" w:fill="auto"/>
                  <w:vAlign w:val="center"/>
                </w:tcPr>
                <w:p w14:paraId="30A47A29">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排放源</w:t>
                  </w:r>
                </w:p>
              </w:tc>
              <w:tc>
                <w:tcPr>
                  <w:tcW w:w="761" w:type="dxa"/>
                  <w:tcBorders>
                    <w:top w:val="single" w:color="000000" w:sz="12" w:space="0"/>
                  </w:tcBorders>
                  <w:shd w:val="clear" w:color="auto" w:fill="auto"/>
                  <w:vAlign w:val="center"/>
                </w:tcPr>
                <w:p w14:paraId="4B55126B">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非正常排放原因</w:t>
                  </w:r>
                </w:p>
              </w:tc>
              <w:tc>
                <w:tcPr>
                  <w:tcW w:w="1172" w:type="dxa"/>
                  <w:tcBorders>
                    <w:top w:val="single" w:color="000000" w:sz="12" w:space="0"/>
                  </w:tcBorders>
                  <w:shd w:val="clear" w:color="auto" w:fill="auto"/>
                  <w:vAlign w:val="center"/>
                </w:tcPr>
                <w:p w14:paraId="3D0FBC3B">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污染源</w:t>
                  </w:r>
                </w:p>
              </w:tc>
              <w:tc>
                <w:tcPr>
                  <w:tcW w:w="1554" w:type="dxa"/>
                  <w:tcBorders>
                    <w:top w:val="single" w:color="000000" w:sz="12" w:space="0"/>
                  </w:tcBorders>
                  <w:shd w:val="clear" w:color="auto" w:fill="auto"/>
                  <w:vAlign w:val="center"/>
                </w:tcPr>
                <w:p w14:paraId="6F0B2F55">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非正常排放浓</w:t>
                  </w:r>
                  <w:r>
                    <w:rPr>
                      <w:rFonts w:hint="default"/>
                      <w:b w:val="0"/>
                      <w:color w:val="000000"/>
                      <w:szCs w:val="22"/>
                      <w:lang w:val="en-US" w:eastAsia="zh-CN"/>
                    </w:rPr>
                    <w:t xml:space="preserve"> </w:t>
                  </w:r>
                  <w:r>
                    <w:rPr>
                      <w:rFonts w:hint="eastAsia"/>
                      <w:b w:val="0"/>
                      <w:color w:val="000000"/>
                      <w:szCs w:val="22"/>
                      <w:lang w:val="en-US" w:eastAsia="zh-CN"/>
                    </w:rPr>
                    <w:t>度（mg/m</w:t>
                  </w:r>
                  <w:r>
                    <w:rPr>
                      <w:rFonts w:hint="eastAsia"/>
                      <w:b w:val="0"/>
                      <w:color w:val="000000"/>
                      <w:szCs w:val="22"/>
                      <w:vertAlign w:val="superscript"/>
                      <w:lang w:val="en-US" w:eastAsia="zh-CN"/>
                    </w:rPr>
                    <w:t>3</w:t>
                  </w:r>
                  <w:r>
                    <w:rPr>
                      <w:rFonts w:hint="eastAsia"/>
                      <w:b w:val="0"/>
                      <w:color w:val="000000"/>
                      <w:szCs w:val="22"/>
                      <w:lang w:val="en-US" w:eastAsia="zh-CN"/>
                    </w:rPr>
                    <w:t>）</w:t>
                  </w:r>
                </w:p>
              </w:tc>
              <w:tc>
                <w:tcPr>
                  <w:tcW w:w="1345" w:type="dxa"/>
                  <w:tcBorders>
                    <w:top w:val="single" w:color="000000" w:sz="12" w:space="0"/>
                  </w:tcBorders>
                  <w:shd w:val="clear" w:color="auto" w:fill="auto"/>
                  <w:vAlign w:val="center"/>
                </w:tcPr>
                <w:p w14:paraId="093F673D">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非正常排放速率（kg/h）</w:t>
                  </w:r>
                </w:p>
              </w:tc>
              <w:tc>
                <w:tcPr>
                  <w:tcW w:w="665" w:type="dxa"/>
                  <w:tcBorders>
                    <w:top w:val="single" w:color="000000" w:sz="12" w:space="0"/>
                  </w:tcBorders>
                  <w:shd w:val="clear" w:color="auto" w:fill="auto"/>
                  <w:vAlign w:val="center"/>
                </w:tcPr>
                <w:p w14:paraId="7CB22D36">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单次维持时间</w:t>
                  </w:r>
                </w:p>
              </w:tc>
              <w:tc>
                <w:tcPr>
                  <w:tcW w:w="617" w:type="dxa"/>
                  <w:tcBorders>
                    <w:top w:val="single" w:color="000000" w:sz="12" w:space="0"/>
                  </w:tcBorders>
                  <w:shd w:val="clear" w:color="auto" w:fill="auto"/>
                  <w:vAlign w:val="center"/>
                </w:tcPr>
                <w:p w14:paraId="4BAA753D">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年发生次数</w:t>
                  </w:r>
                </w:p>
              </w:tc>
              <w:tc>
                <w:tcPr>
                  <w:tcW w:w="1018" w:type="dxa"/>
                  <w:tcBorders>
                    <w:top w:val="single" w:color="000000" w:sz="12" w:space="0"/>
                    <w:right w:val="nil"/>
                  </w:tcBorders>
                  <w:shd w:val="clear" w:color="auto" w:fill="auto"/>
                  <w:vAlign w:val="center"/>
                </w:tcPr>
                <w:p w14:paraId="1248D51B">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应对措施</w:t>
                  </w:r>
                </w:p>
              </w:tc>
            </w:tr>
            <w:tr w14:paraId="05B9E740">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80" w:hRule="atLeast"/>
              </w:trPr>
              <w:tc>
                <w:tcPr>
                  <w:tcW w:w="473" w:type="dxa"/>
                  <w:tcBorders>
                    <w:left w:val="nil"/>
                  </w:tcBorders>
                  <w:shd w:val="clear" w:color="auto" w:fill="auto"/>
                  <w:vAlign w:val="center"/>
                </w:tcPr>
                <w:p w14:paraId="7954BDBE">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w:t>
                  </w:r>
                </w:p>
              </w:tc>
              <w:tc>
                <w:tcPr>
                  <w:tcW w:w="838" w:type="dxa"/>
                  <w:vMerge w:val="restart"/>
                  <w:shd w:val="clear" w:color="auto" w:fill="auto"/>
                  <w:vAlign w:val="center"/>
                </w:tcPr>
                <w:p w14:paraId="1BEC74ED">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DA001</w:t>
                  </w:r>
                </w:p>
              </w:tc>
              <w:tc>
                <w:tcPr>
                  <w:tcW w:w="761" w:type="dxa"/>
                  <w:vMerge w:val="restart"/>
                  <w:shd w:val="clear" w:color="auto" w:fill="auto"/>
                  <w:vAlign w:val="center"/>
                </w:tcPr>
                <w:p w14:paraId="00159E07">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废气治理设施故障</w:t>
                  </w:r>
                </w:p>
              </w:tc>
              <w:tc>
                <w:tcPr>
                  <w:tcW w:w="1172" w:type="dxa"/>
                  <w:shd w:val="clear" w:color="auto" w:fill="auto"/>
                  <w:vAlign w:val="center"/>
                </w:tcPr>
                <w:p w14:paraId="7EC87949">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VOCs</w:t>
                  </w:r>
                  <w:r>
                    <w:rPr>
                      <w:rFonts w:hint="eastAsia"/>
                      <w:b w:val="0"/>
                      <w:color w:val="000000"/>
                      <w:szCs w:val="22"/>
                      <w:lang w:val="en-US" w:eastAsia="zh-CN"/>
                    </w:rPr>
                    <w:t>（以非甲烷总烃计）</w:t>
                  </w:r>
                </w:p>
              </w:tc>
              <w:tc>
                <w:tcPr>
                  <w:tcW w:w="1554" w:type="dxa"/>
                  <w:shd w:val="clear" w:color="auto" w:fill="auto"/>
                  <w:vAlign w:val="center"/>
                </w:tcPr>
                <w:p w14:paraId="22655E18">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5.2769</w:t>
                  </w:r>
                </w:p>
              </w:tc>
              <w:tc>
                <w:tcPr>
                  <w:tcW w:w="1345" w:type="dxa"/>
                  <w:shd w:val="clear" w:color="auto" w:fill="auto"/>
                  <w:vAlign w:val="center"/>
                </w:tcPr>
                <w:p w14:paraId="5B2AA4C1">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0.1055</w:t>
                  </w:r>
                </w:p>
              </w:tc>
              <w:tc>
                <w:tcPr>
                  <w:tcW w:w="665" w:type="dxa"/>
                  <w:shd w:val="clear" w:color="auto" w:fill="auto"/>
                  <w:vAlign w:val="center"/>
                </w:tcPr>
                <w:p w14:paraId="13707FC9">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1h</w:t>
                  </w:r>
                </w:p>
              </w:tc>
              <w:tc>
                <w:tcPr>
                  <w:tcW w:w="617" w:type="dxa"/>
                  <w:shd w:val="clear" w:color="auto" w:fill="auto"/>
                  <w:vAlign w:val="center"/>
                </w:tcPr>
                <w:p w14:paraId="62D21875">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w:t>
                  </w:r>
                  <w:r>
                    <w:rPr>
                      <w:rFonts w:hint="eastAsia"/>
                      <w:b w:val="0"/>
                      <w:color w:val="000000"/>
                      <w:szCs w:val="22"/>
                      <w:lang w:val="en-US" w:eastAsia="zh-CN"/>
                    </w:rPr>
                    <w:t>次</w:t>
                  </w:r>
                </w:p>
              </w:tc>
              <w:tc>
                <w:tcPr>
                  <w:tcW w:w="1018" w:type="dxa"/>
                  <w:tcBorders>
                    <w:right w:val="nil"/>
                  </w:tcBorders>
                  <w:shd w:val="clear" w:color="auto" w:fill="auto"/>
                  <w:vAlign w:val="center"/>
                </w:tcPr>
                <w:p w14:paraId="0CF1D84D">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立即停产，修复后生产</w:t>
                  </w:r>
                </w:p>
              </w:tc>
            </w:tr>
            <w:tr w14:paraId="4A1BC109">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95" w:hRule="atLeast"/>
              </w:trPr>
              <w:tc>
                <w:tcPr>
                  <w:tcW w:w="473" w:type="dxa"/>
                  <w:tcBorders>
                    <w:left w:val="nil"/>
                  </w:tcBorders>
                  <w:shd w:val="clear" w:color="auto" w:fill="auto"/>
                  <w:vAlign w:val="center"/>
                </w:tcPr>
                <w:p w14:paraId="778E6292">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2</w:t>
                  </w:r>
                </w:p>
              </w:tc>
              <w:tc>
                <w:tcPr>
                  <w:tcW w:w="838" w:type="dxa"/>
                  <w:vMerge w:val="continue"/>
                  <w:shd w:val="clear" w:color="auto" w:fill="auto"/>
                  <w:vAlign w:val="center"/>
                </w:tcPr>
                <w:p w14:paraId="61EDA840">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761" w:type="dxa"/>
                  <w:vMerge w:val="continue"/>
                  <w:shd w:val="clear" w:color="auto" w:fill="auto"/>
                  <w:vAlign w:val="center"/>
                </w:tcPr>
                <w:p w14:paraId="0469A38B">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1172" w:type="dxa"/>
                  <w:shd w:val="clear" w:color="auto" w:fill="auto"/>
                  <w:vAlign w:val="center"/>
                </w:tcPr>
                <w:p w14:paraId="1AECAC09">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颗粒物</w:t>
                  </w:r>
                </w:p>
              </w:tc>
              <w:tc>
                <w:tcPr>
                  <w:tcW w:w="1554" w:type="dxa"/>
                  <w:shd w:val="clear" w:color="auto" w:fill="auto"/>
                  <w:vAlign w:val="center"/>
                </w:tcPr>
                <w:p w14:paraId="63206EEC">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3.5412</w:t>
                  </w:r>
                </w:p>
              </w:tc>
              <w:tc>
                <w:tcPr>
                  <w:tcW w:w="1345" w:type="dxa"/>
                  <w:shd w:val="clear" w:color="auto" w:fill="auto"/>
                  <w:vAlign w:val="center"/>
                </w:tcPr>
                <w:p w14:paraId="50F88812">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0.0708</w:t>
                  </w:r>
                </w:p>
              </w:tc>
              <w:tc>
                <w:tcPr>
                  <w:tcW w:w="665" w:type="dxa"/>
                  <w:shd w:val="clear" w:color="auto" w:fill="auto"/>
                  <w:vAlign w:val="center"/>
                </w:tcPr>
                <w:p w14:paraId="6B2CDC0E">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1h</w:t>
                  </w:r>
                </w:p>
              </w:tc>
              <w:tc>
                <w:tcPr>
                  <w:tcW w:w="617" w:type="dxa"/>
                  <w:shd w:val="clear" w:color="auto" w:fill="auto"/>
                  <w:vAlign w:val="center"/>
                </w:tcPr>
                <w:p w14:paraId="706AE067">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w:t>
                  </w:r>
                  <w:r>
                    <w:rPr>
                      <w:rFonts w:hint="eastAsia"/>
                      <w:b w:val="0"/>
                      <w:color w:val="000000"/>
                      <w:szCs w:val="22"/>
                      <w:lang w:val="en-US" w:eastAsia="zh-CN"/>
                    </w:rPr>
                    <w:t>次</w:t>
                  </w:r>
                </w:p>
              </w:tc>
              <w:tc>
                <w:tcPr>
                  <w:tcW w:w="1018" w:type="dxa"/>
                  <w:tcBorders>
                    <w:right w:val="nil"/>
                  </w:tcBorders>
                  <w:shd w:val="clear" w:color="auto" w:fill="auto"/>
                  <w:vAlign w:val="center"/>
                </w:tcPr>
                <w:p w14:paraId="2AC6BB86">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立即停产，修复后生产</w:t>
                  </w:r>
                </w:p>
              </w:tc>
            </w:tr>
            <w:tr w14:paraId="70CA25A5">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95" w:hRule="atLeast"/>
              </w:trPr>
              <w:tc>
                <w:tcPr>
                  <w:tcW w:w="473" w:type="dxa"/>
                  <w:tcBorders>
                    <w:left w:val="nil"/>
                  </w:tcBorders>
                  <w:shd w:val="clear" w:color="auto" w:fill="auto"/>
                  <w:vAlign w:val="center"/>
                </w:tcPr>
                <w:p w14:paraId="55062C17">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3</w:t>
                  </w:r>
                </w:p>
              </w:tc>
              <w:tc>
                <w:tcPr>
                  <w:tcW w:w="838" w:type="dxa"/>
                  <w:vMerge w:val="restart"/>
                  <w:shd w:val="clear" w:color="auto" w:fill="auto"/>
                  <w:vAlign w:val="center"/>
                </w:tcPr>
                <w:p w14:paraId="0FEB9F3D">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DA002</w:t>
                  </w:r>
                </w:p>
              </w:tc>
              <w:tc>
                <w:tcPr>
                  <w:tcW w:w="761" w:type="dxa"/>
                  <w:vMerge w:val="continue"/>
                  <w:shd w:val="clear" w:color="auto" w:fill="auto"/>
                  <w:vAlign w:val="center"/>
                </w:tcPr>
                <w:p w14:paraId="5DA4B134">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1172" w:type="dxa"/>
                  <w:shd w:val="clear" w:color="auto" w:fill="auto"/>
                  <w:vAlign w:val="center"/>
                </w:tcPr>
                <w:p w14:paraId="53280D02">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VOCs</w:t>
                  </w:r>
                  <w:r>
                    <w:rPr>
                      <w:rFonts w:hint="eastAsia"/>
                      <w:b w:val="0"/>
                      <w:color w:val="000000"/>
                      <w:szCs w:val="22"/>
                      <w:lang w:val="en-US" w:eastAsia="zh-CN"/>
                    </w:rPr>
                    <w:t>（以非甲烷总烃计）</w:t>
                  </w:r>
                </w:p>
              </w:tc>
              <w:tc>
                <w:tcPr>
                  <w:tcW w:w="1554" w:type="dxa"/>
                  <w:shd w:val="clear" w:color="auto" w:fill="auto"/>
                  <w:vAlign w:val="center"/>
                </w:tcPr>
                <w:p w14:paraId="0C49D2C5">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5.2769</w:t>
                  </w:r>
                </w:p>
              </w:tc>
              <w:tc>
                <w:tcPr>
                  <w:tcW w:w="1345" w:type="dxa"/>
                  <w:shd w:val="clear" w:color="auto" w:fill="auto"/>
                  <w:vAlign w:val="center"/>
                </w:tcPr>
                <w:p w14:paraId="69E02C47">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0.1055</w:t>
                  </w:r>
                </w:p>
              </w:tc>
              <w:tc>
                <w:tcPr>
                  <w:tcW w:w="665" w:type="dxa"/>
                  <w:shd w:val="clear" w:color="auto" w:fill="auto"/>
                  <w:vAlign w:val="center"/>
                </w:tcPr>
                <w:p w14:paraId="0730C7B2">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1h</w:t>
                  </w:r>
                </w:p>
              </w:tc>
              <w:tc>
                <w:tcPr>
                  <w:tcW w:w="617" w:type="dxa"/>
                  <w:shd w:val="clear" w:color="auto" w:fill="auto"/>
                  <w:vAlign w:val="center"/>
                </w:tcPr>
                <w:p w14:paraId="72AA168A">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w:t>
                  </w:r>
                  <w:r>
                    <w:rPr>
                      <w:rFonts w:hint="eastAsia"/>
                      <w:b w:val="0"/>
                      <w:color w:val="000000"/>
                      <w:szCs w:val="22"/>
                      <w:lang w:val="en-US" w:eastAsia="zh-CN"/>
                    </w:rPr>
                    <w:t>次</w:t>
                  </w:r>
                </w:p>
              </w:tc>
              <w:tc>
                <w:tcPr>
                  <w:tcW w:w="1018" w:type="dxa"/>
                  <w:tcBorders>
                    <w:right w:val="nil"/>
                  </w:tcBorders>
                  <w:shd w:val="clear" w:color="auto" w:fill="auto"/>
                  <w:vAlign w:val="center"/>
                </w:tcPr>
                <w:p w14:paraId="409AF23D">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立即停产，修复后生产</w:t>
                  </w:r>
                </w:p>
              </w:tc>
            </w:tr>
            <w:tr w14:paraId="2C9259B4">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95" w:hRule="atLeast"/>
              </w:trPr>
              <w:tc>
                <w:tcPr>
                  <w:tcW w:w="473" w:type="dxa"/>
                  <w:tcBorders>
                    <w:left w:val="nil"/>
                  </w:tcBorders>
                  <w:shd w:val="clear" w:color="auto" w:fill="auto"/>
                  <w:vAlign w:val="center"/>
                </w:tcPr>
                <w:p w14:paraId="3BB0225B">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4</w:t>
                  </w:r>
                </w:p>
              </w:tc>
              <w:tc>
                <w:tcPr>
                  <w:tcW w:w="838" w:type="dxa"/>
                  <w:vMerge w:val="continue"/>
                  <w:shd w:val="clear" w:color="auto" w:fill="auto"/>
                  <w:vAlign w:val="center"/>
                </w:tcPr>
                <w:p w14:paraId="046004F1">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761" w:type="dxa"/>
                  <w:vMerge w:val="continue"/>
                  <w:shd w:val="clear" w:color="auto" w:fill="auto"/>
                  <w:vAlign w:val="center"/>
                </w:tcPr>
                <w:p w14:paraId="4658F861">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1172" w:type="dxa"/>
                  <w:shd w:val="clear" w:color="auto" w:fill="auto"/>
                  <w:vAlign w:val="center"/>
                </w:tcPr>
                <w:p w14:paraId="11B07E5E">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颗粒物</w:t>
                  </w:r>
                </w:p>
              </w:tc>
              <w:tc>
                <w:tcPr>
                  <w:tcW w:w="1554" w:type="dxa"/>
                  <w:shd w:val="clear" w:color="auto" w:fill="auto"/>
                  <w:vAlign w:val="center"/>
                </w:tcPr>
                <w:p w14:paraId="72AF19D5">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3.5412</w:t>
                  </w:r>
                </w:p>
              </w:tc>
              <w:tc>
                <w:tcPr>
                  <w:tcW w:w="1345" w:type="dxa"/>
                  <w:shd w:val="clear" w:color="auto" w:fill="auto"/>
                  <w:vAlign w:val="center"/>
                </w:tcPr>
                <w:p w14:paraId="43D29A6F">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0.0708</w:t>
                  </w:r>
                </w:p>
              </w:tc>
              <w:tc>
                <w:tcPr>
                  <w:tcW w:w="665" w:type="dxa"/>
                  <w:shd w:val="clear" w:color="auto" w:fill="auto"/>
                  <w:vAlign w:val="center"/>
                </w:tcPr>
                <w:p w14:paraId="20F7302B">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1h</w:t>
                  </w:r>
                </w:p>
              </w:tc>
              <w:tc>
                <w:tcPr>
                  <w:tcW w:w="617" w:type="dxa"/>
                  <w:shd w:val="clear" w:color="auto" w:fill="auto"/>
                  <w:vAlign w:val="center"/>
                </w:tcPr>
                <w:p w14:paraId="17B499AE">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w:t>
                  </w:r>
                  <w:r>
                    <w:rPr>
                      <w:rFonts w:hint="eastAsia"/>
                      <w:b w:val="0"/>
                      <w:color w:val="000000"/>
                      <w:szCs w:val="22"/>
                      <w:lang w:val="en-US" w:eastAsia="zh-CN"/>
                    </w:rPr>
                    <w:t>次</w:t>
                  </w:r>
                </w:p>
              </w:tc>
              <w:tc>
                <w:tcPr>
                  <w:tcW w:w="1018" w:type="dxa"/>
                  <w:tcBorders>
                    <w:right w:val="nil"/>
                  </w:tcBorders>
                  <w:shd w:val="clear" w:color="auto" w:fill="auto"/>
                  <w:vAlign w:val="center"/>
                </w:tcPr>
                <w:p w14:paraId="3E7B44C3">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立即停产，修复后生产</w:t>
                  </w:r>
                </w:p>
              </w:tc>
            </w:tr>
            <w:tr w14:paraId="7B0203D5">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95" w:hRule="atLeast"/>
              </w:trPr>
              <w:tc>
                <w:tcPr>
                  <w:tcW w:w="473" w:type="dxa"/>
                  <w:tcBorders>
                    <w:left w:val="nil"/>
                  </w:tcBorders>
                  <w:shd w:val="clear" w:color="auto" w:fill="auto"/>
                  <w:vAlign w:val="center"/>
                </w:tcPr>
                <w:p w14:paraId="181559BF">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5</w:t>
                  </w:r>
                </w:p>
              </w:tc>
              <w:tc>
                <w:tcPr>
                  <w:tcW w:w="838" w:type="dxa"/>
                  <w:vMerge w:val="restart"/>
                  <w:shd w:val="clear" w:color="auto" w:fill="auto"/>
                  <w:vAlign w:val="center"/>
                </w:tcPr>
                <w:p w14:paraId="370364DD">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DA002</w:t>
                  </w:r>
                </w:p>
              </w:tc>
              <w:tc>
                <w:tcPr>
                  <w:tcW w:w="761" w:type="dxa"/>
                  <w:vMerge w:val="continue"/>
                  <w:shd w:val="clear" w:color="auto" w:fill="auto"/>
                  <w:vAlign w:val="center"/>
                </w:tcPr>
                <w:p w14:paraId="741EC51F">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1172" w:type="dxa"/>
                  <w:shd w:val="clear" w:color="auto" w:fill="auto"/>
                  <w:vAlign w:val="center"/>
                </w:tcPr>
                <w:p w14:paraId="77F41FE2">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VOCs</w:t>
                  </w:r>
                  <w:r>
                    <w:rPr>
                      <w:rFonts w:hint="eastAsia"/>
                      <w:b w:val="0"/>
                      <w:color w:val="000000"/>
                      <w:szCs w:val="22"/>
                      <w:lang w:val="en-US" w:eastAsia="zh-CN"/>
                    </w:rPr>
                    <w:t>（以非甲烷总烃计）</w:t>
                  </w:r>
                </w:p>
              </w:tc>
              <w:tc>
                <w:tcPr>
                  <w:tcW w:w="1554" w:type="dxa"/>
                  <w:shd w:val="clear" w:color="auto" w:fill="auto"/>
                  <w:vAlign w:val="center"/>
                </w:tcPr>
                <w:p w14:paraId="41221908">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5.2769</w:t>
                  </w:r>
                </w:p>
              </w:tc>
              <w:tc>
                <w:tcPr>
                  <w:tcW w:w="1345" w:type="dxa"/>
                  <w:shd w:val="clear" w:color="auto" w:fill="auto"/>
                  <w:vAlign w:val="center"/>
                </w:tcPr>
                <w:p w14:paraId="577416F5">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0.1055</w:t>
                  </w:r>
                </w:p>
              </w:tc>
              <w:tc>
                <w:tcPr>
                  <w:tcW w:w="665" w:type="dxa"/>
                  <w:shd w:val="clear" w:color="auto" w:fill="auto"/>
                  <w:vAlign w:val="center"/>
                </w:tcPr>
                <w:p w14:paraId="2C848898">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1h</w:t>
                  </w:r>
                </w:p>
              </w:tc>
              <w:tc>
                <w:tcPr>
                  <w:tcW w:w="617" w:type="dxa"/>
                  <w:shd w:val="clear" w:color="auto" w:fill="auto"/>
                  <w:vAlign w:val="center"/>
                </w:tcPr>
                <w:p w14:paraId="56A0115A">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w:t>
                  </w:r>
                  <w:r>
                    <w:rPr>
                      <w:rFonts w:hint="eastAsia"/>
                      <w:b w:val="0"/>
                      <w:color w:val="000000"/>
                      <w:szCs w:val="22"/>
                      <w:lang w:val="en-US" w:eastAsia="zh-CN"/>
                    </w:rPr>
                    <w:t>次</w:t>
                  </w:r>
                </w:p>
              </w:tc>
              <w:tc>
                <w:tcPr>
                  <w:tcW w:w="1018" w:type="dxa"/>
                  <w:tcBorders>
                    <w:right w:val="nil"/>
                  </w:tcBorders>
                  <w:shd w:val="clear" w:color="auto" w:fill="auto"/>
                  <w:vAlign w:val="center"/>
                </w:tcPr>
                <w:p w14:paraId="2BB31315">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立即停产，修复后生产</w:t>
                  </w:r>
                </w:p>
              </w:tc>
            </w:tr>
            <w:tr w14:paraId="647AC88A">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95" w:hRule="atLeast"/>
              </w:trPr>
              <w:tc>
                <w:tcPr>
                  <w:tcW w:w="473" w:type="dxa"/>
                  <w:tcBorders>
                    <w:left w:val="nil"/>
                    <w:bottom w:val="single" w:color="000000" w:sz="12" w:space="0"/>
                  </w:tcBorders>
                  <w:shd w:val="clear" w:color="auto" w:fill="auto"/>
                  <w:vAlign w:val="center"/>
                </w:tcPr>
                <w:p w14:paraId="4A4EA400">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6</w:t>
                  </w:r>
                </w:p>
              </w:tc>
              <w:tc>
                <w:tcPr>
                  <w:tcW w:w="838" w:type="dxa"/>
                  <w:vMerge w:val="continue"/>
                  <w:tcBorders>
                    <w:bottom w:val="single" w:color="000000" w:sz="12" w:space="0"/>
                  </w:tcBorders>
                  <w:shd w:val="clear" w:color="auto" w:fill="auto"/>
                  <w:vAlign w:val="center"/>
                </w:tcPr>
                <w:p w14:paraId="5126CEDC">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761" w:type="dxa"/>
                  <w:vMerge w:val="continue"/>
                  <w:tcBorders>
                    <w:bottom w:val="single" w:color="000000" w:sz="12" w:space="0"/>
                  </w:tcBorders>
                  <w:shd w:val="clear" w:color="auto" w:fill="auto"/>
                  <w:vAlign w:val="center"/>
                </w:tcPr>
                <w:p w14:paraId="015A66CB">
                  <w:pPr>
                    <w:pStyle w:val="38"/>
                    <w:keepNext w:val="0"/>
                    <w:keepLines w:val="0"/>
                    <w:widowControl/>
                    <w:suppressLineNumbers w:val="0"/>
                    <w:bidi w:val="0"/>
                    <w:spacing w:before="0" w:beforeAutospacing="0" w:after="0" w:afterAutospacing="0"/>
                    <w:ind w:left="0" w:right="0"/>
                    <w:rPr>
                      <w:rFonts w:hint="default"/>
                      <w:b w:val="0"/>
                      <w:color w:val="000000"/>
                      <w:szCs w:val="22"/>
                    </w:rPr>
                  </w:pPr>
                </w:p>
              </w:tc>
              <w:tc>
                <w:tcPr>
                  <w:tcW w:w="1172" w:type="dxa"/>
                  <w:tcBorders>
                    <w:bottom w:val="single" w:color="000000" w:sz="12" w:space="0"/>
                  </w:tcBorders>
                  <w:shd w:val="clear" w:color="auto" w:fill="auto"/>
                  <w:vAlign w:val="center"/>
                </w:tcPr>
                <w:p w14:paraId="181130CA">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颗粒物</w:t>
                  </w:r>
                </w:p>
              </w:tc>
              <w:tc>
                <w:tcPr>
                  <w:tcW w:w="1554" w:type="dxa"/>
                  <w:tcBorders>
                    <w:bottom w:val="single" w:color="000000" w:sz="12" w:space="0"/>
                  </w:tcBorders>
                  <w:shd w:val="clear" w:color="auto" w:fill="auto"/>
                  <w:vAlign w:val="center"/>
                </w:tcPr>
                <w:p w14:paraId="043F4723">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3.5412</w:t>
                  </w:r>
                </w:p>
              </w:tc>
              <w:tc>
                <w:tcPr>
                  <w:tcW w:w="1345" w:type="dxa"/>
                  <w:tcBorders>
                    <w:bottom w:val="single" w:color="000000" w:sz="12" w:space="0"/>
                  </w:tcBorders>
                  <w:shd w:val="clear" w:color="auto" w:fill="auto"/>
                  <w:vAlign w:val="center"/>
                </w:tcPr>
                <w:p w14:paraId="6470EB7A">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0.0708</w:t>
                  </w:r>
                </w:p>
              </w:tc>
              <w:tc>
                <w:tcPr>
                  <w:tcW w:w="665" w:type="dxa"/>
                  <w:tcBorders>
                    <w:bottom w:val="single" w:color="000000" w:sz="12" w:space="0"/>
                  </w:tcBorders>
                  <w:shd w:val="clear" w:color="auto" w:fill="auto"/>
                  <w:vAlign w:val="center"/>
                </w:tcPr>
                <w:p w14:paraId="57D3D906">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1h</w:t>
                  </w:r>
                </w:p>
              </w:tc>
              <w:tc>
                <w:tcPr>
                  <w:tcW w:w="617" w:type="dxa"/>
                  <w:tcBorders>
                    <w:bottom w:val="single" w:color="000000" w:sz="12" w:space="0"/>
                  </w:tcBorders>
                  <w:shd w:val="clear" w:color="auto" w:fill="auto"/>
                  <w:vAlign w:val="center"/>
                </w:tcPr>
                <w:p w14:paraId="4C1A8F59">
                  <w:pPr>
                    <w:pStyle w:val="38"/>
                    <w:keepNext w:val="0"/>
                    <w:keepLines w:val="0"/>
                    <w:widowControl/>
                    <w:suppressLineNumbers w:val="0"/>
                    <w:bidi w:val="0"/>
                    <w:spacing w:before="0" w:beforeAutospacing="0" w:after="0" w:afterAutospacing="0"/>
                    <w:ind w:left="0" w:right="0"/>
                    <w:rPr>
                      <w:rFonts w:hint="default"/>
                      <w:b w:val="0"/>
                      <w:color w:val="000000"/>
                      <w:szCs w:val="22"/>
                    </w:rPr>
                  </w:pPr>
                  <w:r>
                    <w:rPr>
                      <w:rFonts w:hint="default"/>
                      <w:b w:val="0"/>
                      <w:color w:val="000000"/>
                      <w:szCs w:val="22"/>
                      <w:lang w:val="en-US" w:eastAsia="zh-CN"/>
                    </w:rPr>
                    <w:t>1</w:t>
                  </w:r>
                  <w:r>
                    <w:rPr>
                      <w:rFonts w:hint="eastAsia"/>
                      <w:b w:val="0"/>
                      <w:color w:val="000000"/>
                      <w:szCs w:val="22"/>
                      <w:lang w:val="en-US" w:eastAsia="zh-CN"/>
                    </w:rPr>
                    <w:t>次</w:t>
                  </w:r>
                </w:p>
              </w:tc>
              <w:tc>
                <w:tcPr>
                  <w:tcW w:w="1018" w:type="dxa"/>
                  <w:tcBorders>
                    <w:bottom w:val="single" w:color="000000" w:sz="12" w:space="0"/>
                    <w:right w:val="nil"/>
                  </w:tcBorders>
                  <w:shd w:val="clear" w:color="auto" w:fill="auto"/>
                  <w:vAlign w:val="center"/>
                </w:tcPr>
                <w:p w14:paraId="29336F97">
                  <w:pPr>
                    <w:pStyle w:val="38"/>
                    <w:keepNext w:val="0"/>
                    <w:keepLines w:val="0"/>
                    <w:widowControl/>
                    <w:suppressLineNumbers w:val="0"/>
                    <w:bidi w:val="0"/>
                    <w:spacing w:before="0" w:beforeAutospacing="0" w:after="0" w:afterAutospacing="0"/>
                    <w:ind w:left="0" w:right="0"/>
                    <w:rPr>
                      <w:rFonts w:hint="eastAsia"/>
                      <w:b w:val="0"/>
                      <w:color w:val="000000"/>
                      <w:szCs w:val="22"/>
                    </w:rPr>
                  </w:pPr>
                  <w:r>
                    <w:rPr>
                      <w:rFonts w:hint="eastAsia"/>
                      <w:b w:val="0"/>
                      <w:color w:val="000000"/>
                      <w:szCs w:val="22"/>
                      <w:lang w:val="en-US" w:eastAsia="zh-CN"/>
                    </w:rPr>
                    <w:t>立即停产，修复后生产</w:t>
                  </w:r>
                </w:p>
              </w:tc>
            </w:tr>
          </w:tbl>
          <w:p w14:paraId="0BDECDD6">
            <w:pPr>
              <w:keepNext w:val="0"/>
              <w:keepLines w:val="0"/>
              <w:widowControl w:val="0"/>
              <w:suppressLineNumbers w:val="0"/>
              <w:bidi w:val="0"/>
              <w:spacing w:before="0" w:beforeAutospacing="0" w:after="0" w:afterAutospacing="0" w:line="360" w:lineRule="auto"/>
              <w:ind w:left="0" w:right="0" w:firstLine="480" w:firstLineChars="200"/>
              <w:jc w:val="both"/>
              <w:rPr>
                <w:rFonts w:hint="default" w:ascii="Times New Roman" w:hAnsi="Times New Roman" w:eastAsia="宋体" w:cs="宋体"/>
                <w:color w:val="auto"/>
                <w:kern w:val="2"/>
                <w:sz w:val="24"/>
                <w:szCs w:val="24"/>
                <w:highlight w:val="none"/>
                <w:lang w:val="en-US" w:eastAsia="zh-CN" w:bidi="ar-SA"/>
              </w:rPr>
            </w:pPr>
            <w:r>
              <w:rPr>
                <w:rFonts w:hint="default" w:ascii="Times New Roman" w:hAnsi="Times New Roman" w:eastAsia="宋体" w:cs="宋体"/>
                <w:color w:val="auto"/>
                <w:kern w:val="2"/>
                <w:sz w:val="24"/>
                <w:szCs w:val="24"/>
                <w:highlight w:val="none"/>
                <w:lang w:val="en-US" w:eastAsia="zh-CN" w:bidi="ar-SA"/>
              </w:rPr>
              <w:t>（2）非正常排放防治措施</w:t>
            </w:r>
          </w:p>
          <w:p w14:paraId="68F72736">
            <w:pPr>
              <w:keepNext w:val="0"/>
              <w:keepLines w:val="0"/>
              <w:widowControl w:val="0"/>
              <w:suppressLineNumbers w:val="0"/>
              <w:bidi w:val="0"/>
              <w:spacing w:before="0" w:beforeAutospacing="0" w:after="0" w:afterAutospacing="0" w:line="360" w:lineRule="auto"/>
              <w:ind w:left="0" w:right="0" w:firstLine="480" w:firstLineChars="200"/>
              <w:jc w:val="both"/>
              <w:rPr>
                <w:rFonts w:hint="default" w:ascii="Times New Roman" w:hAnsi="Times New Roman" w:eastAsia="宋体" w:cs="宋体"/>
                <w:color w:val="auto"/>
                <w:kern w:val="2"/>
                <w:sz w:val="24"/>
                <w:szCs w:val="24"/>
                <w:highlight w:val="none"/>
                <w:lang w:val="en-US" w:eastAsia="zh-CN" w:bidi="ar-SA"/>
              </w:rPr>
            </w:pPr>
            <w:r>
              <w:rPr>
                <w:rFonts w:hint="default" w:ascii="Times New Roman" w:hAnsi="Times New Roman" w:eastAsia="宋体" w:cs="宋体"/>
                <w:color w:val="auto"/>
                <w:kern w:val="2"/>
                <w:sz w:val="24"/>
                <w:szCs w:val="24"/>
                <w:highlight w:val="none"/>
                <w:lang w:val="en-US" w:eastAsia="zh-CN" w:bidi="ar-SA"/>
              </w:rPr>
              <w:t>针对以上非正常排放情形，本评价建议建设单位在生产运营期间采取以下控制措施以避免或减少废气非正常排放。</w:t>
            </w:r>
          </w:p>
          <w:p w14:paraId="3FE6178A">
            <w:pPr>
              <w:keepNext w:val="0"/>
              <w:keepLines w:val="0"/>
              <w:widowControl w:val="0"/>
              <w:suppressLineNumbers w:val="0"/>
              <w:bidi w:val="0"/>
              <w:spacing w:before="0" w:beforeAutospacing="0" w:after="0" w:afterAutospacing="0" w:line="360" w:lineRule="auto"/>
              <w:ind w:left="0" w:right="0" w:firstLine="480" w:firstLineChars="200"/>
              <w:jc w:val="both"/>
              <w:rPr>
                <w:rFonts w:hint="default" w:ascii="Times New Roman" w:hAnsi="Times New Roman" w:eastAsia="宋体" w:cs="宋体"/>
                <w:color w:val="auto"/>
                <w:kern w:val="2"/>
                <w:sz w:val="24"/>
                <w:szCs w:val="24"/>
                <w:highlight w:val="none"/>
                <w:lang w:val="en-US" w:eastAsia="zh-CN" w:bidi="ar-SA"/>
              </w:rPr>
            </w:pPr>
            <w:r>
              <w:rPr>
                <w:rFonts w:hint="default" w:ascii="Times New Roman" w:hAnsi="Times New Roman" w:eastAsia="宋体" w:cs="宋体"/>
                <w:color w:val="auto"/>
                <w:kern w:val="2"/>
                <w:sz w:val="24"/>
                <w:szCs w:val="24"/>
                <w:highlight w:val="none"/>
                <w:lang w:val="en-US" w:eastAsia="zh-CN" w:bidi="ar-SA"/>
              </w:rPr>
              <w:t>①规范车间生产操作，避免因员工操作不当导致工艺设备、环保设施故障引发废气事故排放。</w:t>
            </w:r>
          </w:p>
          <w:p w14:paraId="2CCFC884">
            <w:pPr>
              <w:keepNext w:val="0"/>
              <w:keepLines w:val="0"/>
              <w:widowControl w:val="0"/>
              <w:suppressLineNumbers w:val="0"/>
              <w:bidi w:val="0"/>
              <w:spacing w:before="0" w:beforeAutospacing="0" w:after="0" w:afterAutospacing="0" w:line="360" w:lineRule="auto"/>
              <w:ind w:left="0" w:right="0" w:firstLine="480" w:firstLineChars="200"/>
              <w:jc w:val="both"/>
              <w:rPr>
                <w:rFonts w:hint="default" w:ascii="Times New Roman" w:hAnsi="Times New Roman" w:eastAsia="宋体" w:cs="宋体"/>
                <w:color w:val="auto"/>
                <w:kern w:val="2"/>
                <w:sz w:val="24"/>
                <w:szCs w:val="24"/>
                <w:highlight w:val="none"/>
                <w:lang w:val="en-US" w:eastAsia="zh-CN" w:bidi="ar-SA"/>
              </w:rPr>
            </w:pPr>
            <w:r>
              <w:rPr>
                <w:rFonts w:hint="default" w:ascii="Times New Roman" w:hAnsi="Times New Roman" w:eastAsia="宋体" w:cs="宋体"/>
                <w:color w:val="auto"/>
                <w:kern w:val="2"/>
                <w:sz w:val="24"/>
                <w:szCs w:val="24"/>
                <w:highlight w:val="none"/>
                <w:lang w:val="en-US" w:eastAsia="zh-CN" w:bidi="ar-SA"/>
              </w:rPr>
              <w:t>②定期对生产设施及废气处理设施进行检查维护，杜绝非正常工况发生，避免非正常排放出现后才采取维护措施。</w:t>
            </w:r>
          </w:p>
          <w:p w14:paraId="706D20E5">
            <w:pPr>
              <w:keepNext w:val="0"/>
              <w:keepLines w:val="0"/>
              <w:widowControl w:val="0"/>
              <w:suppressLineNumbers w:val="0"/>
              <w:bidi w:val="0"/>
              <w:spacing w:before="0" w:beforeAutospacing="0" w:after="0" w:afterAutospacing="0" w:line="360" w:lineRule="auto"/>
              <w:ind w:left="0" w:right="0" w:firstLine="480" w:firstLineChars="200"/>
              <w:jc w:val="both"/>
              <w:rPr>
                <w:rFonts w:hint="default" w:ascii="Times New Roman" w:hAnsi="Times New Roman" w:eastAsia="宋体" w:cs="宋体"/>
                <w:color w:val="auto"/>
                <w:kern w:val="2"/>
                <w:sz w:val="24"/>
                <w:szCs w:val="24"/>
                <w:highlight w:val="none"/>
                <w:lang w:val="en-US" w:eastAsia="zh-CN" w:bidi="ar-SA"/>
              </w:rPr>
            </w:pPr>
            <w:r>
              <w:rPr>
                <w:rFonts w:hint="default" w:ascii="Times New Roman" w:hAnsi="Times New Roman" w:eastAsia="宋体" w:cs="宋体"/>
                <w:color w:val="auto"/>
                <w:kern w:val="2"/>
                <w:sz w:val="24"/>
                <w:szCs w:val="24"/>
                <w:highlight w:val="none"/>
                <w:lang w:val="en-US" w:eastAsia="zh-CN" w:bidi="ar-SA"/>
              </w:rPr>
              <w:t>综上，项目在采取上述非正常排放防范措施后，非正常排放发生频率较低，非正常排放下污染物排放量较少，非正常工况可及时得到处理，因此本项目废气非正常排放对周边大气环境影响较小。</w:t>
            </w:r>
          </w:p>
          <w:p w14:paraId="622E7A57">
            <w:pPr>
              <w:pStyle w:val="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 xml:space="preserve">运营期声环境影响分析和污染防治措施 </w:t>
            </w:r>
          </w:p>
          <w:p w14:paraId="56488E27">
            <w:pPr>
              <w:pStyle w:val="4"/>
              <w:suppressLineNumbers w:val="0"/>
              <w:bidi w:val="0"/>
              <w:spacing w:before="0" w:beforeAutospacing="0" w:after="0" w:afterAutospacing="0"/>
              <w:ind w:left="0" w:right="0"/>
              <w:rPr>
                <w:rFonts w:hint="default"/>
                <w:lang w:val="en-US" w:eastAsia="zh-CN"/>
              </w:rPr>
            </w:pPr>
            <w:r>
              <w:rPr>
                <w:rFonts w:hint="eastAsia"/>
                <w:lang w:val="en-US" w:eastAsia="zh-CN"/>
              </w:rPr>
              <w:t>噪声污染源强分析</w:t>
            </w:r>
          </w:p>
          <w:p w14:paraId="0B218131">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本项目主要的噪声污染源为</w:t>
            </w:r>
            <w:r>
              <w:rPr>
                <w:rFonts w:hint="default" w:ascii="Times New Roman" w:hAnsi="Times New Roman" w:eastAsia="宋体" w:cs="Times New Roman"/>
                <w:color w:val="auto"/>
                <w:sz w:val="24"/>
                <w:szCs w:val="24"/>
                <w:highlight w:val="none"/>
                <w:lang w:eastAsia="zh-CN"/>
              </w:rPr>
              <w:t>项目生产设备</w:t>
            </w:r>
            <w:r>
              <w:rPr>
                <w:rFonts w:hint="default" w:ascii="Times New Roman" w:hAnsi="Times New Roman" w:eastAsia="宋体" w:cs="Times New Roman"/>
                <w:color w:val="auto"/>
                <w:sz w:val="24"/>
                <w:szCs w:val="24"/>
                <w:highlight w:val="none"/>
              </w:rPr>
              <w:t>运行</w:t>
            </w:r>
            <w:r>
              <w:rPr>
                <w:rFonts w:hint="default" w:ascii="Times New Roman" w:hAnsi="Times New Roman" w:eastAsia="宋体" w:cs="Times New Roman"/>
                <w:color w:val="auto"/>
                <w:sz w:val="24"/>
                <w:szCs w:val="24"/>
                <w:highlight w:val="none"/>
                <w:lang w:eastAsia="zh-CN"/>
              </w:rPr>
              <w:t>过程中</w:t>
            </w:r>
            <w:r>
              <w:rPr>
                <w:rFonts w:hint="default" w:ascii="Times New Roman" w:hAnsi="Times New Roman" w:eastAsia="宋体" w:cs="Times New Roman"/>
                <w:color w:val="auto"/>
                <w:sz w:val="24"/>
                <w:szCs w:val="24"/>
                <w:highlight w:val="none"/>
              </w:rPr>
              <w:t>产生的噪声，根据类比分析，各设备噪声源强详见表</w:t>
            </w:r>
            <w:r>
              <w:rPr>
                <w:rFonts w:hint="default" w:ascii="Times New Roman" w:hAnsi="Times New Roman"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w:t>
            </w:r>
          </w:p>
          <w:p w14:paraId="1A674FEB">
            <w:pPr>
              <w:pStyle w:val="39"/>
              <w:keepNext w:val="0"/>
              <w:keepLines w:val="0"/>
              <w:suppressLineNumbers w:val="0"/>
              <w:bidi w:val="0"/>
              <w:spacing w:before="0" w:beforeAutospacing="0" w:after="0" w:afterAutospacing="0"/>
              <w:ind w:left="0" w:right="0"/>
              <w:rPr>
                <w:rFonts w:hint="default"/>
              </w:rPr>
            </w:pPr>
            <w:r>
              <w:rPr>
                <w:rFonts w:hint="eastAsia"/>
              </w:rPr>
              <w:t>表</w:t>
            </w:r>
            <w:r>
              <w:rPr>
                <w:rFonts w:hint="eastAsia"/>
                <w:lang w:val="en-US" w:eastAsia="zh-CN"/>
              </w:rPr>
              <w:t>4.3-1 项目设备噪声</w:t>
            </w:r>
            <w:r>
              <w:rPr>
                <w:rFonts w:hint="eastAsia"/>
              </w:rPr>
              <w:t>一览表</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77"/>
              <w:gridCol w:w="470"/>
              <w:gridCol w:w="470"/>
              <w:gridCol w:w="362"/>
              <w:gridCol w:w="678"/>
              <w:gridCol w:w="1741"/>
              <w:gridCol w:w="656"/>
              <w:gridCol w:w="544"/>
              <w:gridCol w:w="292"/>
              <w:gridCol w:w="599"/>
              <w:gridCol w:w="1042"/>
              <w:gridCol w:w="819"/>
              <w:gridCol w:w="528"/>
            </w:tblGrid>
            <w:tr w14:paraId="35C7C5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 w:hRule="atLeast"/>
                <w:jc w:val="center"/>
              </w:trPr>
              <w:tc>
                <w:tcPr>
                  <w:tcW w:w="277" w:type="dxa"/>
                  <w:vMerge w:val="restart"/>
                  <w:noWrap w:val="0"/>
                  <w:vAlign w:val="center"/>
                </w:tcPr>
                <w:p w14:paraId="3DA4991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序号</w:t>
                  </w:r>
                </w:p>
              </w:tc>
              <w:tc>
                <w:tcPr>
                  <w:tcW w:w="470" w:type="dxa"/>
                  <w:vMerge w:val="restart"/>
                  <w:noWrap w:val="0"/>
                  <w:vAlign w:val="center"/>
                </w:tcPr>
                <w:p w14:paraId="55B5EF0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建筑物名称</w:t>
                  </w:r>
                </w:p>
              </w:tc>
              <w:tc>
                <w:tcPr>
                  <w:tcW w:w="470" w:type="dxa"/>
                  <w:vMerge w:val="restart"/>
                  <w:noWrap w:val="0"/>
                  <w:vAlign w:val="center"/>
                </w:tcPr>
                <w:p w14:paraId="3FFCA81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声源名称</w:t>
                  </w:r>
                </w:p>
              </w:tc>
              <w:tc>
                <w:tcPr>
                  <w:tcW w:w="362" w:type="dxa"/>
                  <w:vMerge w:val="restart"/>
                  <w:noWrap w:val="0"/>
                  <w:vAlign w:val="center"/>
                </w:tcPr>
                <w:p w14:paraId="73CBB89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台/套数</w:t>
                  </w:r>
                </w:p>
              </w:tc>
              <w:tc>
                <w:tcPr>
                  <w:tcW w:w="678" w:type="dxa"/>
                  <w:vMerge w:val="restart"/>
                  <w:noWrap w:val="0"/>
                  <w:vAlign w:val="center"/>
                </w:tcPr>
                <w:p w14:paraId="217A2F2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声功率级</w:t>
                  </w:r>
                </w:p>
                <w:p w14:paraId="3C42C9E0">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rPr>
                    <w:t>/dB</w:t>
                  </w:r>
                  <w:r>
                    <w:rPr>
                      <w:rFonts w:hint="eastAsia"/>
                      <w:szCs w:val="22"/>
                      <w:lang w:eastAsia="zh-CN"/>
                    </w:rPr>
                    <w:t>（</w:t>
                  </w:r>
                  <w:r>
                    <w:rPr>
                      <w:rFonts w:hint="eastAsia"/>
                      <w:szCs w:val="22"/>
                    </w:rPr>
                    <w:t>A</w:t>
                  </w:r>
                  <w:r>
                    <w:rPr>
                      <w:rFonts w:hint="eastAsia"/>
                      <w:szCs w:val="22"/>
                      <w:lang w:eastAsia="zh-CN"/>
                    </w:rPr>
                    <w:t>）</w:t>
                  </w:r>
                </w:p>
              </w:tc>
              <w:tc>
                <w:tcPr>
                  <w:tcW w:w="1741" w:type="dxa"/>
                  <w:vMerge w:val="restart"/>
                  <w:noWrap w:val="0"/>
                  <w:vAlign w:val="center"/>
                </w:tcPr>
                <w:p w14:paraId="479A065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声源控制措施</w:t>
                  </w:r>
                </w:p>
              </w:tc>
              <w:tc>
                <w:tcPr>
                  <w:tcW w:w="1492" w:type="dxa"/>
                  <w:gridSpan w:val="3"/>
                  <w:noWrap w:val="0"/>
                  <w:vAlign w:val="center"/>
                </w:tcPr>
                <w:p w14:paraId="1ECDBA8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空间相对位置/m</w:t>
                  </w:r>
                </w:p>
              </w:tc>
              <w:tc>
                <w:tcPr>
                  <w:tcW w:w="599" w:type="dxa"/>
                  <w:vMerge w:val="restart"/>
                  <w:noWrap w:val="0"/>
                  <w:vAlign w:val="center"/>
                </w:tcPr>
                <w:p w14:paraId="09573FF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运行时段</w:t>
                  </w:r>
                </w:p>
              </w:tc>
              <w:tc>
                <w:tcPr>
                  <w:tcW w:w="1042" w:type="dxa"/>
                  <w:vMerge w:val="restart"/>
                  <w:noWrap w:val="0"/>
                  <w:vAlign w:val="center"/>
                </w:tcPr>
                <w:p w14:paraId="544C1652">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rPr>
                    <w:t>建筑物插入损失/dB</w:t>
                  </w:r>
                  <w:r>
                    <w:rPr>
                      <w:rFonts w:hint="eastAsia"/>
                      <w:szCs w:val="22"/>
                      <w:lang w:eastAsia="zh-CN"/>
                    </w:rPr>
                    <w:t>（</w:t>
                  </w:r>
                  <w:r>
                    <w:rPr>
                      <w:rFonts w:hint="eastAsia"/>
                      <w:szCs w:val="22"/>
                    </w:rPr>
                    <w:t>A</w:t>
                  </w:r>
                  <w:r>
                    <w:rPr>
                      <w:rFonts w:hint="eastAsia"/>
                      <w:szCs w:val="22"/>
                      <w:lang w:eastAsia="zh-CN"/>
                    </w:rPr>
                    <w:t>）</w:t>
                  </w:r>
                </w:p>
              </w:tc>
              <w:tc>
                <w:tcPr>
                  <w:tcW w:w="1347" w:type="dxa"/>
                  <w:gridSpan w:val="2"/>
                  <w:noWrap w:val="0"/>
                  <w:vAlign w:val="center"/>
                </w:tcPr>
                <w:p w14:paraId="25FD108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建筑物外噪声</w:t>
                  </w:r>
                </w:p>
              </w:tc>
            </w:tr>
            <w:tr w14:paraId="18E87E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 w:hRule="atLeast"/>
                <w:jc w:val="center"/>
              </w:trPr>
              <w:tc>
                <w:tcPr>
                  <w:tcW w:w="277" w:type="dxa"/>
                  <w:vMerge w:val="continue"/>
                  <w:noWrap w:val="0"/>
                  <w:vAlign w:val="center"/>
                </w:tcPr>
                <w:p w14:paraId="1D4ECDDD">
                  <w:pPr>
                    <w:pStyle w:val="38"/>
                    <w:keepNext w:val="0"/>
                    <w:keepLines w:val="0"/>
                    <w:widowControl/>
                    <w:suppressLineNumbers w:val="0"/>
                    <w:bidi w:val="0"/>
                    <w:spacing w:before="0" w:beforeAutospacing="0" w:after="0" w:afterAutospacing="0"/>
                    <w:ind w:left="0" w:right="0"/>
                    <w:rPr>
                      <w:rFonts w:hint="eastAsia"/>
                      <w:szCs w:val="22"/>
                    </w:rPr>
                  </w:pPr>
                </w:p>
              </w:tc>
              <w:tc>
                <w:tcPr>
                  <w:tcW w:w="470" w:type="dxa"/>
                  <w:vMerge w:val="continue"/>
                  <w:noWrap w:val="0"/>
                  <w:vAlign w:val="center"/>
                </w:tcPr>
                <w:p w14:paraId="6B15C2D9">
                  <w:pPr>
                    <w:pStyle w:val="38"/>
                    <w:keepNext w:val="0"/>
                    <w:keepLines w:val="0"/>
                    <w:widowControl/>
                    <w:suppressLineNumbers w:val="0"/>
                    <w:bidi w:val="0"/>
                    <w:spacing w:before="0" w:beforeAutospacing="0" w:after="0" w:afterAutospacing="0"/>
                    <w:ind w:left="0" w:right="0"/>
                    <w:rPr>
                      <w:rFonts w:hint="eastAsia"/>
                      <w:szCs w:val="22"/>
                    </w:rPr>
                  </w:pPr>
                </w:p>
              </w:tc>
              <w:tc>
                <w:tcPr>
                  <w:tcW w:w="470" w:type="dxa"/>
                  <w:vMerge w:val="continue"/>
                  <w:noWrap w:val="0"/>
                  <w:vAlign w:val="center"/>
                </w:tcPr>
                <w:p w14:paraId="688C359D">
                  <w:pPr>
                    <w:pStyle w:val="38"/>
                    <w:keepNext w:val="0"/>
                    <w:keepLines w:val="0"/>
                    <w:widowControl/>
                    <w:suppressLineNumbers w:val="0"/>
                    <w:bidi w:val="0"/>
                    <w:spacing w:before="0" w:beforeAutospacing="0" w:after="0" w:afterAutospacing="0"/>
                    <w:ind w:left="0" w:right="0"/>
                    <w:rPr>
                      <w:rFonts w:hint="eastAsia"/>
                      <w:szCs w:val="22"/>
                    </w:rPr>
                  </w:pPr>
                </w:p>
              </w:tc>
              <w:tc>
                <w:tcPr>
                  <w:tcW w:w="362" w:type="dxa"/>
                  <w:vMerge w:val="continue"/>
                  <w:noWrap w:val="0"/>
                  <w:vAlign w:val="center"/>
                </w:tcPr>
                <w:p w14:paraId="1DF2B726">
                  <w:pPr>
                    <w:pStyle w:val="38"/>
                    <w:keepNext w:val="0"/>
                    <w:keepLines w:val="0"/>
                    <w:widowControl/>
                    <w:suppressLineNumbers w:val="0"/>
                    <w:bidi w:val="0"/>
                    <w:spacing w:before="0" w:beforeAutospacing="0" w:after="0" w:afterAutospacing="0"/>
                    <w:ind w:left="0" w:right="0"/>
                    <w:rPr>
                      <w:rFonts w:hint="eastAsia"/>
                      <w:szCs w:val="22"/>
                    </w:rPr>
                  </w:pPr>
                </w:p>
              </w:tc>
              <w:tc>
                <w:tcPr>
                  <w:tcW w:w="678" w:type="dxa"/>
                  <w:vMerge w:val="continue"/>
                  <w:noWrap w:val="0"/>
                  <w:vAlign w:val="center"/>
                </w:tcPr>
                <w:p w14:paraId="4B004C4E">
                  <w:pPr>
                    <w:pStyle w:val="38"/>
                    <w:keepNext w:val="0"/>
                    <w:keepLines w:val="0"/>
                    <w:widowControl/>
                    <w:suppressLineNumbers w:val="0"/>
                    <w:bidi w:val="0"/>
                    <w:spacing w:before="0" w:beforeAutospacing="0" w:after="0" w:afterAutospacing="0"/>
                    <w:ind w:left="0" w:right="0"/>
                    <w:rPr>
                      <w:rFonts w:hint="eastAsia"/>
                      <w:szCs w:val="22"/>
                    </w:rPr>
                  </w:pPr>
                </w:p>
              </w:tc>
              <w:tc>
                <w:tcPr>
                  <w:tcW w:w="1741" w:type="dxa"/>
                  <w:vMerge w:val="continue"/>
                  <w:noWrap w:val="0"/>
                  <w:vAlign w:val="center"/>
                </w:tcPr>
                <w:p w14:paraId="64D4C6A1">
                  <w:pPr>
                    <w:pStyle w:val="38"/>
                    <w:keepNext w:val="0"/>
                    <w:keepLines w:val="0"/>
                    <w:widowControl/>
                    <w:suppressLineNumbers w:val="0"/>
                    <w:bidi w:val="0"/>
                    <w:spacing w:before="0" w:beforeAutospacing="0" w:after="0" w:afterAutospacing="0"/>
                    <w:ind w:left="0" w:right="0"/>
                    <w:rPr>
                      <w:rFonts w:hint="eastAsia"/>
                      <w:szCs w:val="22"/>
                    </w:rPr>
                  </w:pPr>
                </w:p>
              </w:tc>
              <w:tc>
                <w:tcPr>
                  <w:tcW w:w="656" w:type="dxa"/>
                  <w:noWrap w:val="0"/>
                  <w:vAlign w:val="center"/>
                </w:tcPr>
                <w:p w14:paraId="039469A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X</w:t>
                  </w:r>
                </w:p>
              </w:tc>
              <w:tc>
                <w:tcPr>
                  <w:tcW w:w="544" w:type="dxa"/>
                  <w:noWrap w:val="0"/>
                  <w:vAlign w:val="center"/>
                </w:tcPr>
                <w:p w14:paraId="00DAB01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Y</w:t>
                  </w:r>
                </w:p>
              </w:tc>
              <w:tc>
                <w:tcPr>
                  <w:tcW w:w="292" w:type="dxa"/>
                  <w:noWrap w:val="0"/>
                  <w:vAlign w:val="center"/>
                </w:tcPr>
                <w:p w14:paraId="380F32EA">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Z</w:t>
                  </w:r>
                </w:p>
              </w:tc>
              <w:tc>
                <w:tcPr>
                  <w:tcW w:w="599" w:type="dxa"/>
                  <w:vMerge w:val="continue"/>
                  <w:noWrap w:val="0"/>
                  <w:vAlign w:val="center"/>
                </w:tcPr>
                <w:p w14:paraId="38FEA68F">
                  <w:pPr>
                    <w:pStyle w:val="38"/>
                    <w:keepNext w:val="0"/>
                    <w:keepLines w:val="0"/>
                    <w:widowControl/>
                    <w:suppressLineNumbers w:val="0"/>
                    <w:bidi w:val="0"/>
                    <w:spacing w:before="0" w:beforeAutospacing="0" w:after="0" w:afterAutospacing="0"/>
                    <w:ind w:left="0" w:right="0"/>
                    <w:rPr>
                      <w:rFonts w:hint="eastAsia"/>
                      <w:szCs w:val="22"/>
                    </w:rPr>
                  </w:pPr>
                </w:p>
              </w:tc>
              <w:tc>
                <w:tcPr>
                  <w:tcW w:w="1042" w:type="dxa"/>
                  <w:vMerge w:val="continue"/>
                  <w:noWrap w:val="0"/>
                  <w:vAlign w:val="center"/>
                </w:tcPr>
                <w:p w14:paraId="279B719F">
                  <w:pPr>
                    <w:pStyle w:val="38"/>
                    <w:keepNext w:val="0"/>
                    <w:keepLines w:val="0"/>
                    <w:widowControl/>
                    <w:suppressLineNumbers w:val="0"/>
                    <w:bidi w:val="0"/>
                    <w:spacing w:before="0" w:beforeAutospacing="0" w:after="0" w:afterAutospacing="0"/>
                    <w:ind w:left="0" w:right="0"/>
                    <w:rPr>
                      <w:rFonts w:hint="eastAsia"/>
                      <w:szCs w:val="22"/>
                    </w:rPr>
                  </w:pPr>
                </w:p>
              </w:tc>
              <w:tc>
                <w:tcPr>
                  <w:tcW w:w="819" w:type="dxa"/>
                  <w:noWrap w:val="0"/>
                  <w:vAlign w:val="center"/>
                </w:tcPr>
                <w:p w14:paraId="4DF9870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声压级</w:t>
                  </w:r>
                </w:p>
                <w:p w14:paraId="140225B5">
                  <w:pPr>
                    <w:pStyle w:val="38"/>
                    <w:keepNext w:val="0"/>
                    <w:keepLines w:val="0"/>
                    <w:widowControl/>
                    <w:suppressLineNumbers w:val="0"/>
                    <w:bidi w:val="0"/>
                    <w:spacing w:before="0" w:beforeAutospacing="0" w:after="0" w:afterAutospacing="0"/>
                    <w:ind w:left="0" w:right="0"/>
                    <w:rPr>
                      <w:rFonts w:hint="eastAsia" w:eastAsia="宋体"/>
                      <w:szCs w:val="22"/>
                      <w:lang w:eastAsia="zh-CN"/>
                    </w:rPr>
                  </w:pPr>
                  <w:r>
                    <w:rPr>
                      <w:rFonts w:hint="eastAsia"/>
                      <w:szCs w:val="22"/>
                    </w:rPr>
                    <w:t>/dB</w:t>
                  </w:r>
                  <w:r>
                    <w:rPr>
                      <w:rFonts w:hint="eastAsia"/>
                      <w:szCs w:val="22"/>
                      <w:lang w:eastAsia="zh-CN"/>
                    </w:rPr>
                    <w:t>（</w:t>
                  </w:r>
                  <w:r>
                    <w:rPr>
                      <w:rFonts w:hint="eastAsia"/>
                      <w:szCs w:val="22"/>
                    </w:rPr>
                    <w:t>A</w:t>
                  </w:r>
                  <w:r>
                    <w:rPr>
                      <w:rFonts w:hint="eastAsia"/>
                      <w:szCs w:val="22"/>
                      <w:lang w:eastAsia="zh-CN"/>
                    </w:rPr>
                    <w:t>）</w:t>
                  </w:r>
                </w:p>
              </w:tc>
              <w:tc>
                <w:tcPr>
                  <w:tcW w:w="528" w:type="dxa"/>
                  <w:noWrap w:val="0"/>
                  <w:vAlign w:val="center"/>
                </w:tcPr>
                <w:p w14:paraId="33EDE17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建筑物外距离</w:t>
                  </w:r>
                </w:p>
              </w:tc>
            </w:tr>
            <w:tr w14:paraId="5A2CF6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77" w:type="dxa"/>
                  <w:noWrap w:val="0"/>
                  <w:vAlign w:val="center"/>
                </w:tcPr>
                <w:p w14:paraId="00C99DA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w:t>
                  </w:r>
                </w:p>
              </w:tc>
              <w:tc>
                <w:tcPr>
                  <w:tcW w:w="470" w:type="dxa"/>
                  <w:vMerge w:val="restart"/>
                  <w:noWrap w:val="0"/>
                  <w:vAlign w:val="center"/>
                </w:tcPr>
                <w:p w14:paraId="1F79AD61">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三层厂房内</w:t>
                  </w:r>
                </w:p>
              </w:tc>
              <w:tc>
                <w:tcPr>
                  <w:tcW w:w="470" w:type="dxa"/>
                  <w:noWrap w:val="0"/>
                  <w:vAlign w:val="center"/>
                </w:tcPr>
                <w:p w14:paraId="24F0899E">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抛光机</w:t>
                  </w:r>
                </w:p>
              </w:tc>
              <w:tc>
                <w:tcPr>
                  <w:tcW w:w="362" w:type="dxa"/>
                  <w:noWrap w:val="0"/>
                  <w:vAlign w:val="center"/>
                </w:tcPr>
                <w:p w14:paraId="535479D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21</w:t>
                  </w:r>
                </w:p>
              </w:tc>
              <w:tc>
                <w:tcPr>
                  <w:tcW w:w="678" w:type="dxa"/>
                  <w:noWrap w:val="0"/>
                  <w:vAlign w:val="center"/>
                </w:tcPr>
                <w:p w14:paraId="2D852EB4">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75~80</w:t>
                  </w:r>
                </w:p>
              </w:tc>
              <w:tc>
                <w:tcPr>
                  <w:tcW w:w="1741" w:type="dxa"/>
                  <w:vMerge w:val="restart"/>
                  <w:noWrap w:val="0"/>
                  <w:vAlign w:val="center"/>
                </w:tcPr>
                <w:p w14:paraId="2E56F514">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rPr>
                    <w:t>高噪声设备基础安装减振，进行装消声器等降噪措施</w:t>
                  </w:r>
                </w:p>
              </w:tc>
              <w:tc>
                <w:tcPr>
                  <w:tcW w:w="627" w:type="dxa"/>
                  <w:noWrap w:val="0"/>
                  <w:vAlign w:val="center"/>
                </w:tcPr>
                <w:p w14:paraId="52C48C4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-7</w:t>
                  </w:r>
                </w:p>
              </w:tc>
              <w:tc>
                <w:tcPr>
                  <w:tcW w:w="520" w:type="dxa"/>
                  <w:noWrap w:val="0"/>
                  <w:vAlign w:val="center"/>
                </w:tcPr>
                <w:p w14:paraId="61519214">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6</w:t>
                  </w:r>
                </w:p>
              </w:tc>
              <w:tc>
                <w:tcPr>
                  <w:tcW w:w="279" w:type="dxa"/>
                  <w:noWrap w:val="0"/>
                  <w:vAlign w:val="center"/>
                </w:tcPr>
                <w:p w14:paraId="78778BCF">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12</w:t>
                  </w:r>
                </w:p>
              </w:tc>
              <w:tc>
                <w:tcPr>
                  <w:tcW w:w="599" w:type="dxa"/>
                  <w:vMerge w:val="restart"/>
                  <w:noWrap w:val="0"/>
                  <w:vAlign w:val="center"/>
                </w:tcPr>
                <w:p w14:paraId="7FD47D6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12h/d</w:t>
                  </w:r>
                </w:p>
              </w:tc>
              <w:tc>
                <w:tcPr>
                  <w:tcW w:w="1042" w:type="dxa"/>
                  <w:vMerge w:val="restart"/>
                  <w:noWrap w:val="0"/>
                  <w:vAlign w:val="center"/>
                </w:tcPr>
                <w:p w14:paraId="51DE3E0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-15</w:t>
                  </w:r>
                </w:p>
                <w:p w14:paraId="3FD58A71">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w:t>
                  </w:r>
                </w:p>
              </w:tc>
              <w:tc>
                <w:tcPr>
                  <w:tcW w:w="819" w:type="dxa"/>
                  <w:vMerge w:val="restart"/>
                  <w:noWrap w:val="0"/>
                  <w:vAlign w:val="center"/>
                </w:tcPr>
                <w:p w14:paraId="22FC5602">
                  <w:pPr>
                    <w:pStyle w:val="38"/>
                    <w:keepNext w:val="0"/>
                    <w:keepLines w:val="0"/>
                    <w:widowControl/>
                    <w:suppressLineNumbers w:val="0"/>
                    <w:bidi w:val="0"/>
                    <w:spacing w:before="0" w:beforeAutospacing="0" w:after="0" w:afterAutospacing="0"/>
                    <w:ind w:left="0" w:right="0"/>
                    <w:rPr>
                      <w:rFonts w:hint="eastAsia" w:eastAsia="宋体"/>
                      <w:szCs w:val="22"/>
                      <w:lang w:val="en-US" w:eastAsia="zh-CN"/>
                    </w:rPr>
                  </w:pPr>
                  <w:r>
                    <w:rPr>
                      <w:rFonts w:hint="eastAsia"/>
                      <w:szCs w:val="22"/>
                    </w:rPr>
                    <w:t>≤7</w:t>
                  </w:r>
                  <w:r>
                    <w:rPr>
                      <w:rFonts w:hint="eastAsia"/>
                      <w:szCs w:val="22"/>
                      <w:lang w:val="en-US" w:eastAsia="zh-CN"/>
                    </w:rPr>
                    <w:t>0</w:t>
                  </w:r>
                  <w:r>
                    <w:rPr>
                      <w:rFonts w:hint="eastAsia"/>
                      <w:szCs w:val="22"/>
                    </w:rPr>
                    <w:t>dB</w:t>
                  </w:r>
                  <w:r>
                    <w:rPr>
                      <w:rFonts w:hint="eastAsia"/>
                      <w:szCs w:val="22"/>
                      <w:lang w:eastAsia="zh-CN"/>
                    </w:rPr>
                    <w:t>（</w:t>
                  </w:r>
                  <w:r>
                    <w:rPr>
                      <w:rFonts w:hint="eastAsia"/>
                      <w:szCs w:val="22"/>
                    </w:rPr>
                    <w:t>A</w:t>
                  </w:r>
                  <w:r>
                    <w:rPr>
                      <w:rFonts w:hint="eastAsia"/>
                      <w:szCs w:val="22"/>
                      <w:lang w:eastAsia="zh-CN"/>
                    </w:rPr>
                    <w:t>）</w:t>
                  </w:r>
                </w:p>
              </w:tc>
              <w:tc>
                <w:tcPr>
                  <w:tcW w:w="528" w:type="dxa"/>
                  <w:vMerge w:val="restart"/>
                  <w:noWrap w:val="0"/>
                  <w:vAlign w:val="center"/>
                </w:tcPr>
                <w:p w14:paraId="2FDE32E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1</w:t>
                  </w:r>
                </w:p>
              </w:tc>
            </w:tr>
            <w:tr w14:paraId="1F0791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12" w:hRule="atLeast"/>
                <w:jc w:val="center"/>
              </w:trPr>
              <w:tc>
                <w:tcPr>
                  <w:tcW w:w="277" w:type="dxa"/>
                  <w:vAlign w:val="center"/>
                </w:tcPr>
                <w:p w14:paraId="6124A4B4">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2</w:t>
                  </w:r>
                </w:p>
              </w:tc>
              <w:tc>
                <w:tcPr>
                  <w:tcW w:w="470" w:type="dxa"/>
                  <w:vMerge w:val="continue"/>
                  <w:vAlign w:val="center"/>
                </w:tcPr>
                <w:p w14:paraId="76F91864">
                  <w:pPr>
                    <w:pStyle w:val="38"/>
                    <w:keepNext w:val="0"/>
                    <w:keepLines w:val="0"/>
                    <w:widowControl/>
                    <w:suppressLineNumbers w:val="0"/>
                    <w:bidi w:val="0"/>
                    <w:spacing w:before="0" w:beforeAutospacing="0" w:after="0" w:afterAutospacing="0"/>
                    <w:ind w:left="0" w:right="0"/>
                    <w:rPr>
                      <w:rFonts w:hint="eastAsia"/>
                      <w:szCs w:val="22"/>
                    </w:rPr>
                  </w:pPr>
                </w:p>
              </w:tc>
              <w:tc>
                <w:tcPr>
                  <w:tcW w:w="470" w:type="dxa"/>
                  <w:shd w:val="clear" w:color="auto" w:fill="auto"/>
                  <w:vAlign w:val="center"/>
                </w:tcPr>
                <w:p w14:paraId="24262FBE">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喷漆平板线</w:t>
                  </w:r>
                </w:p>
              </w:tc>
              <w:tc>
                <w:tcPr>
                  <w:tcW w:w="362" w:type="dxa"/>
                  <w:shd w:val="clear" w:color="auto" w:fill="auto"/>
                  <w:vAlign w:val="center"/>
                </w:tcPr>
                <w:p w14:paraId="22CAF825">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1</w:t>
                  </w:r>
                </w:p>
              </w:tc>
              <w:tc>
                <w:tcPr>
                  <w:tcW w:w="678" w:type="dxa"/>
                  <w:vAlign w:val="center"/>
                </w:tcPr>
                <w:p w14:paraId="777C7085">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70~80</w:t>
                  </w:r>
                </w:p>
              </w:tc>
              <w:tc>
                <w:tcPr>
                  <w:tcW w:w="1741" w:type="dxa"/>
                  <w:vMerge w:val="continue"/>
                  <w:vAlign w:val="center"/>
                </w:tcPr>
                <w:p w14:paraId="10EF10EE">
                  <w:pPr>
                    <w:pStyle w:val="38"/>
                    <w:keepNext w:val="0"/>
                    <w:keepLines w:val="0"/>
                    <w:widowControl/>
                    <w:suppressLineNumbers w:val="0"/>
                    <w:bidi w:val="0"/>
                    <w:spacing w:before="0" w:beforeAutospacing="0" w:after="0" w:afterAutospacing="0"/>
                    <w:ind w:left="0" w:right="0"/>
                    <w:rPr>
                      <w:rFonts w:hint="eastAsia"/>
                      <w:szCs w:val="22"/>
                    </w:rPr>
                  </w:pPr>
                </w:p>
              </w:tc>
              <w:tc>
                <w:tcPr>
                  <w:tcW w:w="627" w:type="dxa"/>
                  <w:shd w:val="clear" w:color="auto" w:fill="auto"/>
                  <w:vAlign w:val="center"/>
                </w:tcPr>
                <w:p w14:paraId="7E185A54">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4</w:t>
                  </w:r>
                </w:p>
              </w:tc>
              <w:tc>
                <w:tcPr>
                  <w:tcW w:w="520" w:type="dxa"/>
                  <w:shd w:val="clear" w:color="auto" w:fill="auto"/>
                  <w:vAlign w:val="center"/>
                </w:tcPr>
                <w:p w14:paraId="58BFA6F6">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0</w:t>
                  </w:r>
                </w:p>
              </w:tc>
              <w:tc>
                <w:tcPr>
                  <w:tcW w:w="279" w:type="dxa"/>
                  <w:shd w:val="clear" w:color="auto" w:fill="auto"/>
                  <w:vAlign w:val="center"/>
                </w:tcPr>
                <w:p w14:paraId="338D4502">
                  <w:pPr>
                    <w:pStyle w:val="38"/>
                    <w:keepNext w:val="0"/>
                    <w:keepLines w:val="0"/>
                    <w:widowControl/>
                    <w:suppressLineNumbers w:val="0"/>
                    <w:bidi w:val="0"/>
                    <w:spacing w:before="0" w:beforeAutospacing="0" w:after="0" w:afterAutospacing="0"/>
                    <w:ind w:left="0" w:right="0"/>
                    <w:rPr>
                      <w:rFonts w:hint="eastAsia"/>
                      <w:szCs w:val="22"/>
                    </w:rPr>
                  </w:pPr>
                  <w:r>
                    <w:rPr>
                      <w:rFonts w:hint="default"/>
                      <w:szCs w:val="22"/>
                      <w:lang w:val="en-US" w:eastAsia="zh-CN"/>
                    </w:rPr>
                    <w:t>12</w:t>
                  </w:r>
                </w:p>
              </w:tc>
              <w:tc>
                <w:tcPr>
                  <w:tcW w:w="599" w:type="dxa"/>
                  <w:vMerge w:val="continue"/>
                  <w:vAlign w:val="center"/>
                </w:tcPr>
                <w:p w14:paraId="0950CBFC">
                  <w:pPr>
                    <w:pStyle w:val="38"/>
                    <w:keepNext w:val="0"/>
                    <w:keepLines w:val="0"/>
                    <w:widowControl/>
                    <w:suppressLineNumbers w:val="0"/>
                    <w:bidi w:val="0"/>
                    <w:spacing w:before="0" w:beforeAutospacing="0" w:after="0" w:afterAutospacing="0"/>
                    <w:ind w:left="0" w:right="0"/>
                    <w:rPr>
                      <w:rFonts w:hint="eastAsia"/>
                      <w:szCs w:val="22"/>
                    </w:rPr>
                  </w:pPr>
                </w:p>
              </w:tc>
              <w:tc>
                <w:tcPr>
                  <w:tcW w:w="1042" w:type="dxa"/>
                  <w:vMerge w:val="continue"/>
                  <w:vAlign w:val="center"/>
                </w:tcPr>
                <w:p w14:paraId="51072993">
                  <w:pPr>
                    <w:pStyle w:val="38"/>
                    <w:keepNext w:val="0"/>
                    <w:keepLines w:val="0"/>
                    <w:widowControl/>
                    <w:suppressLineNumbers w:val="0"/>
                    <w:bidi w:val="0"/>
                    <w:spacing w:before="0" w:beforeAutospacing="0" w:after="0" w:afterAutospacing="0"/>
                    <w:ind w:left="0" w:right="0"/>
                    <w:rPr>
                      <w:rFonts w:hint="eastAsia"/>
                      <w:szCs w:val="22"/>
                    </w:rPr>
                  </w:pPr>
                </w:p>
              </w:tc>
              <w:tc>
                <w:tcPr>
                  <w:tcW w:w="819" w:type="dxa"/>
                  <w:vMerge w:val="continue"/>
                  <w:vAlign w:val="center"/>
                </w:tcPr>
                <w:p w14:paraId="0D52658F">
                  <w:pPr>
                    <w:pStyle w:val="38"/>
                    <w:keepNext w:val="0"/>
                    <w:keepLines w:val="0"/>
                    <w:widowControl/>
                    <w:suppressLineNumbers w:val="0"/>
                    <w:bidi w:val="0"/>
                    <w:spacing w:before="0" w:beforeAutospacing="0" w:after="0" w:afterAutospacing="0"/>
                    <w:ind w:left="0" w:right="0"/>
                    <w:rPr>
                      <w:rFonts w:hint="default"/>
                      <w:szCs w:val="22"/>
                      <w:lang w:val="en-US" w:eastAsia="zh-CN"/>
                    </w:rPr>
                  </w:pPr>
                </w:p>
              </w:tc>
              <w:tc>
                <w:tcPr>
                  <w:tcW w:w="528" w:type="dxa"/>
                  <w:vMerge w:val="continue"/>
                  <w:vAlign w:val="center"/>
                </w:tcPr>
                <w:p w14:paraId="46049C66">
                  <w:pPr>
                    <w:pStyle w:val="38"/>
                    <w:keepNext w:val="0"/>
                    <w:keepLines w:val="0"/>
                    <w:widowControl/>
                    <w:suppressLineNumbers w:val="0"/>
                    <w:bidi w:val="0"/>
                    <w:spacing w:before="0" w:beforeAutospacing="0" w:after="0" w:afterAutospacing="0"/>
                    <w:ind w:left="0" w:right="0"/>
                    <w:rPr>
                      <w:rFonts w:hint="eastAsia"/>
                      <w:szCs w:val="22"/>
                    </w:rPr>
                  </w:pPr>
                </w:p>
              </w:tc>
            </w:tr>
            <w:tr w14:paraId="26F38A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77" w:type="dxa"/>
                  <w:vAlign w:val="center"/>
                </w:tcPr>
                <w:p w14:paraId="7DF884E9">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3</w:t>
                  </w:r>
                </w:p>
              </w:tc>
              <w:tc>
                <w:tcPr>
                  <w:tcW w:w="470" w:type="dxa"/>
                  <w:vMerge w:val="continue"/>
                  <w:vAlign w:val="center"/>
                </w:tcPr>
                <w:p w14:paraId="54A52C89">
                  <w:pPr>
                    <w:pStyle w:val="38"/>
                    <w:keepNext w:val="0"/>
                    <w:keepLines w:val="0"/>
                    <w:widowControl/>
                    <w:suppressLineNumbers w:val="0"/>
                    <w:bidi w:val="0"/>
                    <w:spacing w:before="0" w:beforeAutospacing="0" w:after="0" w:afterAutospacing="0"/>
                    <w:ind w:left="0" w:right="0"/>
                    <w:rPr>
                      <w:rFonts w:hint="default"/>
                      <w:szCs w:val="22"/>
                      <w:lang w:val="en-US" w:eastAsia="zh-CN"/>
                    </w:rPr>
                  </w:pPr>
                </w:p>
              </w:tc>
              <w:tc>
                <w:tcPr>
                  <w:tcW w:w="470" w:type="dxa"/>
                  <w:vAlign w:val="center"/>
                </w:tcPr>
                <w:p w14:paraId="6F3A0544">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电面包炉</w:t>
                  </w:r>
                </w:p>
              </w:tc>
              <w:tc>
                <w:tcPr>
                  <w:tcW w:w="362" w:type="dxa"/>
                  <w:shd w:val="clear" w:color="auto" w:fill="auto"/>
                  <w:vAlign w:val="center"/>
                </w:tcPr>
                <w:p w14:paraId="0F11EAD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1</w:t>
                  </w:r>
                </w:p>
              </w:tc>
              <w:tc>
                <w:tcPr>
                  <w:tcW w:w="678" w:type="dxa"/>
                  <w:vAlign w:val="center"/>
                </w:tcPr>
                <w:p w14:paraId="3E5D76C8">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70~80</w:t>
                  </w:r>
                </w:p>
              </w:tc>
              <w:tc>
                <w:tcPr>
                  <w:tcW w:w="1741" w:type="dxa"/>
                  <w:vMerge w:val="continue"/>
                  <w:vAlign w:val="center"/>
                </w:tcPr>
                <w:p w14:paraId="26D34485">
                  <w:pPr>
                    <w:pStyle w:val="38"/>
                    <w:keepNext w:val="0"/>
                    <w:keepLines w:val="0"/>
                    <w:widowControl/>
                    <w:suppressLineNumbers w:val="0"/>
                    <w:bidi w:val="0"/>
                    <w:spacing w:before="0" w:beforeAutospacing="0" w:after="0" w:afterAutospacing="0"/>
                    <w:ind w:left="0" w:right="0"/>
                    <w:rPr>
                      <w:rFonts w:hint="default"/>
                      <w:szCs w:val="22"/>
                      <w:lang w:val="en-US" w:eastAsia="zh-CN"/>
                    </w:rPr>
                  </w:pPr>
                </w:p>
              </w:tc>
              <w:tc>
                <w:tcPr>
                  <w:tcW w:w="627" w:type="dxa"/>
                  <w:vAlign w:val="center"/>
                </w:tcPr>
                <w:p w14:paraId="1ECDB93F">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-1</w:t>
                  </w:r>
                </w:p>
              </w:tc>
              <w:tc>
                <w:tcPr>
                  <w:tcW w:w="520" w:type="dxa"/>
                  <w:vAlign w:val="center"/>
                </w:tcPr>
                <w:p w14:paraId="4147114C">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-8</w:t>
                  </w:r>
                </w:p>
              </w:tc>
              <w:tc>
                <w:tcPr>
                  <w:tcW w:w="279" w:type="dxa"/>
                  <w:vAlign w:val="center"/>
                </w:tcPr>
                <w:p w14:paraId="1ED01C18">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12</w:t>
                  </w:r>
                </w:p>
              </w:tc>
              <w:tc>
                <w:tcPr>
                  <w:tcW w:w="599" w:type="dxa"/>
                  <w:vAlign w:val="center"/>
                </w:tcPr>
                <w:p w14:paraId="6D13B3FC">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12</w:t>
                  </w:r>
                  <w:r>
                    <w:rPr>
                      <w:rFonts w:hint="default"/>
                      <w:szCs w:val="22"/>
                      <w:lang w:val="en-US" w:eastAsia="zh-CN"/>
                    </w:rPr>
                    <w:t>h/d</w:t>
                  </w:r>
                </w:p>
              </w:tc>
              <w:tc>
                <w:tcPr>
                  <w:tcW w:w="1042" w:type="dxa"/>
                  <w:vMerge w:val="continue"/>
                  <w:vAlign w:val="center"/>
                </w:tcPr>
                <w:p w14:paraId="72FA7063">
                  <w:pPr>
                    <w:pStyle w:val="38"/>
                    <w:keepNext w:val="0"/>
                    <w:keepLines w:val="0"/>
                    <w:widowControl/>
                    <w:suppressLineNumbers w:val="0"/>
                    <w:bidi w:val="0"/>
                    <w:spacing w:before="0" w:beforeAutospacing="0" w:after="0" w:afterAutospacing="0"/>
                    <w:ind w:left="0" w:right="0"/>
                    <w:rPr>
                      <w:rFonts w:hint="eastAsia"/>
                      <w:szCs w:val="22"/>
                      <w:lang w:val="en-US" w:eastAsia="zh-CN"/>
                    </w:rPr>
                  </w:pPr>
                </w:p>
              </w:tc>
              <w:tc>
                <w:tcPr>
                  <w:tcW w:w="819" w:type="dxa"/>
                  <w:vMerge w:val="continue"/>
                  <w:vAlign w:val="center"/>
                </w:tcPr>
                <w:p w14:paraId="6BD0C84E">
                  <w:pPr>
                    <w:pStyle w:val="38"/>
                    <w:keepNext w:val="0"/>
                    <w:keepLines w:val="0"/>
                    <w:widowControl/>
                    <w:suppressLineNumbers w:val="0"/>
                    <w:bidi w:val="0"/>
                    <w:spacing w:before="0" w:beforeAutospacing="0" w:after="0" w:afterAutospacing="0"/>
                    <w:ind w:left="0" w:right="0"/>
                    <w:rPr>
                      <w:rFonts w:hint="default"/>
                      <w:szCs w:val="22"/>
                      <w:lang w:val="en-US" w:eastAsia="zh-CN"/>
                    </w:rPr>
                  </w:pPr>
                </w:p>
              </w:tc>
              <w:tc>
                <w:tcPr>
                  <w:tcW w:w="528" w:type="dxa"/>
                  <w:vMerge w:val="continue"/>
                  <w:vAlign w:val="center"/>
                </w:tcPr>
                <w:p w14:paraId="0A746BDB">
                  <w:pPr>
                    <w:pStyle w:val="38"/>
                    <w:keepNext w:val="0"/>
                    <w:keepLines w:val="0"/>
                    <w:widowControl/>
                    <w:suppressLineNumbers w:val="0"/>
                    <w:bidi w:val="0"/>
                    <w:spacing w:before="0" w:beforeAutospacing="0" w:after="0" w:afterAutospacing="0"/>
                    <w:ind w:left="0" w:right="0"/>
                    <w:rPr>
                      <w:rFonts w:hint="eastAsia"/>
                      <w:szCs w:val="22"/>
                    </w:rPr>
                  </w:pPr>
                </w:p>
              </w:tc>
            </w:tr>
            <w:tr w14:paraId="7C8ED2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 w:hRule="atLeast"/>
                <w:jc w:val="center"/>
              </w:trPr>
              <w:tc>
                <w:tcPr>
                  <w:tcW w:w="277" w:type="dxa"/>
                  <w:vAlign w:val="center"/>
                </w:tcPr>
                <w:p w14:paraId="1AEB0C19">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4</w:t>
                  </w:r>
                </w:p>
              </w:tc>
              <w:tc>
                <w:tcPr>
                  <w:tcW w:w="470" w:type="dxa"/>
                  <w:vMerge w:val="continue"/>
                  <w:vAlign w:val="center"/>
                </w:tcPr>
                <w:p w14:paraId="533D48D6">
                  <w:pPr>
                    <w:pStyle w:val="38"/>
                    <w:keepNext w:val="0"/>
                    <w:keepLines w:val="0"/>
                    <w:widowControl/>
                    <w:suppressLineNumbers w:val="0"/>
                    <w:bidi w:val="0"/>
                    <w:spacing w:before="0" w:beforeAutospacing="0" w:after="0" w:afterAutospacing="0"/>
                    <w:ind w:left="0" w:right="0"/>
                    <w:rPr>
                      <w:rFonts w:hint="eastAsia"/>
                      <w:szCs w:val="22"/>
                      <w:lang w:val="en-US" w:eastAsia="zh-CN"/>
                    </w:rPr>
                  </w:pPr>
                </w:p>
              </w:tc>
              <w:tc>
                <w:tcPr>
                  <w:tcW w:w="470" w:type="dxa"/>
                  <w:shd w:val="clear" w:color="auto" w:fill="auto"/>
                  <w:vAlign w:val="center"/>
                </w:tcPr>
                <w:p w14:paraId="474E5683">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空压机</w:t>
                  </w:r>
                </w:p>
              </w:tc>
              <w:tc>
                <w:tcPr>
                  <w:tcW w:w="362" w:type="dxa"/>
                  <w:shd w:val="clear" w:color="auto" w:fill="auto"/>
                  <w:vAlign w:val="center"/>
                </w:tcPr>
                <w:p w14:paraId="50D3EEBE">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1</w:t>
                  </w:r>
                </w:p>
              </w:tc>
              <w:tc>
                <w:tcPr>
                  <w:tcW w:w="678" w:type="dxa"/>
                  <w:shd w:val="clear" w:color="auto" w:fill="auto"/>
                  <w:vAlign w:val="center"/>
                </w:tcPr>
                <w:p w14:paraId="07834E40">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80~90</w:t>
                  </w:r>
                </w:p>
              </w:tc>
              <w:tc>
                <w:tcPr>
                  <w:tcW w:w="1741" w:type="dxa"/>
                  <w:vMerge w:val="continue"/>
                  <w:shd w:val="clear" w:color="auto" w:fill="auto"/>
                  <w:vAlign w:val="center"/>
                </w:tcPr>
                <w:p w14:paraId="1525BB3A">
                  <w:pPr>
                    <w:pStyle w:val="38"/>
                    <w:keepNext w:val="0"/>
                    <w:keepLines w:val="0"/>
                    <w:widowControl/>
                    <w:suppressLineNumbers w:val="0"/>
                    <w:bidi w:val="0"/>
                    <w:spacing w:before="0" w:beforeAutospacing="0" w:after="0" w:afterAutospacing="0"/>
                    <w:ind w:left="0" w:right="0"/>
                    <w:rPr>
                      <w:rFonts w:hint="eastAsia"/>
                      <w:szCs w:val="22"/>
                      <w:lang w:val="en-US" w:eastAsia="zh-CN"/>
                    </w:rPr>
                  </w:pPr>
                </w:p>
              </w:tc>
              <w:tc>
                <w:tcPr>
                  <w:tcW w:w="627" w:type="dxa"/>
                  <w:shd w:val="clear" w:color="auto" w:fill="auto"/>
                  <w:vAlign w:val="center"/>
                </w:tcPr>
                <w:p w14:paraId="0CF056F8">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-4</w:t>
                  </w:r>
                </w:p>
              </w:tc>
              <w:tc>
                <w:tcPr>
                  <w:tcW w:w="520" w:type="dxa"/>
                  <w:shd w:val="clear" w:color="auto" w:fill="auto"/>
                  <w:vAlign w:val="center"/>
                </w:tcPr>
                <w:p w14:paraId="11C4B6F8">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6</w:t>
                  </w:r>
                </w:p>
              </w:tc>
              <w:tc>
                <w:tcPr>
                  <w:tcW w:w="279" w:type="dxa"/>
                  <w:shd w:val="clear" w:color="auto" w:fill="auto"/>
                  <w:vAlign w:val="center"/>
                </w:tcPr>
                <w:p w14:paraId="02E05231">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12</w:t>
                  </w:r>
                </w:p>
              </w:tc>
              <w:tc>
                <w:tcPr>
                  <w:tcW w:w="599" w:type="dxa"/>
                  <w:shd w:val="clear" w:color="auto" w:fill="auto"/>
                  <w:vAlign w:val="center"/>
                </w:tcPr>
                <w:p w14:paraId="65B51300">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12</w:t>
                  </w:r>
                  <w:r>
                    <w:rPr>
                      <w:rFonts w:hint="default"/>
                      <w:szCs w:val="22"/>
                      <w:lang w:val="en-US" w:eastAsia="zh-CN"/>
                    </w:rPr>
                    <w:t>h/d</w:t>
                  </w:r>
                </w:p>
              </w:tc>
              <w:tc>
                <w:tcPr>
                  <w:tcW w:w="1042" w:type="dxa"/>
                  <w:vMerge w:val="continue"/>
                  <w:shd w:val="clear" w:color="auto" w:fill="auto"/>
                  <w:vAlign w:val="center"/>
                </w:tcPr>
                <w:p w14:paraId="5C849916">
                  <w:pPr>
                    <w:pStyle w:val="38"/>
                    <w:keepNext w:val="0"/>
                    <w:keepLines w:val="0"/>
                    <w:widowControl/>
                    <w:suppressLineNumbers w:val="0"/>
                    <w:bidi w:val="0"/>
                    <w:spacing w:before="0" w:beforeAutospacing="0" w:after="0" w:afterAutospacing="0"/>
                    <w:ind w:left="0" w:right="0"/>
                    <w:rPr>
                      <w:rFonts w:hint="eastAsia"/>
                      <w:szCs w:val="22"/>
                      <w:lang w:val="en-US" w:eastAsia="zh-CN"/>
                    </w:rPr>
                  </w:pPr>
                </w:p>
              </w:tc>
              <w:tc>
                <w:tcPr>
                  <w:tcW w:w="819" w:type="dxa"/>
                  <w:vMerge w:val="continue"/>
                  <w:shd w:val="clear" w:color="auto" w:fill="auto"/>
                  <w:vAlign w:val="center"/>
                </w:tcPr>
                <w:p w14:paraId="4D5EA28C">
                  <w:pPr>
                    <w:pStyle w:val="38"/>
                    <w:keepNext w:val="0"/>
                    <w:keepLines w:val="0"/>
                    <w:widowControl/>
                    <w:suppressLineNumbers w:val="0"/>
                    <w:bidi w:val="0"/>
                    <w:spacing w:before="0" w:beforeAutospacing="0" w:after="0" w:afterAutospacing="0"/>
                    <w:ind w:left="0" w:right="0"/>
                    <w:rPr>
                      <w:rFonts w:hint="default"/>
                      <w:szCs w:val="22"/>
                      <w:lang w:val="en-US" w:eastAsia="zh-CN"/>
                    </w:rPr>
                  </w:pPr>
                </w:p>
              </w:tc>
              <w:tc>
                <w:tcPr>
                  <w:tcW w:w="528" w:type="dxa"/>
                  <w:vMerge w:val="continue"/>
                  <w:vAlign w:val="center"/>
                </w:tcPr>
                <w:p w14:paraId="63E5B94F">
                  <w:pPr>
                    <w:pStyle w:val="38"/>
                    <w:keepNext w:val="0"/>
                    <w:keepLines w:val="0"/>
                    <w:widowControl/>
                    <w:suppressLineNumbers w:val="0"/>
                    <w:bidi w:val="0"/>
                    <w:spacing w:before="0" w:beforeAutospacing="0" w:after="0" w:afterAutospacing="0"/>
                    <w:ind w:left="0" w:right="0"/>
                    <w:rPr>
                      <w:rFonts w:hint="eastAsia"/>
                      <w:szCs w:val="22"/>
                      <w:lang w:val="en-US" w:eastAsia="zh-CN"/>
                    </w:rPr>
                  </w:pPr>
                </w:p>
              </w:tc>
            </w:tr>
            <w:tr w14:paraId="5A0E22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 w:hRule="atLeast"/>
                <w:jc w:val="center"/>
              </w:trPr>
              <w:tc>
                <w:tcPr>
                  <w:tcW w:w="277" w:type="dxa"/>
                  <w:vAlign w:val="center"/>
                </w:tcPr>
                <w:p w14:paraId="061AC9FF">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5</w:t>
                  </w:r>
                </w:p>
              </w:tc>
              <w:tc>
                <w:tcPr>
                  <w:tcW w:w="470" w:type="dxa"/>
                  <w:vAlign w:val="center"/>
                </w:tcPr>
                <w:p w14:paraId="1A7BE645">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楼顶</w:t>
                  </w:r>
                </w:p>
              </w:tc>
              <w:tc>
                <w:tcPr>
                  <w:tcW w:w="470" w:type="dxa"/>
                  <w:shd w:val="clear" w:color="auto" w:fill="auto"/>
                  <w:vAlign w:val="center"/>
                </w:tcPr>
                <w:p w14:paraId="324CBF80">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风机</w:t>
                  </w:r>
                </w:p>
              </w:tc>
              <w:tc>
                <w:tcPr>
                  <w:tcW w:w="362" w:type="dxa"/>
                  <w:shd w:val="clear" w:color="auto" w:fill="auto"/>
                  <w:vAlign w:val="center"/>
                </w:tcPr>
                <w:p w14:paraId="31F466A7">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2</w:t>
                  </w:r>
                </w:p>
              </w:tc>
              <w:tc>
                <w:tcPr>
                  <w:tcW w:w="678" w:type="dxa"/>
                  <w:shd w:val="clear" w:color="auto" w:fill="auto"/>
                  <w:vAlign w:val="center"/>
                </w:tcPr>
                <w:p w14:paraId="0B440644">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85-90</w:t>
                  </w:r>
                </w:p>
              </w:tc>
              <w:tc>
                <w:tcPr>
                  <w:tcW w:w="1741" w:type="dxa"/>
                  <w:vMerge w:val="continue"/>
                  <w:shd w:val="clear" w:color="auto" w:fill="auto"/>
                  <w:vAlign w:val="center"/>
                </w:tcPr>
                <w:p w14:paraId="3649887A">
                  <w:pPr>
                    <w:pStyle w:val="38"/>
                    <w:keepNext w:val="0"/>
                    <w:keepLines w:val="0"/>
                    <w:widowControl/>
                    <w:suppressLineNumbers w:val="0"/>
                    <w:bidi w:val="0"/>
                    <w:spacing w:before="0" w:beforeAutospacing="0" w:after="0" w:afterAutospacing="0"/>
                    <w:ind w:left="0" w:right="0"/>
                    <w:rPr>
                      <w:rFonts w:hint="eastAsia"/>
                      <w:szCs w:val="22"/>
                      <w:lang w:val="en-US" w:eastAsia="zh-CN"/>
                    </w:rPr>
                  </w:pPr>
                </w:p>
              </w:tc>
              <w:tc>
                <w:tcPr>
                  <w:tcW w:w="627" w:type="dxa"/>
                  <w:shd w:val="clear" w:color="auto" w:fill="auto"/>
                  <w:vAlign w:val="center"/>
                </w:tcPr>
                <w:p w14:paraId="7F1DDD23">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8.7</w:t>
                  </w:r>
                </w:p>
              </w:tc>
              <w:tc>
                <w:tcPr>
                  <w:tcW w:w="520" w:type="dxa"/>
                  <w:shd w:val="clear" w:color="auto" w:fill="auto"/>
                  <w:vAlign w:val="center"/>
                </w:tcPr>
                <w:p w14:paraId="73F8281D">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1</w:t>
                  </w:r>
                </w:p>
              </w:tc>
              <w:tc>
                <w:tcPr>
                  <w:tcW w:w="279" w:type="dxa"/>
                  <w:shd w:val="clear" w:color="auto" w:fill="auto"/>
                  <w:vAlign w:val="center"/>
                </w:tcPr>
                <w:p w14:paraId="3532D8EA">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15</w:t>
                  </w:r>
                </w:p>
              </w:tc>
              <w:tc>
                <w:tcPr>
                  <w:tcW w:w="599" w:type="dxa"/>
                  <w:shd w:val="clear" w:color="auto" w:fill="auto"/>
                  <w:vAlign w:val="center"/>
                </w:tcPr>
                <w:p w14:paraId="1F045A89">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12</w:t>
                  </w:r>
                  <w:r>
                    <w:rPr>
                      <w:rFonts w:hint="default"/>
                      <w:szCs w:val="22"/>
                      <w:lang w:val="en-US" w:eastAsia="zh-CN"/>
                    </w:rPr>
                    <w:t>h/d</w:t>
                  </w:r>
                </w:p>
              </w:tc>
              <w:tc>
                <w:tcPr>
                  <w:tcW w:w="1042" w:type="dxa"/>
                  <w:shd w:val="clear" w:color="auto" w:fill="auto"/>
                  <w:vAlign w:val="center"/>
                </w:tcPr>
                <w:p w14:paraId="6631AC01">
                  <w:pPr>
                    <w:pStyle w:val="38"/>
                    <w:keepNext w:val="0"/>
                    <w:keepLines w:val="0"/>
                    <w:widowControl/>
                    <w:suppressLineNumbers w:val="0"/>
                    <w:bidi w:val="0"/>
                    <w:spacing w:before="0" w:beforeAutospacing="0" w:after="0" w:afterAutospacing="0"/>
                    <w:ind w:left="0" w:right="0"/>
                    <w:rPr>
                      <w:rFonts w:hint="eastAsia"/>
                      <w:szCs w:val="22"/>
                      <w:lang w:val="en-US" w:eastAsia="zh-CN"/>
                    </w:rPr>
                  </w:pPr>
                </w:p>
              </w:tc>
              <w:tc>
                <w:tcPr>
                  <w:tcW w:w="819" w:type="dxa"/>
                  <w:shd w:val="clear" w:color="auto" w:fill="auto"/>
                  <w:vAlign w:val="center"/>
                </w:tcPr>
                <w:p w14:paraId="6DC0A037">
                  <w:pPr>
                    <w:pStyle w:val="38"/>
                    <w:keepNext w:val="0"/>
                    <w:keepLines w:val="0"/>
                    <w:widowControl/>
                    <w:suppressLineNumbers w:val="0"/>
                    <w:bidi w:val="0"/>
                    <w:spacing w:before="0" w:beforeAutospacing="0" w:after="0" w:afterAutospacing="0"/>
                    <w:ind w:left="0" w:right="0"/>
                    <w:rPr>
                      <w:rFonts w:hint="default"/>
                      <w:szCs w:val="22"/>
                      <w:lang w:val="en-US" w:eastAsia="zh-CN"/>
                    </w:rPr>
                  </w:pPr>
                </w:p>
              </w:tc>
              <w:tc>
                <w:tcPr>
                  <w:tcW w:w="528" w:type="dxa"/>
                  <w:vAlign w:val="center"/>
                </w:tcPr>
                <w:p w14:paraId="1B14E311">
                  <w:pPr>
                    <w:pStyle w:val="38"/>
                    <w:keepNext w:val="0"/>
                    <w:keepLines w:val="0"/>
                    <w:widowControl/>
                    <w:suppressLineNumbers w:val="0"/>
                    <w:bidi w:val="0"/>
                    <w:spacing w:before="0" w:beforeAutospacing="0" w:after="0" w:afterAutospacing="0"/>
                    <w:ind w:left="0" w:right="0"/>
                    <w:rPr>
                      <w:rFonts w:hint="eastAsia"/>
                      <w:szCs w:val="22"/>
                      <w:lang w:val="en-US" w:eastAsia="zh-CN"/>
                    </w:rPr>
                  </w:pPr>
                </w:p>
              </w:tc>
            </w:tr>
          </w:tbl>
          <w:p w14:paraId="2E5DBBE0">
            <w:pPr>
              <w:pStyle w:val="4"/>
              <w:suppressLineNumbers w:val="0"/>
              <w:bidi w:val="0"/>
              <w:spacing w:before="0" w:beforeAutospacing="0" w:after="0" w:afterAutospacing="0"/>
              <w:ind w:left="0" w:right="0"/>
              <w:rPr>
                <w:rFonts w:hint="eastAsia"/>
                <w:lang w:val="en-US" w:eastAsia="zh-CN"/>
              </w:rPr>
            </w:pPr>
            <w:r>
              <w:rPr>
                <w:rFonts w:hint="default"/>
              </w:rPr>
              <w:t>运营期声环境影响分析</w:t>
            </w:r>
          </w:p>
          <w:p w14:paraId="4A20D922">
            <w:pPr>
              <w:keepNext w:val="0"/>
              <w:keepLines w:val="0"/>
              <w:suppressLineNumbers w:val="0"/>
              <w:bidi w:val="0"/>
              <w:spacing w:before="0" w:beforeAutospacing="0" w:after="0" w:afterAutospacing="0"/>
              <w:ind w:left="0" w:right="0"/>
              <w:rPr>
                <w:rFonts w:hint="eastAsia"/>
              </w:rPr>
            </w:pPr>
            <w:r>
              <w:rPr>
                <w:rFonts w:hint="eastAsia"/>
              </w:rPr>
              <w:t>本评价将对机械设备产生的噪声值进行衰减预测，根据《环境影响评价技术导则—声环境》（HJ2.4-2021）推荐的预测模式，具体室内等效室外声源声功率计算、户外传播衰减、几何衰减、噪声贡献值叠加等计算模式如下：</w:t>
            </w:r>
          </w:p>
          <w:p w14:paraId="108A27DD">
            <w:pPr>
              <w:keepNext w:val="0"/>
              <w:keepLines w:val="0"/>
              <w:suppressLineNumbers w:val="0"/>
              <w:bidi w:val="0"/>
              <w:spacing w:before="0" w:beforeAutospacing="0" w:after="0" w:afterAutospacing="0"/>
              <w:ind w:left="0" w:right="0"/>
              <w:rPr>
                <w:rFonts w:hint="eastAsia"/>
              </w:rPr>
            </w:pPr>
            <w:r>
              <w:rPr>
                <w:rFonts w:hint="eastAsia"/>
              </w:rPr>
              <w:t>（1）单个室外的点声源在预测点产生的声级计算基本公式</w:t>
            </w:r>
          </w:p>
          <w:p w14:paraId="345F3D48">
            <w:pPr>
              <w:keepNext w:val="0"/>
              <w:keepLines w:val="0"/>
              <w:suppressLineNumbers w:val="0"/>
              <w:bidi w:val="0"/>
              <w:spacing w:before="0" w:beforeAutospacing="0" w:after="0" w:afterAutospacing="0"/>
              <w:ind w:left="0" w:right="0"/>
              <w:rPr>
                <w:rFonts w:hint="eastAsia"/>
              </w:rPr>
            </w:pPr>
            <w:r>
              <w:rPr>
                <w:rFonts w:hint="eastAsia"/>
              </w:rPr>
              <w:t>某个声源在预测点的倍频带声压级的计算公式如下：</w:t>
            </w:r>
          </w:p>
          <w:p w14:paraId="313A14F8">
            <w:pPr>
              <w:pStyle w:val="15"/>
              <w:keepNext w:val="0"/>
              <w:keepLines w:val="0"/>
              <w:suppressLineNumbers w:val="0"/>
              <w:bidi w:val="0"/>
              <w:spacing w:before="0" w:beforeAutospacing="0" w:after="0" w:afterAutospacing="0"/>
              <w:ind w:left="0" w:right="0"/>
            </w:pPr>
            <w:r>
              <w:fldChar w:fldCharType="begin"/>
            </w:r>
            <w:r>
              <w:instrText xml:space="preserve"> INCLUDEPICTURE "C:\\Users\\Admin\\AppData\\Local\\Temp\\ksohtml12936\\wps2.png" \* MERGEFORMATINET </w:instrText>
            </w:r>
            <w:r>
              <w:fldChar w:fldCharType="separate"/>
            </w:r>
            <w:r>
              <w:fldChar w:fldCharType="begin"/>
            </w:r>
            <w:r>
              <w:instrText xml:space="preserve"> INCLUDEPICTURE  "C:\\Users\\Admin\\AppData\\Local\\Temp\\ksohtml12936\\wps2.png" \* MERGEFORMATINET </w:instrText>
            </w:r>
            <w:r>
              <w:fldChar w:fldCharType="separate"/>
            </w:r>
            <w:r>
              <w:fldChar w:fldCharType="begin"/>
            </w:r>
            <w:r>
              <w:instrText xml:space="preserve"> INCLUDEPICTURE  "C:\\Users\\Admin\\AppData\\Local\\Temp\\ksohtml12936\\wps2.png" \* MERGEFORMATINET </w:instrText>
            </w:r>
            <w:r>
              <w:fldChar w:fldCharType="separate"/>
            </w:r>
            <w:r>
              <w:fldChar w:fldCharType="begin"/>
            </w:r>
            <w:r>
              <w:instrText xml:space="preserve"> INCLUDEPICTURE  "C:\\Users\\Admin\\AppData\\Local\\Temp\\ksohtml12936\\wps2.png" \* MERGEFORMATINET </w:instrText>
            </w:r>
            <w:r>
              <w:fldChar w:fldCharType="separate"/>
            </w:r>
            <w:r>
              <w:fldChar w:fldCharType="begin"/>
            </w:r>
            <w:r>
              <w:instrText xml:space="preserve"> INCLUDEPICTURE  "C:\\Users\\Admin\\AppData\\Local\\Temp\\ksohtml12936\\wps2.png" \* MERGEFORMATINET </w:instrText>
            </w:r>
            <w:r>
              <w:fldChar w:fldCharType="separate"/>
            </w:r>
            <w:r>
              <w:fldChar w:fldCharType="begin"/>
            </w:r>
            <w:r>
              <w:instrText xml:space="preserve"> INCLUDEPICTURE  "C:\\Users\\Admin\\AppData\\Local\\Temp\\ksohtml12936\\wps2.png" \* MERGEFORMATINET </w:instrText>
            </w:r>
            <w:r>
              <w:fldChar w:fldCharType="separate"/>
            </w:r>
            <w:r>
              <w:fldChar w:fldCharType="begin"/>
            </w:r>
            <w:r>
              <w:instrText xml:space="preserve"> INCLUDEPICTURE  "C:\\Users\\Admin\\AppData\\Local\\Temp\\ksohtml12936\\wps2.png" \* MERGEFORMATINET </w:instrText>
            </w:r>
            <w:r>
              <w:fldChar w:fldCharType="separate"/>
            </w:r>
            <w:r>
              <w:fldChar w:fldCharType="begin"/>
            </w:r>
            <w:r>
              <w:instrText xml:space="preserve"> INCLUDEPICTURE  "C:\\Users\\Admin\\AppData\\Local\\Temp\\ksohtml12936\\wps2.png" \* MERGEFORMATINET </w:instrText>
            </w:r>
            <w:r>
              <w:fldChar w:fldCharType="separate"/>
            </w:r>
            <w:r>
              <w:drawing>
                <wp:inline distT="0" distB="0" distL="114300" distR="114300">
                  <wp:extent cx="2522220" cy="716280"/>
                  <wp:effectExtent l="0" t="0" r="11430" b="7620"/>
                  <wp:docPr id="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pic:cNvPicPr>
                            <a:picLocks noChangeAspect="1"/>
                          </pic:cNvPicPr>
                        </pic:nvPicPr>
                        <pic:blipFill>
                          <a:blip r:embed="rId30" r:link="rId31"/>
                          <a:stretch>
                            <a:fillRect/>
                          </a:stretch>
                        </pic:blipFill>
                        <pic:spPr>
                          <a:xfrm>
                            <a:off x="0" y="0"/>
                            <a:ext cx="2522220" cy="71628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p>
          <w:p w14:paraId="357C3F45">
            <w:pPr>
              <w:keepNext w:val="0"/>
              <w:keepLines w:val="0"/>
              <w:suppressLineNumbers w:val="0"/>
              <w:bidi w:val="0"/>
              <w:spacing w:before="0" w:beforeAutospacing="0" w:after="0" w:afterAutospacing="0"/>
              <w:ind w:left="0" w:right="0"/>
              <w:rPr>
                <w:rFonts w:hint="eastAsia"/>
              </w:rPr>
            </w:pPr>
            <w:r>
              <w:rPr>
                <w:rFonts w:hint="eastAsia"/>
              </w:rPr>
              <w:t>式中：</w:t>
            </w:r>
          </w:p>
          <w:p w14:paraId="2AC0E511">
            <w:pPr>
              <w:keepNext w:val="0"/>
              <w:keepLines w:val="0"/>
              <w:suppressLineNumbers w:val="0"/>
              <w:bidi w:val="0"/>
              <w:spacing w:before="0" w:beforeAutospacing="0" w:after="0" w:afterAutospacing="0"/>
              <w:ind w:left="0" w:right="0"/>
              <w:rPr>
                <w:rFonts w:hint="eastAsia"/>
              </w:rPr>
            </w:pPr>
            <w:r>
              <w:rPr>
                <w:rFonts w:hint="eastAsia"/>
              </w:rPr>
              <w:t>Lw——倍频带声功率级，dB；</w:t>
            </w:r>
          </w:p>
          <w:p w14:paraId="341A7540">
            <w:pPr>
              <w:keepNext w:val="0"/>
              <w:keepLines w:val="0"/>
              <w:suppressLineNumbers w:val="0"/>
              <w:bidi w:val="0"/>
              <w:spacing w:before="0" w:beforeAutospacing="0" w:after="0" w:afterAutospacing="0"/>
              <w:ind w:left="0" w:right="0"/>
              <w:rPr>
                <w:rFonts w:hint="eastAsia"/>
              </w:rPr>
            </w:pPr>
            <w:r>
              <w:rPr>
                <w:rFonts w:hint="eastAsia"/>
              </w:rPr>
              <w:t>Dc——指向性校正。对辐射到自由空间的全向点声源，Dc=0dB；</w:t>
            </w:r>
          </w:p>
          <w:p w14:paraId="26793876">
            <w:pPr>
              <w:keepNext w:val="0"/>
              <w:keepLines w:val="0"/>
              <w:suppressLineNumbers w:val="0"/>
              <w:bidi w:val="0"/>
              <w:spacing w:before="0" w:beforeAutospacing="0" w:after="0" w:afterAutospacing="0"/>
              <w:ind w:left="0" w:right="0"/>
              <w:rPr>
                <w:rFonts w:hint="eastAsia"/>
              </w:rPr>
            </w:pPr>
            <w:r>
              <w:rPr>
                <w:rFonts w:hint="eastAsia"/>
              </w:rPr>
              <w:t>A—倍频带衰减，dB；</w:t>
            </w:r>
          </w:p>
          <w:p w14:paraId="46225D9D">
            <w:pPr>
              <w:keepNext w:val="0"/>
              <w:keepLines w:val="0"/>
              <w:suppressLineNumbers w:val="0"/>
              <w:bidi w:val="0"/>
              <w:spacing w:before="0" w:beforeAutospacing="0" w:after="0" w:afterAutospacing="0"/>
              <w:ind w:left="0" w:right="0"/>
              <w:rPr>
                <w:rFonts w:hint="eastAsia"/>
              </w:rPr>
            </w:pPr>
            <w:r>
              <w:rPr>
                <w:rFonts w:hint="eastAsia"/>
              </w:rPr>
              <w:t>Adiv—几何发散引起的倍频带衰减，dB；</w:t>
            </w:r>
          </w:p>
          <w:p w14:paraId="58A3A9A6">
            <w:pPr>
              <w:keepNext w:val="0"/>
              <w:keepLines w:val="0"/>
              <w:suppressLineNumbers w:val="0"/>
              <w:bidi w:val="0"/>
              <w:spacing w:before="0" w:beforeAutospacing="0" w:after="0" w:afterAutospacing="0"/>
              <w:ind w:left="0" w:right="0"/>
              <w:rPr>
                <w:rFonts w:hint="eastAsia"/>
              </w:rPr>
            </w:pPr>
            <w:r>
              <w:rPr>
                <w:rFonts w:hint="eastAsia"/>
              </w:rPr>
              <w:t>Aatm—大气吸收引起的倍频带衰减，dB；</w:t>
            </w:r>
          </w:p>
          <w:p w14:paraId="4486FC3E">
            <w:pPr>
              <w:keepNext w:val="0"/>
              <w:keepLines w:val="0"/>
              <w:suppressLineNumbers w:val="0"/>
              <w:bidi w:val="0"/>
              <w:spacing w:before="0" w:beforeAutospacing="0" w:after="0" w:afterAutospacing="0"/>
              <w:ind w:left="0" w:right="0"/>
              <w:rPr>
                <w:rFonts w:hint="eastAsia"/>
              </w:rPr>
            </w:pPr>
            <w:r>
              <w:rPr>
                <w:rFonts w:hint="eastAsia"/>
              </w:rPr>
              <w:t>Agr—地面效应引起的倍频带衰减，dB；</w:t>
            </w:r>
          </w:p>
          <w:p w14:paraId="50655258">
            <w:pPr>
              <w:keepNext w:val="0"/>
              <w:keepLines w:val="0"/>
              <w:suppressLineNumbers w:val="0"/>
              <w:bidi w:val="0"/>
              <w:spacing w:before="0" w:beforeAutospacing="0" w:after="0" w:afterAutospacing="0"/>
              <w:ind w:left="0" w:right="0"/>
              <w:rPr>
                <w:rFonts w:hint="eastAsia"/>
              </w:rPr>
            </w:pPr>
            <w:r>
              <w:rPr>
                <w:rFonts w:hint="eastAsia"/>
              </w:rPr>
              <w:t>Abar—声屏障引起的倍频带衰减，dB；</w:t>
            </w:r>
          </w:p>
          <w:p w14:paraId="28051C95">
            <w:pPr>
              <w:keepNext w:val="0"/>
              <w:keepLines w:val="0"/>
              <w:suppressLineNumbers w:val="0"/>
              <w:bidi w:val="0"/>
              <w:spacing w:before="0" w:beforeAutospacing="0" w:after="0" w:afterAutospacing="0"/>
              <w:ind w:left="0" w:right="0"/>
              <w:rPr>
                <w:rFonts w:hint="eastAsia"/>
              </w:rPr>
            </w:pPr>
            <w:r>
              <w:rPr>
                <w:rFonts w:hint="eastAsia"/>
              </w:rPr>
              <w:t>Amisc—其他多方面效应引起的倍频带衰减，dB。</w:t>
            </w:r>
          </w:p>
          <w:p w14:paraId="38D8C1F8">
            <w:pPr>
              <w:keepNext w:val="0"/>
              <w:keepLines w:val="0"/>
              <w:suppressLineNumbers w:val="0"/>
              <w:bidi w:val="0"/>
              <w:spacing w:before="0" w:beforeAutospacing="0" w:after="0" w:afterAutospacing="0"/>
              <w:ind w:left="0" w:right="0"/>
              <w:rPr>
                <w:rFonts w:hint="eastAsia"/>
              </w:rPr>
            </w:pPr>
            <w:r>
              <w:rPr>
                <w:rFonts w:hint="eastAsia"/>
              </w:rPr>
              <w:t>如已知靠近声源处某点的倍频带声压级Lp（r0）时，相同方向预测点位置的倍频带声压级Lp（r）的计算公式为：</w:t>
            </w:r>
          </w:p>
          <w:p w14:paraId="223B9F1E">
            <w:pPr>
              <w:pStyle w:val="15"/>
              <w:keepNext w:val="0"/>
              <w:keepLines w:val="0"/>
              <w:suppressLineNumbers w:val="0"/>
              <w:bidi w:val="0"/>
              <w:spacing w:before="0" w:beforeAutospacing="0" w:after="0" w:afterAutospacing="0"/>
              <w:ind w:left="0" w:right="0"/>
            </w:pPr>
            <w:r>
              <w:fldChar w:fldCharType="begin"/>
            </w:r>
            <w:r>
              <w:instrText xml:space="preserve"> INCLUDEPICTURE "C:\\Users\\Admin\\AppData\\Local\\Temp\\ksohtml12936\\wps3.png" \* MERGEFORMATINET </w:instrText>
            </w:r>
            <w:r>
              <w:fldChar w:fldCharType="separate"/>
            </w:r>
            <w:r>
              <w:fldChar w:fldCharType="begin"/>
            </w:r>
            <w:r>
              <w:instrText xml:space="preserve"> INCLUDEPICTURE  "C:\\Users\\Admin\\AppData\\Local\\Temp\\ksohtml12936\\wps3.png" \* MERGEFORMATINET </w:instrText>
            </w:r>
            <w:r>
              <w:fldChar w:fldCharType="separate"/>
            </w:r>
            <w:r>
              <w:fldChar w:fldCharType="begin"/>
            </w:r>
            <w:r>
              <w:instrText xml:space="preserve"> INCLUDEPICTURE  "C:\\Users\\Admin\\AppData\\Local\\Temp\\ksohtml12936\\wps3.png" \* MERGEFORMATINET </w:instrText>
            </w:r>
            <w:r>
              <w:fldChar w:fldCharType="separate"/>
            </w:r>
            <w:r>
              <w:fldChar w:fldCharType="begin"/>
            </w:r>
            <w:r>
              <w:instrText xml:space="preserve"> INCLUDEPICTURE  "C:\\Users\\Admin\\AppData\\Local\\Temp\\ksohtml12936\\wps3.png" \* MERGEFORMATINET </w:instrText>
            </w:r>
            <w:r>
              <w:fldChar w:fldCharType="separate"/>
            </w:r>
            <w:r>
              <w:fldChar w:fldCharType="begin"/>
            </w:r>
            <w:r>
              <w:instrText xml:space="preserve"> INCLUDEPICTURE  "C:\\Users\\Admin\\AppData\\Local\\Temp\\ksohtml12936\\wps3.png" \* MERGEFORMATINET </w:instrText>
            </w:r>
            <w:r>
              <w:fldChar w:fldCharType="separate"/>
            </w:r>
            <w:r>
              <w:fldChar w:fldCharType="begin"/>
            </w:r>
            <w:r>
              <w:instrText xml:space="preserve"> INCLUDEPICTURE  "C:\\Users\\Admin\\AppData\\Local\\Temp\\ksohtml12936\\wps3.png" \* MERGEFORMATINET </w:instrText>
            </w:r>
            <w:r>
              <w:fldChar w:fldCharType="separate"/>
            </w:r>
            <w:r>
              <w:fldChar w:fldCharType="begin"/>
            </w:r>
            <w:r>
              <w:instrText xml:space="preserve"> INCLUDEPICTURE  "C:\\Users\\Admin\\AppData\\Local\\Temp\\ksohtml12936\\wps3.png" \* MERGEFORMATINET </w:instrText>
            </w:r>
            <w:r>
              <w:fldChar w:fldCharType="separate"/>
            </w:r>
            <w:r>
              <w:fldChar w:fldCharType="begin"/>
            </w:r>
            <w:r>
              <w:instrText xml:space="preserve"> INCLUDEPICTURE  "C:\\Users\\Admin\\AppData\\Local\\Temp\\ksohtml12936\\wps3.png" \* MERGEFORMATINET </w:instrText>
            </w:r>
            <w:r>
              <w:fldChar w:fldCharType="separate"/>
            </w:r>
            <w:r>
              <w:drawing>
                <wp:inline distT="0" distB="0" distL="114300" distR="114300">
                  <wp:extent cx="1638300" cy="335280"/>
                  <wp:effectExtent l="0" t="0" r="0" b="7620"/>
                  <wp:docPr id="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pic:cNvPicPr>
                            <a:picLocks noChangeAspect="1"/>
                          </pic:cNvPicPr>
                        </pic:nvPicPr>
                        <pic:blipFill>
                          <a:blip r:embed="rId32" r:link="rId33"/>
                          <a:stretch>
                            <a:fillRect/>
                          </a:stretch>
                        </pic:blipFill>
                        <pic:spPr>
                          <a:xfrm>
                            <a:off x="0" y="0"/>
                            <a:ext cx="1638300" cy="33528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p>
          <w:p w14:paraId="30116673">
            <w:pPr>
              <w:keepNext w:val="0"/>
              <w:keepLines w:val="0"/>
              <w:suppressLineNumbers w:val="0"/>
              <w:bidi w:val="0"/>
              <w:spacing w:before="0" w:beforeAutospacing="0" w:after="0" w:afterAutospacing="0"/>
              <w:ind w:left="0" w:right="0"/>
              <w:rPr>
                <w:rFonts w:hint="eastAsia"/>
              </w:rPr>
            </w:pPr>
            <w:r>
              <w:rPr>
                <w:rFonts w:hint="eastAsia"/>
              </w:rPr>
              <w:t>预测点的A声级LA</w:t>
            </w:r>
            <w:r>
              <w:rPr>
                <w:rFonts w:hint="eastAsia"/>
                <w:lang w:eastAsia="zh-CN"/>
              </w:rPr>
              <w:t>（</w:t>
            </w:r>
            <w:r>
              <w:rPr>
                <w:rFonts w:hint="eastAsia"/>
              </w:rPr>
              <w:t>r</w:t>
            </w:r>
            <w:r>
              <w:rPr>
                <w:rFonts w:hint="eastAsia"/>
                <w:lang w:eastAsia="zh-CN"/>
              </w:rPr>
              <w:t>）</w:t>
            </w:r>
            <w:r>
              <w:rPr>
                <w:rFonts w:hint="eastAsia"/>
              </w:rPr>
              <w:t>，可利用8个倍频带的声压级按下式计算：</w:t>
            </w:r>
          </w:p>
          <w:p w14:paraId="08E539DF">
            <w:pPr>
              <w:pStyle w:val="15"/>
              <w:keepNext w:val="0"/>
              <w:keepLines w:val="0"/>
              <w:suppressLineNumbers w:val="0"/>
              <w:bidi w:val="0"/>
              <w:spacing w:before="0" w:beforeAutospacing="0" w:after="0" w:afterAutospacing="0"/>
              <w:ind w:left="0" w:right="0"/>
            </w:pPr>
            <w:r>
              <w:fldChar w:fldCharType="begin"/>
            </w:r>
            <w:r>
              <w:instrText xml:space="preserve"> INCLUDEPICTURE "C:\\Users\\Admin\\AppData\\Local\\Temp\\ksohtml12936\\wps4.png" \* MERGEFORMATINET </w:instrText>
            </w:r>
            <w:r>
              <w:fldChar w:fldCharType="separate"/>
            </w:r>
            <w:r>
              <w:fldChar w:fldCharType="begin"/>
            </w:r>
            <w:r>
              <w:instrText xml:space="preserve"> INCLUDEPICTURE  "C:\\Users\\Admin\\AppData\\Local\\Temp\\ksohtml12936\\wps4.png" \* MERGEFORMATINET </w:instrText>
            </w:r>
            <w:r>
              <w:fldChar w:fldCharType="separate"/>
            </w:r>
            <w:r>
              <w:fldChar w:fldCharType="begin"/>
            </w:r>
            <w:r>
              <w:instrText xml:space="preserve"> INCLUDEPICTURE  "C:\\Users\\Admin\\AppData\\Local\\Temp\\ksohtml12936\\wps4.png" \* MERGEFORMATINET </w:instrText>
            </w:r>
            <w:r>
              <w:fldChar w:fldCharType="separate"/>
            </w:r>
            <w:r>
              <w:fldChar w:fldCharType="begin"/>
            </w:r>
            <w:r>
              <w:instrText xml:space="preserve"> INCLUDEPICTURE  "C:\\Users\\Admin\\AppData\\Local\\Temp\\ksohtml12936\\wps4.png" \* MERGEFORMATINET </w:instrText>
            </w:r>
            <w:r>
              <w:fldChar w:fldCharType="separate"/>
            </w:r>
            <w:r>
              <w:fldChar w:fldCharType="begin"/>
            </w:r>
            <w:r>
              <w:instrText xml:space="preserve"> INCLUDEPICTURE  "C:\\Users\\Admin\\AppData\\Local\\Temp\\ksohtml12936\\wps4.png" \* MERGEFORMATINET </w:instrText>
            </w:r>
            <w:r>
              <w:fldChar w:fldCharType="separate"/>
            </w:r>
            <w:r>
              <w:fldChar w:fldCharType="begin"/>
            </w:r>
            <w:r>
              <w:instrText xml:space="preserve"> INCLUDEPICTURE  "C:\\Users\\Admin\\AppData\\Local\\Temp\\ksohtml12936\\wps4.png" \* MERGEFORMATINET </w:instrText>
            </w:r>
            <w:r>
              <w:fldChar w:fldCharType="separate"/>
            </w:r>
            <w:r>
              <w:fldChar w:fldCharType="begin"/>
            </w:r>
            <w:r>
              <w:instrText xml:space="preserve"> INCLUDEPICTURE  "C:\\Users\\Admin\\AppData\\Local\\Temp\\ksohtml12936\\wps4.png" \* MERGEFORMATINET </w:instrText>
            </w:r>
            <w:r>
              <w:fldChar w:fldCharType="separate"/>
            </w:r>
            <w:r>
              <w:fldChar w:fldCharType="begin"/>
            </w:r>
            <w:r>
              <w:instrText xml:space="preserve"> INCLUDEPICTURE  "C:\\Users\\Admin\\AppData\\Local\\Temp\\ksohtml12936\\wps4.png" \* MERGEFORMATINET </w:instrText>
            </w:r>
            <w:r>
              <w:fldChar w:fldCharType="separate"/>
            </w:r>
            <w:r>
              <w:drawing>
                <wp:inline distT="0" distB="0" distL="114300" distR="114300">
                  <wp:extent cx="2712720" cy="571500"/>
                  <wp:effectExtent l="0" t="0" r="11430" b="0"/>
                  <wp:docPr id="8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6"/>
                          <pic:cNvPicPr>
                            <a:picLocks noChangeAspect="1"/>
                          </pic:cNvPicPr>
                        </pic:nvPicPr>
                        <pic:blipFill>
                          <a:blip r:embed="rId34" r:link="rId35"/>
                          <a:stretch>
                            <a:fillRect/>
                          </a:stretch>
                        </pic:blipFill>
                        <pic:spPr>
                          <a:xfrm>
                            <a:off x="0" y="0"/>
                            <a:ext cx="2712720" cy="57150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p>
          <w:p w14:paraId="3DDF6508">
            <w:pPr>
              <w:keepNext w:val="0"/>
              <w:keepLines w:val="0"/>
              <w:suppressLineNumbers w:val="0"/>
              <w:bidi w:val="0"/>
              <w:spacing w:before="0" w:beforeAutospacing="0" w:after="0" w:afterAutospacing="0"/>
              <w:ind w:left="0" w:right="0"/>
              <w:rPr>
                <w:rFonts w:hint="eastAsia"/>
              </w:rPr>
            </w:pPr>
            <w:r>
              <w:rPr>
                <w:rFonts w:hint="eastAsia"/>
              </w:rPr>
              <w:t>式中：</w:t>
            </w:r>
          </w:p>
          <w:p w14:paraId="71AA6A4F">
            <w:pPr>
              <w:keepNext w:val="0"/>
              <w:keepLines w:val="0"/>
              <w:suppressLineNumbers w:val="0"/>
              <w:bidi w:val="0"/>
              <w:spacing w:before="0" w:beforeAutospacing="0" w:after="0" w:afterAutospacing="0"/>
              <w:ind w:left="0" w:right="0"/>
              <w:rPr>
                <w:rFonts w:hint="eastAsia"/>
              </w:rPr>
            </w:pPr>
            <w:r>
              <w:rPr>
                <w:rFonts w:hint="eastAsia"/>
              </w:rPr>
              <w:t>Lpi</w:t>
            </w:r>
            <w:r>
              <w:rPr>
                <w:rFonts w:hint="eastAsia"/>
                <w:lang w:eastAsia="zh-CN"/>
              </w:rPr>
              <w:t>（</w:t>
            </w:r>
            <w:r>
              <w:rPr>
                <w:rFonts w:hint="eastAsia"/>
              </w:rPr>
              <w:t>r</w:t>
            </w:r>
            <w:r>
              <w:rPr>
                <w:rFonts w:hint="eastAsia"/>
                <w:lang w:eastAsia="zh-CN"/>
              </w:rPr>
              <w:t>）</w:t>
            </w:r>
            <w:r>
              <w:rPr>
                <w:rFonts w:hint="eastAsia"/>
              </w:rPr>
              <w:t>----预测点（r）处，第i倍频带声压级，dB；</w:t>
            </w:r>
          </w:p>
          <w:p w14:paraId="31C6E333">
            <w:pPr>
              <w:keepNext w:val="0"/>
              <w:keepLines w:val="0"/>
              <w:suppressLineNumbers w:val="0"/>
              <w:bidi w:val="0"/>
              <w:spacing w:before="0" w:beforeAutospacing="0" w:after="0" w:afterAutospacing="0"/>
              <w:ind w:left="0" w:right="0"/>
              <w:rPr>
                <w:rFonts w:hint="eastAsia"/>
              </w:rPr>
            </w:pPr>
            <w:r>
              <w:rPr>
                <w:rFonts w:hint="eastAsia"/>
              </w:rPr>
              <w:t>△Li—i倍频带A计算网络修正值，dB（见导则附录B）。</w:t>
            </w:r>
          </w:p>
          <w:p w14:paraId="6FF7936B">
            <w:pPr>
              <w:keepNext w:val="0"/>
              <w:keepLines w:val="0"/>
              <w:suppressLineNumbers w:val="0"/>
              <w:bidi w:val="0"/>
              <w:spacing w:before="0" w:beforeAutospacing="0" w:after="0" w:afterAutospacing="0"/>
              <w:ind w:left="0" w:right="0"/>
              <w:rPr>
                <w:rFonts w:hint="eastAsia"/>
              </w:rPr>
            </w:pPr>
            <w:r>
              <w:rPr>
                <w:rFonts w:hint="eastAsia"/>
              </w:rPr>
              <w:t>（2）室内声源等效室外声源声功率级计算方法</w:t>
            </w:r>
          </w:p>
          <w:p w14:paraId="107B60D7">
            <w:pPr>
              <w:keepNext w:val="0"/>
              <w:keepLines w:val="0"/>
              <w:suppressLineNumbers w:val="0"/>
              <w:bidi w:val="0"/>
              <w:spacing w:before="0" w:beforeAutospacing="0" w:after="0" w:afterAutospacing="0"/>
              <w:ind w:left="0" w:right="0"/>
              <w:rPr>
                <w:rFonts w:hint="eastAsia"/>
              </w:rPr>
            </w:pPr>
            <w:r>
              <w:rPr>
                <w:rFonts w:hint="eastAsia"/>
              </w:rPr>
              <w:t>如下图所示，声源位于室内，室内声源可采用等效室外声源声功率级法进行计算。设靠近开口处（或窗户）室内、室外某倍频带的声压级分别为Lp1和Lp2。若声源所在室内声场为近似扩散声场，则室内的倍频带声压级可按下式近似求出：</w:t>
            </w:r>
          </w:p>
          <w:p w14:paraId="3359F2B8">
            <w:pPr>
              <w:pStyle w:val="15"/>
              <w:keepNext w:val="0"/>
              <w:keepLines w:val="0"/>
              <w:suppressLineNumbers w:val="0"/>
              <w:bidi w:val="0"/>
              <w:spacing w:before="0" w:beforeAutospacing="0" w:after="0" w:afterAutospacing="0"/>
              <w:ind w:left="0" w:right="0"/>
            </w:pPr>
            <w:r>
              <w:fldChar w:fldCharType="begin"/>
            </w:r>
            <w:r>
              <w:instrText xml:space="preserve"> INCLUDEPICTURE "C:\\Users\\Admin\\AppData\\Local\\Temp\\ksohtml12936\\wps5.png" \* MERGEFORMATINET </w:instrText>
            </w:r>
            <w:r>
              <w:fldChar w:fldCharType="separate"/>
            </w:r>
            <w:r>
              <w:fldChar w:fldCharType="begin"/>
            </w:r>
            <w:r>
              <w:instrText xml:space="preserve"> INCLUDEPICTURE  "C:\\Users\\Admin\\AppData\\Local\\Temp\\ksohtml12936\\wps5.png" \* MERGEFORMATINET </w:instrText>
            </w:r>
            <w:r>
              <w:fldChar w:fldCharType="separate"/>
            </w:r>
            <w:r>
              <w:fldChar w:fldCharType="begin"/>
            </w:r>
            <w:r>
              <w:instrText xml:space="preserve"> INCLUDEPICTURE  "C:\\Users\\Admin\\AppData\\Local\\Temp\\ksohtml12936\\wps5.png" \* MERGEFORMATINET </w:instrText>
            </w:r>
            <w:r>
              <w:fldChar w:fldCharType="separate"/>
            </w:r>
            <w:r>
              <w:fldChar w:fldCharType="begin"/>
            </w:r>
            <w:r>
              <w:instrText xml:space="preserve"> INCLUDEPICTURE  "C:\\Users\\Admin\\AppData\\Local\\Temp\\ksohtml12936\\wps5.png" \* MERGEFORMATINET </w:instrText>
            </w:r>
            <w:r>
              <w:fldChar w:fldCharType="separate"/>
            </w:r>
            <w:r>
              <w:fldChar w:fldCharType="begin"/>
            </w:r>
            <w:r>
              <w:instrText xml:space="preserve"> INCLUDEPICTURE  "C:\\Users\\Admin\\AppData\\Local\\Temp\\ksohtml12936\\wps5.png" \* MERGEFORMATINET </w:instrText>
            </w:r>
            <w:r>
              <w:fldChar w:fldCharType="separate"/>
            </w:r>
            <w:r>
              <w:fldChar w:fldCharType="begin"/>
            </w:r>
            <w:r>
              <w:instrText xml:space="preserve"> INCLUDEPICTURE  "C:\\Users\\Admin\\AppData\\Local\\Temp\\ksohtml12936\\wps5.png" \* MERGEFORMATINET </w:instrText>
            </w:r>
            <w:r>
              <w:fldChar w:fldCharType="separate"/>
            </w:r>
            <w:r>
              <w:fldChar w:fldCharType="begin"/>
            </w:r>
            <w:r>
              <w:instrText xml:space="preserve"> INCLUDEPICTURE  "C:\\Users\\Admin\\AppData\\Local\\Temp\\ksohtml12936\\wps5.png" \* MERGEFORMATINET </w:instrText>
            </w:r>
            <w:r>
              <w:fldChar w:fldCharType="separate"/>
            </w:r>
            <w:r>
              <w:fldChar w:fldCharType="begin"/>
            </w:r>
            <w:r>
              <w:instrText xml:space="preserve"> INCLUDEPICTURE  "C:\\Users\\Admin\\AppData\\Local\\Temp\\ksohtml12936\\wps5.png" \* MERGEFORMATINET </w:instrText>
            </w:r>
            <w:r>
              <w:fldChar w:fldCharType="separate"/>
            </w:r>
            <w:r>
              <w:drawing>
                <wp:inline distT="0" distB="0" distL="114300" distR="114300">
                  <wp:extent cx="1752600" cy="381000"/>
                  <wp:effectExtent l="0" t="0" r="0" b="0"/>
                  <wp:docPr id="9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7"/>
                          <pic:cNvPicPr>
                            <a:picLocks noChangeAspect="1"/>
                          </pic:cNvPicPr>
                        </pic:nvPicPr>
                        <pic:blipFill>
                          <a:blip r:embed="rId36" r:link="rId37"/>
                          <a:stretch>
                            <a:fillRect/>
                          </a:stretch>
                        </pic:blipFill>
                        <pic:spPr>
                          <a:xfrm>
                            <a:off x="0" y="0"/>
                            <a:ext cx="1752600" cy="38100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p>
          <w:p w14:paraId="351A8128">
            <w:pPr>
              <w:keepNext w:val="0"/>
              <w:keepLines w:val="0"/>
              <w:suppressLineNumbers w:val="0"/>
              <w:bidi w:val="0"/>
              <w:spacing w:before="0" w:beforeAutospacing="0" w:after="0" w:afterAutospacing="0"/>
              <w:ind w:left="0" w:right="0"/>
              <w:rPr>
                <w:rFonts w:hint="eastAsia"/>
              </w:rPr>
            </w:pPr>
            <w:r>
              <w:rPr>
                <w:rFonts w:hint="eastAsia"/>
              </w:rPr>
              <w:t>式中：TL-隔墙（或窗户）倍频带的隔声量，dB。</w:t>
            </w:r>
          </w:p>
          <w:p w14:paraId="235B3E85">
            <w:pPr>
              <w:pStyle w:val="15"/>
              <w:keepNext w:val="0"/>
              <w:keepLines w:val="0"/>
              <w:suppressLineNumbers w:val="0"/>
              <w:bidi w:val="0"/>
              <w:spacing w:before="0" w:beforeAutospacing="0" w:after="0" w:afterAutospacing="0"/>
              <w:ind w:left="0" w:right="0"/>
            </w:pPr>
            <w:r>
              <w:fldChar w:fldCharType="begin"/>
            </w:r>
            <w:r>
              <w:instrText xml:space="preserve"> INCLUDEPICTURE "C:\\Users\\Admin\\AppData\\Local\\Temp\\ksohtml12936\\wps6.png" \* MERGEFORMATINET </w:instrText>
            </w:r>
            <w:r>
              <w:fldChar w:fldCharType="separate"/>
            </w:r>
            <w:r>
              <w:fldChar w:fldCharType="begin"/>
            </w:r>
            <w:r>
              <w:instrText xml:space="preserve"> INCLUDEPICTURE  "C:\\Users\\Admin\\AppData\\Local\\Temp\\ksohtml12936\\wps6.png" \* MERGEFORMATINET </w:instrText>
            </w:r>
            <w:r>
              <w:fldChar w:fldCharType="separate"/>
            </w:r>
            <w:r>
              <w:fldChar w:fldCharType="begin"/>
            </w:r>
            <w:r>
              <w:instrText xml:space="preserve"> INCLUDEPICTURE  "C:\\Users\\Admin\\AppData\\Local\\Temp\\ksohtml12936\\wps6.png" \* MERGEFORMATINET </w:instrText>
            </w:r>
            <w:r>
              <w:fldChar w:fldCharType="separate"/>
            </w:r>
            <w:r>
              <w:fldChar w:fldCharType="begin"/>
            </w:r>
            <w:r>
              <w:instrText xml:space="preserve"> INCLUDEPICTURE  "C:\\Users\\Admin\\AppData\\Local\\Temp\\ksohtml12936\\wps6.png" \* MERGEFORMATINET </w:instrText>
            </w:r>
            <w:r>
              <w:fldChar w:fldCharType="separate"/>
            </w:r>
            <w:r>
              <w:fldChar w:fldCharType="begin"/>
            </w:r>
            <w:r>
              <w:instrText xml:space="preserve"> INCLUDEPICTURE  "C:\\Users\\Admin\\AppData\\Local\\Temp\\ksohtml12936\\wps6.png" \* MERGEFORMATINET </w:instrText>
            </w:r>
            <w:r>
              <w:fldChar w:fldCharType="separate"/>
            </w:r>
            <w:r>
              <w:fldChar w:fldCharType="begin"/>
            </w:r>
            <w:r>
              <w:instrText xml:space="preserve"> INCLUDEPICTURE  "C:\\Users\\Admin\\AppData\\Local\\Temp\\ksohtml12936\\wps6.png" \* MERGEFORMATINET </w:instrText>
            </w:r>
            <w:r>
              <w:fldChar w:fldCharType="separate"/>
            </w:r>
            <w:r>
              <w:fldChar w:fldCharType="begin"/>
            </w:r>
            <w:r>
              <w:instrText xml:space="preserve"> INCLUDEPICTURE  "C:\\Users\\Admin\\AppData\\Local\\Temp\\ksohtml12936\\wps6.png" \* MERGEFORMATINET </w:instrText>
            </w:r>
            <w:r>
              <w:fldChar w:fldCharType="separate"/>
            </w:r>
            <w:r>
              <w:fldChar w:fldCharType="begin"/>
            </w:r>
            <w:r>
              <w:instrText xml:space="preserve"> INCLUDEPICTURE  "C:\\Users\\Admin\\AppData\\Local\\Temp\\ksohtml12936\\wps6.png" \* MERGEFORMATINET </w:instrText>
            </w:r>
            <w:r>
              <w:fldChar w:fldCharType="separate"/>
            </w:r>
            <w:r>
              <w:drawing>
                <wp:inline distT="0" distB="0" distL="114300" distR="114300">
                  <wp:extent cx="3025140" cy="1661160"/>
                  <wp:effectExtent l="0" t="0" r="3810" b="15240"/>
                  <wp:docPr id="9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8"/>
                          <pic:cNvPicPr>
                            <a:picLocks noChangeAspect="1"/>
                          </pic:cNvPicPr>
                        </pic:nvPicPr>
                        <pic:blipFill>
                          <a:blip r:embed="rId38" r:link="rId39"/>
                          <a:stretch>
                            <a:fillRect/>
                          </a:stretch>
                        </pic:blipFill>
                        <pic:spPr>
                          <a:xfrm>
                            <a:off x="0" y="0"/>
                            <a:ext cx="3025140" cy="166116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p>
          <w:p w14:paraId="789CE4D8">
            <w:pPr>
              <w:keepNext w:val="0"/>
              <w:keepLines w:val="0"/>
              <w:suppressLineNumbers w:val="0"/>
              <w:bidi w:val="0"/>
              <w:spacing w:before="0" w:beforeAutospacing="0" w:after="0" w:afterAutospacing="0"/>
              <w:ind w:left="0" w:right="0"/>
              <w:rPr>
                <w:rFonts w:hint="eastAsia"/>
              </w:rPr>
            </w:pPr>
            <w:r>
              <w:rPr>
                <w:rFonts w:hint="eastAsia"/>
              </w:rPr>
              <w:t>按下式计算某一室内声源靠近围护结构处产生的倍频带声压级：</w:t>
            </w:r>
          </w:p>
          <w:p w14:paraId="1075ADA3">
            <w:pPr>
              <w:pStyle w:val="15"/>
              <w:keepNext w:val="0"/>
              <w:keepLines w:val="0"/>
              <w:suppressLineNumbers w:val="0"/>
              <w:bidi w:val="0"/>
              <w:spacing w:before="0" w:beforeAutospacing="0" w:after="0" w:afterAutospacing="0"/>
              <w:ind w:left="0" w:right="0"/>
            </w:pPr>
            <w:r>
              <w:fldChar w:fldCharType="begin"/>
            </w:r>
            <w:r>
              <w:instrText xml:space="preserve"> INCLUDEPICTURE "C:\\Users\\Admin\\AppData\\Local\\Temp\\ksohtml12936\\wps7.png" \* MERGEFORMATINET </w:instrText>
            </w:r>
            <w:r>
              <w:fldChar w:fldCharType="separate"/>
            </w:r>
            <w:r>
              <w:fldChar w:fldCharType="begin"/>
            </w:r>
            <w:r>
              <w:instrText xml:space="preserve"> INCLUDEPICTURE  "C:\\Users\\Admin\\AppData\\Local\\Temp\\ksohtml12936\\wps7.png" \* MERGEFORMATINET </w:instrText>
            </w:r>
            <w:r>
              <w:fldChar w:fldCharType="separate"/>
            </w:r>
            <w:r>
              <w:fldChar w:fldCharType="begin"/>
            </w:r>
            <w:r>
              <w:instrText xml:space="preserve"> INCLUDEPICTURE  "C:\\Users\\Admin\\AppData\\Local\\Temp\\ksohtml12936\\wps7.png" \* MERGEFORMATINET </w:instrText>
            </w:r>
            <w:r>
              <w:fldChar w:fldCharType="separate"/>
            </w:r>
            <w:r>
              <w:fldChar w:fldCharType="begin"/>
            </w:r>
            <w:r>
              <w:instrText xml:space="preserve"> INCLUDEPICTURE  "C:\\Users\\Admin\\AppData\\Local\\Temp\\ksohtml12936\\wps7.png" \* MERGEFORMATINET </w:instrText>
            </w:r>
            <w:r>
              <w:fldChar w:fldCharType="separate"/>
            </w:r>
            <w:r>
              <w:fldChar w:fldCharType="begin"/>
            </w:r>
            <w:r>
              <w:instrText xml:space="preserve"> INCLUDEPICTURE  "C:\\Users\\Admin\\AppData\\Local\\Temp\\ksohtml12936\\wps7.png" \* MERGEFORMATINET </w:instrText>
            </w:r>
            <w:r>
              <w:fldChar w:fldCharType="separate"/>
            </w:r>
            <w:r>
              <w:fldChar w:fldCharType="begin"/>
            </w:r>
            <w:r>
              <w:instrText xml:space="preserve"> INCLUDEPICTURE  "C:\\Users\\Admin\\AppData\\Local\\Temp\\ksohtml12936\\wps7.png" \* MERGEFORMATINET </w:instrText>
            </w:r>
            <w:r>
              <w:fldChar w:fldCharType="separate"/>
            </w:r>
            <w:r>
              <w:fldChar w:fldCharType="begin"/>
            </w:r>
            <w:r>
              <w:instrText xml:space="preserve"> INCLUDEPICTURE  "C:\\Users\\Admin\\AppData\\Local\\Temp\\ksohtml12936\\wps7.png" \* MERGEFORMATINET </w:instrText>
            </w:r>
            <w:r>
              <w:fldChar w:fldCharType="separate"/>
            </w:r>
            <w:r>
              <w:fldChar w:fldCharType="begin"/>
            </w:r>
            <w:r>
              <w:instrText xml:space="preserve"> INCLUDEPICTURE  "C:\\Users\\Admin\\AppData\\Local\\Temp\\ksohtml12936\\wps7.png" \* MERGEFORMATINET </w:instrText>
            </w:r>
            <w:r>
              <w:fldChar w:fldCharType="separate"/>
            </w:r>
            <w:r>
              <w:drawing>
                <wp:inline distT="0" distB="0" distL="114300" distR="114300">
                  <wp:extent cx="2308860" cy="571500"/>
                  <wp:effectExtent l="0" t="0" r="15240" b="0"/>
                  <wp:docPr id="9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
                          <pic:cNvPicPr>
                            <a:picLocks noChangeAspect="1"/>
                          </pic:cNvPicPr>
                        </pic:nvPicPr>
                        <pic:blipFill>
                          <a:blip r:embed="rId40" r:link="rId41"/>
                          <a:stretch>
                            <a:fillRect/>
                          </a:stretch>
                        </pic:blipFill>
                        <pic:spPr>
                          <a:xfrm>
                            <a:off x="0" y="0"/>
                            <a:ext cx="2308860" cy="57150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p>
          <w:p w14:paraId="76D60CE8">
            <w:pPr>
              <w:keepNext w:val="0"/>
              <w:keepLines w:val="0"/>
              <w:suppressLineNumbers w:val="0"/>
              <w:bidi w:val="0"/>
              <w:spacing w:before="0" w:beforeAutospacing="0" w:after="0" w:afterAutospacing="0"/>
              <w:ind w:left="0" w:right="0"/>
              <w:rPr>
                <w:rFonts w:hint="eastAsia"/>
              </w:rPr>
            </w:pPr>
            <w:r>
              <w:rPr>
                <w:rFonts w:hint="eastAsia"/>
              </w:rPr>
              <w:t>式中：</w:t>
            </w:r>
          </w:p>
          <w:p w14:paraId="38B92376">
            <w:pPr>
              <w:keepNext w:val="0"/>
              <w:keepLines w:val="0"/>
              <w:suppressLineNumbers w:val="0"/>
              <w:bidi w:val="0"/>
              <w:spacing w:before="0" w:beforeAutospacing="0" w:after="0" w:afterAutospacing="0"/>
              <w:ind w:left="0" w:right="0"/>
              <w:rPr>
                <w:rFonts w:hint="eastAsia"/>
              </w:rPr>
            </w:pPr>
            <w:r>
              <w:rPr>
                <w:rFonts w:hint="eastAsia"/>
              </w:rPr>
              <w:t>Q----指向性因素；通常对无指向性声源，当声源放在房间中心时，Q=1；当放在一面墙的中心时，Q=2；当放在两面墙夹角处时；Q=4；当放在三面墙夹角处时，Q=8。</w:t>
            </w:r>
          </w:p>
          <w:p w14:paraId="1721D21C">
            <w:pPr>
              <w:keepNext w:val="0"/>
              <w:keepLines w:val="0"/>
              <w:suppressLineNumbers w:val="0"/>
              <w:bidi w:val="0"/>
              <w:spacing w:before="0" w:beforeAutospacing="0" w:after="0" w:afterAutospacing="0"/>
              <w:ind w:left="0" w:right="0"/>
              <w:rPr>
                <w:rFonts w:hint="eastAsia"/>
              </w:rPr>
            </w:pPr>
            <w:r>
              <w:rPr>
                <w:rFonts w:hint="eastAsia"/>
              </w:rPr>
              <w:t>R----房间系数；R=Sα/</w:t>
            </w:r>
            <w:r>
              <w:rPr>
                <w:rFonts w:hint="eastAsia"/>
                <w:lang w:eastAsia="zh-CN"/>
              </w:rPr>
              <w:t>（</w:t>
            </w:r>
            <w:r>
              <w:rPr>
                <w:rFonts w:hint="eastAsia"/>
              </w:rPr>
              <w:t>1-α</w:t>
            </w:r>
            <w:r>
              <w:rPr>
                <w:rFonts w:hint="eastAsia"/>
                <w:lang w:eastAsia="zh-CN"/>
              </w:rPr>
              <w:t>）</w:t>
            </w:r>
            <w:r>
              <w:rPr>
                <w:rFonts w:hint="eastAsia"/>
              </w:rPr>
              <w:t>，S为房间内表面面积，m2；α为平均吸声系数。</w:t>
            </w:r>
          </w:p>
          <w:p w14:paraId="323EB429">
            <w:pPr>
              <w:keepNext w:val="0"/>
              <w:keepLines w:val="0"/>
              <w:suppressLineNumbers w:val="0"/>
              <w:bidi w:val="0"/>
              <w:spacing w:before="0" w:beforeAutospacing="0" w:after="0" w:afterAutospacing="0"/>
              <w:ind w:left="0" w:right="0"/>
              <w:rPr>
                <w:rFonts w:hint="eastAsia"/>
              </w:rPr>
            </w:pPr>
            <w:r>
              <w:rPr>
                <w:rFonts w:hint="eastAsia"/>
              </w:rPr>
              <w:t>r-----声源到靠近围护结构某点处的距离，m。</w:t>
            </w:r>
          </w:p>
          <w:p w14:paraId="42F2EEEC">
            <w:pPr>
              <w:keepNext w:val="0"/>
              <w:keepLines w:val="0"/>
              <w:suppressLineNumbers w:val="0"/>
              <w:bidi w:val="0"/>
              <w:spacing w:before="0" w:beforeAutospacing="0" w:after="0" w:afterAutospacing="0"/>
              <w:ind w:left="0" w:right="0"/>
              <w:rPr>
                <w:rFonts w:hint="eastAsia"/>
              </w:rPr>
            </w:pPr>
            <w:r>
              <w:rPr>
                <w:rFonts w:hint="eastAsia"/>
              </w:rPr>
              <w:t>②计算出所有室内声源在靠近围护结构处产生的i倍频带叠加声压级：</w:t>
            </w:r>
          </w:p>
          <w:p w14:paraId="7E1F4087">
            <w:pPr>
              <w:pStyle w:val="15"/>
              <w:keepNext w:val="0"/>
              <w:keepLines w:val="0"/>
              <w:suppressLineNumbers w:val="0"/>
              <w:bidi w:val="0"/>
              <w:spacing w:before="0" w:beforeAutospacing="0" w:after="0" w:afterAutospacing="0"/>
              <w:ind w:left="0" w:right="0"/>
            </w:pPr>
            <w:r>
              <w:fldChar w:fldCharType="begin"/>
            </w:r>
            <w:r>
              <w:instrText xml:space="preserve"> INCLUDEPICTURE "C:\\Users\\Admin\\AppData\\Local\\Temp\\ksohtml12936\\wps8.png" \* MERGEFORMATINET </w:instrText>
            </w:r>
            <w:r>
              <w:fldChar w:fldCharType="separate"/>
            </w:r>
            <w:r>
              <w:fldChar w:fldCharType="begin"/>
            </w:r>
            <w:r>
              <w:instrText xml:space="preserve"> INCLUDEPICTURE  "C:\\Users\\Admin\\AppData\\Local\\Temp\\ksohtml12936\\wps8.png" \* MERGEFORMATINET </w:instrText>
            </w:r>
            <w:r>
              <w:fldChar w:fldCharType="separate"/>
            </w:r>
            <w:r>
              <w:fldChar w:fldCharType="begin"/>
            </w:r>
            <w:r>
              <w:instrText xml:space="preserve"> INCLUDEPICTURE  "C:\\Users\\Admin\\AppData\\Local\\Temp\\ksohtml12936\\wps8.png" \* MERGEFORMATINET </w:instrText>
            </w:r>
            <w:r>
              <w:fldChar w:fldCharType="separate"/>
            </w:r>
            <w:r>
              <w:fldChar w:fldCharType="begin"/>
            </w:r>
            <w:r>
              <w:instrText xml:space="preserve"> INCLUDEPICTURE  "C:\\Users\\Admin\\AppData\\Local\\Temp\\ksohtml12936\\wps8.png" \* MERGEFORMATINET </w:instrText>
            </w:r>
            <w:r>
              <w:fldChar w:fldCharType="separate"/>
            </w:r>
            <w:r>
              <w:fldChar w:fldCharType="begin"/>
            </w:r>
            <w:r>
              <w:instrText xml:space="preserve"> INCLUDEPICTURE  "C:\\Users\\Admin\\AppData\\Local\\Temp\\ksohtml12936\\wps8.png" \* MERGEFORMATINET </w:instrText>
            </w:r>
            <w:r>
              <w:fldChar w:fldCharType="separate"/>
            </w:r>
            <w:r>
              <w:fldChar w:fldCharType="begin"/>
            </w:r>
            <w:r>
              <w:instrText xml:space="preserve"> INCLUDEPICTURE  "C:\\Users\\Admin\\AppData\\Local\\Temp\\ksohtml12936\\wps8.png" \* MERGEFORMATINET </w:instrText>
            </w:r>
            <w:r>
              <w:fldChar w:fldCharType="separate"/>
            </w:r>
            <w:r>
              <w:fldChar w:fldCharType="begin"/>
            </w:r>
            <w:r>
              <w:instrText xml:space="preserve"> INCLUDEPICTURE  "C:\\Users\\Admin\\AppData\\Local\\Temp\\ksohtml12936\\wps8.png" \* MERGEFORMATINET </w:instrText>
            </w:r>
            <w:r>
              <w:fldChar w:fldCharType="separate"/>
            </w:r>
            <w:r>
              <w:fldChar w:fldCharType="begin"/>
            </w:r>
            <w:r>
              <w:instrText xml:space="preserve"> INCLUDEPICTURE  "C:\\Users\\Admin\\AppData\\Local\\Temp\\ksohtml12936\\wps8.png" \* MERGEFORMATINET </w:instrText>
            </w:r>
            <w:r>
              <w:fldChar w:fldCharType="separate"/>
            </w:r>
            <w:r>
              <w:drawing>
                <wp:inline distT="0" distB="0" distL="114300" distR="114300">
                  <wp:extent cx="2103120" cy="670560"/>
                  <wp:effectExtent l="0" t="0" r="11430" b="15240"/>
                  <wp:docPr id="10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
                          <pic:cNvPicPr>
                            <a:picLocks noChangeAspect="1"/>
                          </pic:cNvPicPr>
                        </pic:nvPicPr>
                        <pic:blipFill>
                          <a:blip r:embed="rId42" r:link="rId43"/>
                          <a:stretch>
                            <a:fillRect/>
                          </a:stretch>
                        </pic:blipFill>
                        <pic:spPr>
                          <a:xfrm>
                            <a:off x="0" y="0"/>
                            <a:ext cx="2103120" cy="67056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p>
          <w:p w14:paraId="53D32BD5">
            <w:pPr>
              <w:keepNext w:val="0"/>
              <w:keepLines w:val="0"/>
              <w:suppressLineNumbers w:val="0"/>
              <w:bidi w:val="0"/>
              <w:spacing w:before="0" w:beforeAutospacing="0" w:after="0" w:afterAutospacing="0"/>
              <w:ind w:left="0" w:right="0"/>
              <w:rPr>
                <w:rFonts w:hint="eastAsia"/>
              </w:rPr>
            </w:pPr>
            <w:r>
              <w:rPr>
                <w:rFonts w:hint="eastAsia"/>
              </w:rPr>
              <w:t>式中：</w:t>
            </w:r>
          </w:p>
          <w:p w14:paraId="21A67D3D">
            <w:pPr>
              <w:keepNext w:val="0"/>
              <w:keepLines w:val="0"/>
              <w:suppressLineNumbers w:val="0"/>
              <w:bidi w:val="0"/>
              <w:spacing w:before="0" w:beforeAutospacing="0" w:after="0" w:afterAutospacing="0"/>
              <w:ind w:left="0" w:right="0"/>
              <w:rPr>
                <w:rFonts w:hint="eastAsia"/>
              </w:rPr>
            </w:pPr>
            <w:r>
              <w:rPr>
                <w:rFonts w:hint="eastAsia"/>
              </w:rPr>
              <w:t>Lp1i</w:t>
            </w:r>
            <w:r>
              <w:rPr>
                <w:rFonts w:hint="eastAsia"/>
                <w:lang w:eastAsia="zh-CN"/>
              </w:rPr>
              <w:t>（</w:t>
            </w:r>
            <w:r>
              <w:rPr>
                <w:rFonts w:hint="eastAsia"/>
              </w:rPr>
              <w:t>T</w:t>
            </w:r>
            <w:r>
              <w:rPr>
                <w:rFonts w:hint="eastAsia"/>
                <w:lang w:eastAsia="zh-CN"/>
              </w:rPr>
              <w:t>）</w:t>
            </w:r>
            <w:r>
              <w:rPr>
                <w:rFonts w:hint="eastAsia"/>
              </w:rPr>
              <w:t>---靠近围护结构处室内N个声源i倍频带的叠加声压级，dB；</w:t>
            </w:r>
          </w:p>
          <w:p w14:paraId="187B30F3">
            <w:pPr>
              <w:keepNext w:val="0"/>
              <w:keepLines w:val="0"/>
              <w:suppressLineNumbers w:val="0"/>
              <w:bidi w:val="0"/>
              <w:spacing w:before="0" w:beforeAutospacing="0" w:after="0" w:afterAutospacing="0"/>
              <w:ind w:left="0" w:right="0"/>
              <w:rPr>
                <w:rFonts w:hint="eastAsia"/>
              </w:rPr>
            </w:pPr>
            <w:r>
              <w:rPr>
                <w:rFonts w:hint="eastAsia"/>
              </w:rPr>
              <w:t>Lp1ij---室内j声源i倍频带的声压级，dB；</w:t>
            </w:r>
          </w:p>
          <w:p w14:paraId="498FE0DE">
            <w:pPr>
              <w:keepNext w:val="0"/>
              <w:keepLines w:val="0"/>
              <w:suppressLineNumbers w:val="0"/>
              <w:bidi w:val="0"/>
              <w:spacing w:before="0" w:beforeAutospacing="0" w:after="0" w:afterAutospacing="0"/>
              <w:ind w:left="0" w:right="0"/>
              <w:rPr>
                <w:rFonts w:hint="eastAsia"/>
              </w:rPr>
            </w:pPr>
            <w:r>
              <w:rPr>
                <w:rFonts w:hint="eastAsia"/>
              </w:rPr>
              <w:t>N---室内声源总数。</w:t>
            </w:r>
          </w:p>
          <w:p w14:paraId="13AFA386">
            <w:pPr>
              <w:keepNext w:val="0"/>
              <w:keepLines w:val="0"/>
              <w:suppressLineNumbers w:val="0"/>
              <w:bidi w:val="0"/>
              <w:spacing w:before="0" w:beforeAutospacing="0" w:after="0" w:afterAutospacing="0"/>
              <w:ind w:left="0" w:right="0"/>
              <w:rPr>
                <w:rFonts w:hint="eastAsia"/>
              </w:rPr>
            </w:pPr>
            <w:r>
              <w:rPr>
                <w:rFonts w:hint="eastAsia"/>
              </w:rPr>
              <w:t>③计算出室外靠近围护结构处的声压级：</w:t>
            </w:r>
          </w:p>
          <w:p w14:paraId="1D43A604">
            <w:pPr>
              <w:pStyle w:val="15"/>
              <w:keepNext w:val="0"/>
              <w:keepLines w:val="0"/>
              <w:suppressLineNumbers w:val="0"/>
              <w:bidi w:val="0"/>
              <w:spacing w:before="0" w:beforeAutospacing="0" w:after="0" w:afterAutospacing="0"/>
              <w:ind w:left="0" w:right="0"/>
            </w:pPr>
            <w:r>
              <w:fldChar w:fldCharType="begin"/>
            </w:r>
            <w:r>
              <w:instrText xml:space="preserve"> INCLUDEPICTURE "C:\\Users\\Admin\\AppData\\Local\\Temp\\ksohtml12936\\wps9.png" \* MERGEFORMATINET </w:instrText>
            </w:r>
            <w:r>
              <w:fldChar w:fldCharType="separate"/>
            </w:r>
            <w:r>
              <w:fldChar w:fldCharType="begin"/>
            </w:r>
            <w:r>
              <w:instrText xml:space="preserve"> INCLUDEPICTURE  "C:\\Users\\Admin\\AppData\\Local\\Temp\\ksohtml12936\\wps9.png" \* MERGEFORMATINET </w:instrText>
            </w:r>
            <w:r>
              <w:fldChar w:fldCharType="separate"/>
            </w:r>
            <w:r>
              <w:fldChar w:fldCharType="begin"/>
            </w:r>
            <w:r>
              <w:instrText xml:space="preserve"> INCLUDEPICTURE  "C:\\Users\\Admin\\AppData\\Local\\Temp\\ksohtml12936\\wps9.png" \* MERGEFORMATINET </w:instrText>
            </w:r>
            <w:r>
              <w:fldChar w:fldCharType="separate"/>
            </w:r>
            <w:r>
              <w:fldChar w:fldCharType="begin"/>
            </w:r>
            <w:r>
              <w:instrText xml:space="preserve"> INCLUDEPICTURE  "C:\\Users\\Admin\\AppData\\Local\\Temp\\ksohtml12936\\wps9.png" \* MERGEFORMATINET </w:instrText>
            </w:r>
            <w:r>
              <w:fldChar w:fldCharType="separate"/>
            </w:r>
            <w:r>
              <w:fldChar w:fldCharType="begin"/>
            </w:r>
            <w:r>
              <w:instrText xml:space="preserve"> INCLUDEPICTURE  "C:\\Users\\Admin\\AppData\\Local\\Temp\\ksohtml12936\\wps9.png" \* MERGEFORMATINET </w:instrText>
            </w:r>
            <w:r>
              <w:fldChar w:fldCharType="separate"/>
            </w:r>
            <w:r>
              <w:fldChar w:fldCharType="begin"/>
            </w:r>
            <w:r>
              <w:instrText xml:space="preserve"> INCLUDEPICTURE  "C:\\Users\\Admin\\AppData\\Local\\Temp\\ksohtml12936\\wps9.png" \* MERGEFORMATINET </w:instrText>
            </w:r>
            <w:r>
              <w:fldChar w:fldCharType="separate"/>
            </w:r>
            <w:r>
              <w:fldChar w:fldCharType="begin"/>
            </w:r>
            <w:r>
              <w:instrText xml:space="preserve"> INCLUDEPICTURE  "C:\\Users\\Admin\\AppData\\Local\\Temp\\ksohtml12936\\wps9.png" \* MERGEFORMATINET </w:instrText>
            </w:r>
            <w:r>
              <w:fldChar w:fldCharType="separate"/>
            </w:r>
            <w:r>
              <w:fldChar w:fldCharType="begin"/>
            </w:r>
            <w:r>
              <w:instrText xml:space="preserve"> INCLUDEPICTURE  "C:\\Users\\Admin\\AppData\\Local\\Temp\\ksohtml12936\\wps9.png" \* MERGEFORMATINET </w:instrText>
            </w:r>
            <w:r>
              <w:fldChar w:fldCharType="separate"/>
            </w:r>
            <w:r>
              <w:drawing>
                <wp:inline distT="0" distB="0" distL="114300" distR="114300">
                  <wp:extent cx="2423160" cy="365760"/>
                  <wp:effectExtent l="0" t="0" r="15240" b="1524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44" r:link="rId45"/>
                          <a:stretch>
                            <a:fillRect/>
                          </a:stretch>
                        </pic:blipFill>
                        <pic:spPr>
                          <a:xfrm>
                            <a:off x="0" y="0"/>
                            <a:ext cx="2423160" cy="36576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p>
          <w:p w14:paraId="3BC073D6">
            <w:pPr>
              <w:keepNext w:val="0"/>
              <w:keepLines w:val="0"/>
              <w:suppressLineNumbers w:val="0"/>
              <w:bidi w:val="0"/>
              <w:spacing w:before="0" w:beforeAutospacing="0" w:after="0" w:afterAutospacing="0"/>
              <w:ind w:left="0" w:right="0"/>
              <w:rPr>
                <w:rFonts w:hint="eastAsia"/>
              </w:rPr>
            </w:pPr>
            <w:r>
              <w:rPr>
                <w:rFonts w:hint="eastAsia"/>
              </w:rPr>
              <w:t>式中：</w:t>
            </w:r>
          </w:p>
          <w:p w14:paraId="62BF0332">
            <w:pPr>
              <w:keepNext w:val="0"/>
              <w:keepLines w:val="0"/>
              <w:suppressLineNumbers w:val="0"/>
              <w:bidi w:val="0"/>
              <w:spacing w:before="0" w:beforeAutospacing="0" w:after="0" w:afterAutospacing="0"/>
              <w:ind w:left="0" w:right="0"/>
              <w:rPr>
                <w:rFonts w:hint="eastAsia"/>
              </w:rPr>
            </w:pPr>
            <w:r>
              <w:rPr>
                <w:rFonts w:hint="eastAsia"/>
              </w:rPr>
              <w:t>Lp2i</w:t>
            </w:r>
            <w:r>
              <w:rPr>
                <w:rFonts w:hint="eastAsia"/>
                <w:lang w:eastAsia="zh-CN"/>
              </w:rPr>
              <w:t>（</w:t>
            </w:r>
            <w:r>
              <w:rPr>
                <w:rFonts w:hint="eastAsia"/>
              </w:rPr>
              <w:t>T</w:t>
            </w:r>
            <w:r>
              <w:rPr>
                <w:rFonts w:hint="eastAsia"/>
                <w:lang w:eastAsia="zh-CN"/>
              </w:rPr>
              <w:t>）</w:t>
            </w:r>
            <w:r>
              <w:rPr>
                <w:rFonts w:hint="eastAsia"/>
              </w:rPr>
              <w:t>---靠近围护结构处室内N个声源i倍频带的叠加声压级，dB；</w:t>
            </w:r>
          </w:p>
          <w:p w14:paraId="5FF34CD0">
            <w:pPr>
              <w:keepNext w:val="0"/>
              <w:keepLines w:val="0"/>
              <w:suppressLineNumbers w:val="0"/>
              <w:bidi w:val="0"/>
              <w:spacing w:before="0" w:beforeAutospacing="0" w:after="0" w:afterAutospacing="0"/>
              <w:ind w:left="0" w:right="0"/>
              <w:rPr>
                <w:rFonts w:hint="eastAsia"/>
              </w:rPr>
            </w:pPr>
            <w:r>
              <w:rPr>
                <w:rFonts w:hint="eastAsia"/>
              </w:rPr>
              <w:t>TLi---围护结构i倍频带的隔声量，dB。</w:t>
            </w:r>
          </w:p>
          <w:p w14:paraId="1EEBD802">
            <w:pPr>
              <w:keepNext w:val="0"/>
              <w:keepLines w:val="0"/>
              <w:suppressLineNumbers w:val="0"/>
              <w:bidi w:val="0"/>
              <w:spacing w:before="0" w:beforeAutospacing="0" w:after="0" w:afterAutospacing="0"/>
              <w:ind w:left="0" w:right="0"/>
              <w:rPr>
                <w:rFonts w:hint="eastAsia"/>
              </w:rPr>
            </w:pPr>
            <w:r>
              <w:rPr>
                <w:rFonts w:hint="eastAsia"/>
              </w:rPr>
              <w:t>④将室外声源的声压级和透声面积换算成等效的室外声源，计算出中心位置位于透声面积（S）处的等效声源的倍频带的声功率级：</w:t>
            </w:r>
          </w:p>
          <w:p w14:paraId="7C9919C4">
            <w:pPr>
              <w:pStyle w:val="15"/>
              <w:keepNext w:val="0"/>
              <w:keepLines w:val="0"/>
              <w:suppressLineNumbers w:val="0"/>
              <w:bidi w:val="0"/>
              <w:spacing w:before="0" w:beforeAutospacing="0" w:after="0" w:afterAutospacing="0"/>
              <w:ind w:left="0" w:right="0"/>
            </w:pPr>
            <w:r>
              <w:fldChar w:fldCharType="begin"/>
            </w:r>
            <w:r>
              <w:instrText xml:space="preserve"> INCLUDEPICTURE "C:\\Users\\Admin\\AppData\\Local\\Temp\\ksohtml12936\\wps10.png" \* MERGEFORMATINET </w:instrText>
            </w:r>
            <w:r>
              <w:fldChar w:fldCharType="separate"/>
            </w:r>
            <w:r>
              <w:fldChar w:fldCharType="begin"/>
            </w:r>
            <w:r>
              <w:instrText xml:space="preserve"> INCLUDEPICTURE  "C:\\Users\\Admin\\AppData\\Local\\Temp\\ksohtml12936\\wps10.png" \* MERGEFORMATINET </w:instrText>
            </w:r>
            <w:r>
              <w:fldChar w:fldCharType="separate"/>
            </w:r>
            <w:r>
              <w:fldChar w:fldCharType="begin"/>
            </w:r>
            <w:r>
              <w:instrText xml:space="preserve"> INCLUDEPICTURE  "C:\\Users\\Admin\\AppData\\Local\\Temp\\ksohtml12936\\wps10.png" \* MERGEFORMATINET </w:instrText>
            </w:r>
            <w:r>
              <w:fldChar w:fldCharType="separate"/>
            </w:r>
            <w:r>
              <w:fldChar w:fldCharType="begin"/>
            </w:r>
            <w:r>
              <w:instrText xml:space="preserve"> INCLUDEPICTURE  "C:\\Users\\Admin\\AppData\\Local\\Temp\\ksohtml12936\\wps10.png" \* MERGEFORMATINET </w:instrText>
            </w:r>
            <w:r>
              <w:fldChar w:fldCharType="separate"/>
            </w:r>
            <w:r>
              <w:fldChar w:fldCharType="begin"/>
            </w:r>
            <w:r>
              <w:instrText xml:space="preserve"> INCLUDEPICTURE  "C:\\Users\\Admin\\AppData\\Local\\Temp\\ksohtml12936\\wps10.png" \* MERGEFORMATINET </w:instrText>
            </w:r>
            <w:r>
              <w:fldChar w:fldCharType="separate"/>
            </w:r>
            <w:r>
              <w:fldChar w:fldCharType="begin"/>
            </w:r>
            <w:r>
              <w:instrText xml:space="preserve"> INCLUDEPICTURE  "C:\\Users\\Admin\\AppData\\Local\\Temp\\ksohtml12936\\wps10.png" \* MERGEFORMATINET </w:instrText>
            </w:r>
            <w:r>
              <w:fldChar w:fldCharType="separate"/>
            </w:r>
            <w:r>
              <w:fldChar w:fldCharType="begin"/>
            </w:r>
            <w:r>
              <w:instrText xml:space="preserve"> INCLUDEPICTURE  "C:\\Users\\Admin\\AppData\\Local\\Temp\\ksohtml12936\\wps10.png" \* MERGEFORMATINET </w:instrText>
            </w:r>
            <w:r>
              <w:fldChar w:fldCharType="separate"/>
            </w:r>
            <w:r>
              <w:fldChar w:fldCharType="begin"/>
            </w:r>
            <w:r>
              <w:instrText xml:space="preserve"> INCLUDEPICTURE  "C:\\Users\\Admin\\AppData\\Local\\Temp\\ksohtml12936\\wps10.png" \* MERGEFORMATINET </w:instrText>
            </w:r>
            <w:r>
              <w:fldChar w:fldCharType="separate"/>
            </w:r>
            <w:r>
              <w:drawing>
                <wp:inline distT="0" distB="0" distL="114300" distR="114300">
                  <wp:extent cx="1798320" cy="426720"/>
                  <wp:effectExtent l="0" t="0" r="11430" b="11430"/>
                  <wp:docPr id="1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2"/>
                          <pic:cNvPicPr>
                            <a:picLocks noChangeAspect="1"/>
                          </pic:cNvPicPr>
                        </pic:nvPicPr>
                        <pic:blipFill>
                          <a:blip r:embed="rId46" r:link="rId47"/>
                          <a:stretch>
                            <a:fillRect/>
                          </a:stretch>
                        </pic:blipFill>
                        <pic:spPr>
                          <a:xfrm>
                            <a:off x="0" y="0"/>
                            <a:ext cx="1798320" cy="42672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p>
          <w:p w14:paraId="71991F36">
            <w:pPr>
              <w:keepNext w:val="0"/>
              <w:keepLines w:val="0"/>
              <w:suppressLineNumbers w:val="0"/>
              <w:bidi w:val="0"/>
              <w:spacing w:before="0" w:beforeAutospacing="0" w:after="0" w:afterAutospacing="0"/>
              <w:ind w:left="0" w:right="0"/>
              <w:rPr>
                <w:rFonts w:hint="eastAsia"/>
              </w:rPr>
            </w:pPr>
            <w:r>
              <w:rPr>
                <w:rFonts w:hint="eastAsia"/>
              </w:rPr>
              <w:t>式中：S为透声面积，㎡。</w:t>
            </w:r>
          </w:p>
          <w:p w14:paraId="1A20190C">
            <w:pPr>
              <w:keepNext w:val="0"/>
              <w:keepLines w:val="0"/>
              <w:suppressLineNumbers w:val="0"/>
              <w:bidi w:val="0"/>
              <w:spacing w:before="0" w:beforeAutospacing="0" w:after="0" w:afterAutospacing="0"/>
              <w:ind w:left="0" w:right="0"/>
              <w:rPr>
                <w:rFonts w:hint="eastAsia"/>
              </w:rPr>
            </w:pPr>
            <w:r>
              <w:rPr>
                <w:rFonts w:hint="eastAsia"/>
              </w:rPr>
              <w:t>⑤等效室外声源的位置为围护结构的位置，其倍频带声功率级为Lw，由此按室外声源方法计算等效室外声源在预测点产生的声级。</w:t>
            </w:r>
          </w:p>
          <w:p w14:paraId="54C6DA39">
            <w:pPr>
              <w:keepNext w:val="0"/>
              <w:keepLines w:val="0"/>
              <w:suppressLineNumbers w:val="0"/>
              <w:bidi w:val="0"/>
              <w:spacing w:before="0" w:beforeAutospacing="0" w:after="0" w:afterAutospacing="0"/>
              <w:ind w:left="0" w:right="0"/>
              <w:rPr>
                <w:rFonts w:hint="eastAsia"/>
              </w:rPr>
            </w:pPr>
            <w:r>
              <w:rPr>
                <w:rFonts w:hint="eastAsia"/>
              </w:rPr>
              <w:t>（3）噪声贡献值计算</w:t>
            </w:r>
          </w:p>
          <w:p w14:paraId="3FA5407A">
            <w:pPr>
              <w:keepNext w:val="0"/>
              <w:keepLines w:val="0"/>
              <w:suppressLineNumbers w:val="0"/>
              <w:bidi w:val="0"/>
              <w:spacing w:before="0" w:beforeAutospacing="0" w:after="0" w:afterAutospacing="0"/>
              <w:ind w:left="0" w:right="0"/>
              <w:rPr>
                <w:rFonts w:hint="eastAsia"/>
              </w:rPr>
            </w:pPr>
            <w:r>
              <w:rPr>
                <w:rFonts w:hint="eastAsia"/>
              </w:rPr>
              <w:t>设第i个室外声源在预测点产生的A声级为LAi，在T时间内该声源工作时间为ti；第j个等效室外声源在预测点产生的A声级为LAj，在拟建工程声源对预测点产生的贡献值（Leqg）为：</w:t>
            </w:r>
          </w:p>
          <w:p w14:paraId="4DDF0F4B">
            <w:pPr>
              <w:pStyle w:val="15"/>
              <w:keepNext w:val="0"/>
              <w:keepLines w:val="0"/>
              <w:suppressLineNumbers w:val="0"/>
              <w:bidi w:val="0"/>
              <w:spacing w:before="0" w:beforeAutospacing="0" w:after="0" w:afterAutospacing="0"/>
              <w:ind w:left="0" w:right="0"/>
            </w:pPr>
            <w:r>
              <w:fldChar w:fldCharType="begin"/>
            </w:r>
            <w:r>
              <w:instrText xml:space="preserve"> INCLUDEPICTURE "C:\\Users\\Admin\\AppData\\Local\\Temp\\ksohtml12936\\wps11.png" \* MERGEFORMATINET </w:instrText>
            </w:r>
            <w:r>
              <w:fldChar w:fldCharType="separate"/>
            </w:r>
            <w:r>
              <w:fldChar w:fldCharType="begin"/>
            </w:r>
            <w:r>
              <w:instrText xml:space="preserve"> INCLUDEPICTURE  "C:\\Users\\Admin\\AppData\\Local\\Temp\\ksohtml12936\\wps11.png" \* MERGEFORMATINET </w:instrText>
            </w:r>
            <w:r>
              <w:fldChar w:fldCharType="separate"/>
            </w:r>
            <w:r>
              <w:fldChar w:fldCharType="begin"/>
            </w:r>
            <w:r>
              <w:instrText xml:space="preserve"> INCLUDEPICTURE  "C:\\Users\\Admin\\AppData\\Local\\Temp\\ksohtml12936\\wps11.png" \* MERGEFORMATINET </w:instrText>
            </w:r>
            <w:r>
              <w:fldChar w:fldCharType="separate"/>
            </w:r>
            <w:r>
              <w:fldChar w:fldCharType="begin"/>
            </w:r>
            <w:r>
              <w:instrText xml:space="preserve"> INCLUDEPICTURE  "C:\\Users\\Admin\\AppData\\Local\\Temp\\ksohtml12936\\wps11.png" \* MERGEFORMATINET </w:instrText>
            </w:r>
            <w:r>
              <w:fldChar w:fldCharType="separate"/>
            </w:r>
            <w:r>
              <w:fldChar w:fldCharType="begin"/>
            </w:r>
            <w:r>
              <w:instrText xml:space="preserve"> INCLUDEPICTURE  "C:\\Users\\Admin\\AppData\\Local\\Temp\\ksohtml12936\\wps11.png" \* MERGEFORMATINET </w:instrText>
            </w:r>
            <w:r>
              <w:fldChar w:fldCharType="separate"/>
            </w:r>
            <w:r>
              <w:fldChar w:fldCharType="begin"/>
            </w:r>
            <w:r>
              <w:instrText xml:space="preserve"> INCLUDEPICTURE  "C:\\Users\\Admin\\AppData\\Local\\Temp\\ksohtml12936\\wps11.png" \* MERGEFORMATINET </w:instrText>
            </w:r>
            <w:r>
              <w:fldChar w:fldCharType="separate"/>
            </w:r>
            <w:r>
              <w:fldChar w:fldCharType="begin"/>
            </w:r>
            <w:r>
              <w:instrText xml:space="preserve"> INCLUDEPICTURE  "C:\\Users\\Admin\\AppData\\Local\\Temp\\ksohtml12936\\wps11.png" \* MERGEFORMATINET </w:instrText>
            </w:r>
            <w:r>
              <w:fldChar w:fldCharType="separate"/>
            </w:r>
            <w:r>
              <w:fldChar w:fldCharType="begin"/>
            </w:r>
            <w:r>
              <w:instrText xml:space="preserve"> INCLUDEPICTURE  "C:\\Users\\Admin\\AppData\\Local\\Temp\\ksohtml12936\\wps11.png" \* MERGEFORMATINET </w:instrText>
            </w:r>
            <w:r>
              <w:fldChar w:fldCharType="separate"/>
            </w:r>
            <w:r>
              <w:drawing>
                <wp:inline distT="0" distB="0" distL="114300" distR="114300">
                  <wp:extent cx="3268980" cy="579120"/>
                  <wp:effectExtent l="0" t="0" r="7620" b="11430"/>
                  <wp:docPr id="1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
                          <pic:cNvPicPr>
                            <a:picLocks noChangeAspect="1"/>
                          </pic:cNvPicPr>
                        </pic:nvPicPr>
                        <pic:blipFill>
                          <a:blip r:embed="rId48" r:link="rId49"/>
                          <a:stretch>
                            <a:fillRect/>
                          </a:stretch>
                        </pic:blipFill>
                        <pic:spPr>
                          <a:xfrm>
                            <a:off x="0" y="0"/>
                            <a:ext cx="3268980" cy="57912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p>
          <w:p w14:paraId="4202FB14">
            <w:pPr>
              <w:keepNext w:val="0"/>
              <w:keepLines w:val="0"/>
              <w:suppressLineNumbers w:val="0"/>
              <w:bidi w:val="0"/>
              <w:spacing w:before="0" w:beforeAutospacing="0" w:after="0" w:afterAutospacing="0"/>
              <w:ind w:left="0" w:right="0"/>
              <w:rPr>
                <w:rFonts w:hint="eastAsia"/>
              </w:rPr>
            </w:pPr>
            <w:r>
              <w:rPr>
                <w:rFonts w:hint="eastAsia"/>
              </w:rPr>
              <w:t>式中：</w:t>
            </w:r>
          </w:p>
          <w:p w14:paraId="121B1113">
            <w:pPr>
              <w:keepNext w:val="0"/>
              <w:keepLines w:val="0"/>
              <w:suppressLineNumbers w:val="0"/>
              <w:bidi w:val="0"/>
              <w:spacing w:before="0" w:beforeAutospacing="0" w:after="0" w:afterAutospacing="0"/>
              <w:ind w:left="0" w:right="0"/>
              <w:rPr>
                <w:rFonts w:hint="eastAsia"/>
              </w:rPr>
            </w:pPr>
            <w:r>
              <w:rPr>
                <w:rFonts w:hint="eastAsia"/>
              </w:rPr>
              <w:t>tj---在T时间内j声源工作时间，s；</w:t>
            </w:r>
          </w:p>
          <w:p w14:paraId="3A84E724">
            <w:pPr>
              <w:keepNext w:val="0"/>
              <w:keepLines w:val="0"/>
              <w:suppressLineNumbers w:val="0"/>
              <w:bidi w:val="0"/>
              <w:spacing w:before="0" w:beforeAutospacing="0" w:after="0" w:afterAutospacing="0"/>
              <w:ind w:left="0" w:right="0"/>
              <w:rPr>
                <w:rFonts w:hint="eastAsia"/>
              </w:rPr>
            </w:pPr>
            <w:r>
              <w:rPr>
                <w:rFonts w:hint="eastAsia"/>
              </w:rPr>
              <w:t>ti---在T时间内i声源工作时间，s；</w:t>
            </w:r>
          </w:p>
          <w:p w14:paraId="0A10A270">
            <w:pPr>
              <w:keepNext w:val="0"/>
              <w:keepLines w:val="0"/>
              <w:suppressLineNumbers w:val="0"/>
              <w:bidi w:val="0"/>
              <w:spacing w:before="0" w:beforeAutospacing="0" w:after="0" w:afterAutospacing="0"/>
              <w:ind w:left="0" w:right="0"/>
              <w:rPr>
                <w:rFonts w:hint="eastAsia"/>
              </w:rPr>
            </w:pPr>
            <w:r>
              <w:rPr>
                <w:rFonts w:hint="eastAsia"/>
              </w:rPr>
              <w:t>T---用于计算等效声级的时间，s；</w:t>
            </w:r>
          </w:p>
          <w:p w14:paraId="2C4A3195">
            <w:pPr>
              <w:keepNext w:val="0"/>
              <w:keepLines w:val="0"/>
              <w:suppressLineNumbers w:val="0"/>
              <w:bidi w:val="0"/>
              <w:spacing w:before="0" w:beforeAutospacing="0" w:after="0" w:afterAutospacing="0"/>
              <w:ind w:left="0" w:right="0"/>
              <w:rPr>
                <w:rFonts w:hint="eastAsia"/>
              </w:rPr>
            </w:pPr>
            <w:r>
              <w:rPr>
                <w:rFonts w:hint="eastAsia"/>
              </w:rPr>
              <w:t>N---室外声源个数；</w:t>
            </w:r>
          </w:p>
          <w:p w14:paraId="7E3FD9A6">
            <w:pPr>
              <w:keepNext w:val="0"/>
              <w:keepLines w:val="0"/>
              <w:suppressLineNumbers w:val="0"/>
              <w:bidi w:val="0"/>
              <w:spacing w:before="0" w:beforeAutospacing="0" w:after="0" w:afterAutospacing="0"/>
              <w:ind w:left="0" w:right="0"/>
              <w:rPr>
                <w:rFonts w:hint="eastAsia"/>
              </w:rPr>
            </w:pPr>
            <w:r>
              <w:rPr>
                <w:rFonts w:hint="eastAsia"/>
              </w:rPr>
              <w:t>M---室内声源个数。</w:t>
            </w:r>
          </w:p>
          <w:p w14:paraId="28F63621">
            <w:pPr>
              <w:keepNext w:val="0"/>
              <w:keepLines w:val="0"/>
              <w:suppressLineNumbers w:val="0"/>
              <w:bidi w:val="0"/>
              <w:spacing w:before="0" w:beforeAutospacing="0" w:after="0" w:afterAutospacing="0"/>
              <w:ind w:left="0" w:right="0"/>
              <w:rPr>
                <w:rFonts w:hint="eastAsia"/>
              </w:rPr>
            </w:pPr>
            <w:r>
              <w:rPr>
                <w:rFonts w:hint="eastAsia"/>
              </w:rPr>
              <w:t>（4）预测值计算</w:t>
            </w:r>
          </w:p>
          <w:p w14:paraId="42641D3D">
            <w:pPr>
              <w:keepNext w:val="0"/>
              <w:keepLines w:val="0"/>
              <w:suppressLineNumbers w:val="0"/>
              <w:bidi w:val="0"/>
              <w:spacing w:before="0" w:beforeAutospacing="0" w:after="0" w:afterAutospacing="0"/>
              <w:ind w:left="0" w:right="0"/>
              <w:rPr>
                <w:rFonts w:hint="eastAsia"/>
              </w:rPr>
            </w:pPr>
            <w:r>
              <w:rPr>
                <w:rFonts w:hint="eastAsia"/>
              </w:rPr>
              <w:t>预测点的预测等效声级（Leq）计算公式为：</w:t>
            </w:r>
          </w:p>
          <w:p w14:paraId="49D257D3">
            <w:pPr>
              <w:pStyle w:val="15"/>
              <w:keepNext w:val="0"/>
              <w:keepLines w:val="0"/>
              <w:suppressLineNumbers w:val="0"/>
              <w:bidi w:val="0"/>
              <w:spacing w:before="0" w:beforeAutospacing="0" w:after="0" w:afterAutospacing="0"/>
              <w:ind w:left="0" w:right="0"/>
            </w:pPr>
            <w:r>
              <w:fldChar w:fldCharType="begin"/>
            </w:r>
            <w:r>
              <w:instrText xml:space="preserve"> INCLUDEPICTURE "C:\\Users\\Admin\\AppData\\Local\\Temp\\ksohtml12936\\wps12.png" \* MERGEFORMATINET </w:instrText>
            </w:r>
            <w:r>
              <w:fldChar w:fldCharType="separate"/>
            </w:r>
            <w:r>
              <w:fldChar w:fldCharType="begin"/>
            </w:r>
            <w:r>
              <w:instrText xml:space="preserve"> INCLUDEPICTURE  "C:\\Users\\Admin\\AppData\\Local\\Temp\\ksohtml12936\\wps12.png" \* MERGEFORMATINET </w:instrText>
            </w:r>
            <w:r>
              <w:fldChar w:fldCharType="separate"/>
            </w:r>
            <w:r>
              <w:fldChar w:fldCharType="begin"/>
            </w:r>
            <w:r>
              <w:instrText xml:space="preserve"> INCLUDEPICTURE  "C:\\Users\\Admin\\AppData\\Local\\Temp\\ksohtml12936\\wps12.png" \* MERGEFORMATINET </w:instrText>
            </w:r>
            <w:r>
              <w:fldChar w:fldCharType="separate"/>
            </w:r>
            <w:r>
              <w:fldChar w:fldCharType="begin"/>
            </w:r>
            <w:r>
              <w:instrText xml:space="preserve"> INCLUDEPICTURE  "C:\\Users\\Admin\\AppData\\Local\\Temp\\ksohtml12936\\wps12.png" \* MERGEFORMATINET </w:instrText>
            </w:r>
            <w:r>
              <w:fldChar w:fldCharType="separate"/>
            </w:r>
            <w:r>
              <w:fldChar w:fldCharType="begin"/>
            </w:r>
            <w:r>
              <w:instrText xml:space="preserve"> INCLUDEPICTURE  "C:\\Users\\Admin\\AppData\\Local\\Temp\\ksohtml12936\\wps12.png" \* MERGEFORMATINET </w:instrText>
            </w:r>
            <w:r>
              <w:fldChar w:fldCharType="separate"/>
            </w:r>
            <w:r>
              <w:fldChar w:fldCharType="begin"/>
            </w:r>
            <w:r>
              <w:instrText xml:space="preserve"> INCLUDEPICTURE  "C:\\Users\\Admin\\AppData\\Local\\Temp\\ksohtml12936\\wps12.png" \* MERGEFORMATINET </w:instrText>
            </w:r>
            <w:r>
              <w:fldChar w:fldCharType="separate"/>
            </w:r>
            <w:r>
              <w:fldChar w:fldCharType="begin"/>
            </w:r>
            <w:r>
              <w:instrText xml:space="preserve"> INCLUDEPICTURE  "C:\\Users\\Admin\\AppData\\Local\\Temp\\ksohtml12936\\wps12.png" \* MERGEFORMATINET </w:instrText>
            </w:r>
            <w:r>
              <w:fldChar w:fldCharType="separate"/>
            </w:r>
            <w:r>
              <w:fldChar w:fldCharType="begin"/>
            </w:r>
            <w:r>
              <w:instrText xml:space="preserve"> INCLUDEPICTURE  "C:\\Users\\Admin\\AppData\\Local\\Temp\\ksohtml12936\\wps12.png" \* MERGEFORMATINET </w:instrText>
            </w:r>
            <w:r>
              <w:fldChar w:fldCharType="separate"/>
            </w:r>
            <w:r>
              <w:drawing>
                <wp:inline distT="0" distB="0" distL="114300" distR="114300">
                  <wp:extent cx="2354580" cy="502920"/>
                  <wp:effectExtent l="0" t="0" r="7620" b="11430"/>
                  <wp:docPr id="1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4"/>
                          <pic:cNvPicPr>
                            <a:picLocks noChangeAspect="1"/>
                          </pic:cNvPicPr>
                        </pic:nvPicPr>
                        <pic:blipFill>
                          <a:blip r:embed="rId50" r:link="rId51"/>
                          <a:stretch>
                            <a:fillRect/>
                          </a:stretch>
                        </pic:blipFill>
                        <pic:spPr>
                          <a:xfrm>
                            <a:off x="0" y="0"/>
                            <a:ext cx="2354580" cy="50292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fldChar w:fldCharType="end"/>
            </w:r>
            <w:r>
              <w:fldChar w:fldCharType="end"/>
            </w:r>
            <w:r>
              <w:fldChar w:fldCharType="end"/>
            </w:r>
          </w:p>
          <w:p w14:paraId="4C7561B2">
            <w:pPr>
              <w:keepNext w:val="0"/>
              <w:keepLines w:val="0"/>
              <w:suppressLineNumbers w:val="0"/>
              <w:bidi w:val="0"/>
              <w:spacing w:before="0" w:beforeAutospacing="0" w:after="0" w:afterAutospacing="0"/>
              <w:ind w:left="0" w:right="0"/>
              <w:rPr>
                <w:rFonts w:hint="eastAsia"/>
              </w:rPr>
            </w:pPr>
            <w:r>
              <w:rPr>
                <w:rFonts w:hint="eastAsia"/>
              </w:rPr>
              <w:t>式中：L</w:t>
            </w:r>
            <w:r>
              <w:rPr>
                <w:rFonts w:hint="eastAsia"/>
                <w:vertAlign w:val="subscript"/>
              </w:rPr>
              <w:t>eqg</w:t>
            </w:r>
            <w:r>
              <w:rPr>
                <w:rFonts w:hint="eastAsia"/>
              </w:rPr>
              <w:t>---建设项目声源在预测点的等效声级贡献值，dB；</w:t>
            </w:r>
          </w:p>
          <w:p w14:paraId="4AFE53E5">
            <w:pPr>
              <w:keepNext w:val="0"/>
              <w:keepLines w:val="0"/>
              <w:suppressLineNumbers w:val="0"/>
              <w:bidi w:val="0"/>
              <w:spacing w:before="0" w:beforeAutospacing="0" w:after="0" w:afterAutospacing="0"/>
              <w:ind w:left="0" w:right="0"/>
              <w:rPr>
                <w:rFonts w:hint="eastAsia"/>
              </w:rPr>
            </w:pPr>
            <w:r>
              <w:rPr>
                <w:rFonts w:hint="eastAsia" w:cs="Times New Roman"/>
                <w:color w:val="auto"/>
                <w:szCs w:val="24"/>
                <w:highlight w:val="none"/>
                <w:shd w:val="clear" w:color="auto" w:fill="FFFFFF"/>
              </w:rPr>
              <w:t>L</w:t>
            </w:r>
            <w:r>
              <w:rPr>
                <w:rFonts w:hint="eastAsia" w:cs="Times New Roman"/>
                <w:color w:val="auto"/>
                <w:szCs w:val="24"/>
                <w:highlight w:val="none"/>
                <w:shd w:val="clear" w:color="auto" w:fill="FFFFFF"/>
                <w:vertAlign w:val="subscript"/>
              </w:rPr>
              <w:t>eqb</w:t>
            </w:r>
            <w:r>
              <w:rPr>
                <w:rFonts w:hint="eastAsia" w:cs="Times New Roman"/>
                <w:color w:val="auto"/>
                <w:szCs w:val="24"/>
                <w:highlight w:val="none"/>
              </w:rPr>
              <w:t>---</w:t>
            </w:r>
            <w:r>
              <w:rPr>
                <w:rFonts w:hint="eastAsia"/>
              </w:rPr>
              <w:t>预测点的背景值，dB。</w:t>
            </w:r>
          </w:p>
          <w:p w14:paraId="64191FC4">
            <w:pPr>
              <w:keepNext w:val="0"/>
              <w:keepLines w:val="0"/>
              <w:suppressLineNumbers w:val="0"/>
              <w:bidi w:val="0"/>
              <w:spacing w:before="0" w:beforeAutospacing="0" w:after="0" w:afterAutospacing="0"/>
              <w:ind w:left="0" w:right="0"/>
              <w:rPr>
                <w:rFonts w:hint="eastAsia"/>
              </w:rPr>
            </w:pPr>
            <w:r>
              <w:rPr>
                <w:rFonts w:hint="eastAsia"/>
              </w:rPr>
              <w:t>（5）隔声量的确定</w:t>
            </w:r>
          </w:p>
          <w:p w14:paraId="4BB1C732">
            <w:pPr>
              <w:keepNext w:val="0"/>
              <w:keepLines w:val="0"/>
              <w:suppressLineNumbers w:val="0"/>
              <w:bidi w:val="0"/>
              <w:spacing w:before="0" w:beforeAutospacing="0" w:after="0" w:afterAutospacing="0"/>
              <w:ind w:left="0" w:right="0"/>
              <w:rPr>
                <w:rFonts w:hint="eastAsia"/>
              </w:rPr>
            </w:pPr>
            <w:r>
              <w:rPr>
                <w:rFonts w:hint="eastAsia"/>
              </w:rPr>
              <w:t>项目主要噪声设备大多设置于各建构筑物内，设备噪声经减震、隔声后，可削减</w:t>
            </w:r>
            <w:r>
              <w:rPr>
                <w:rFonts w:hint="eastAsia"/>
                <w:lang w:val="en-US" w:eastAsia="zh-CN"/>
              </w:rPr>
              <w:t>15</w:t>
            </w:r>
            <w:r>
              <w:rPr>
                <w:rFonts w:hint="eastAsia"/>
              </w:rPr>
              <w:t>dB（A）以上。</w:t>
            </w:r>
          </w:p>
          <w:p w14:paraId="3B679A0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（5）厂界</w:t>
            </w:r>
            <w:r>
              <w:rPr>
                <w:rFonts w:hint="default" w:ascii="Times New Roman" w:hAnsi="Times New Roman" w:cs="Times New Roman"/>
                <w:color w:val="auto"/>
                <w:sz w:val="24"/>
                <w:highlight w:val="none"/>
                <w:lang w:val="en-US" w:eastAsia="zh-CN"/>
              </w:rPr>
              <w:t>噪声</w:t>
            </w:r>
            <w:r>
              <w:rPr>
                <w:rFonts w:hint="default" w:ascii="Times New Roman" w:hAnsi="Times New Roman" w:cs="Times New Roman"/>
                <w:color w:val="auto"/>
                <w:sz w:val="24"/>
                <w:szCs w:val="24"/>
                <w:highlight w:val="none"/>
                <w:lang w:val="zh-CN"/>
              </w:rPr>
              <w:t>预测结果分析</w:t>
            </w:r>
          </w:p>
          <w:p w14:paraId="5EE5D5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利用上述模式，本项目各厂界噪声的噪声影响预测</w:t>
            </w:r>
            <w:r>
              <w:rPr>
                <w:rFonts w:hint="eastAsia" w:cs="Times New Roman"/>
                <w:color w:val="auto"/>
                <w:sz w:val="24"/>
                <w:highlight w:val="none"/>
                <w:lang w:val="zh-CN"/>
              </w:rPr>
              <w:t>（</w:t>
            </w:r>
            <w:r>
              <w:rPr>
                <w:rFonts w:hint="default" w:ascii="Times New Roman" w:hAnsi="Times New Roman" w:cs="Times New Roman"/>
                <w:color w:val="auto"/>
                <w:sz w:val="24"/>
                <w:highlight w:val="none"/>
                <w:lang w:val="zh-CN"/>
              </w:rPr>
              <w:t>综合贡献值</w:t>
            </w:r>
            <w:r>
              <w:rPr>
                <w:rFonts w:hint="eastAsia" w:cs="Times New Roman"/>
                <w:color w:val="auto"/>
                <w:sz w:val="24"/>
                <w:highlight w:val="none"/>
                <w:lang w:val="zh-CN"/>
              </w:rPr>
              <w:t>）</w:t>
            </w:r>
            <w:r>
              <w:rPr>
                <w:rFonts w:hint="default" w:ascii="Times New Roman" w:hAnsi="Times New Roman" w:cs="Times New Roman"/>
                <w:color w:val="auto"/>
                <w:sz w:val="24"/>
                <w:highlight w:val="none"/>
                <w:lang w:val="zh-CN"/>
              </w:rPr>
              <w:t>计算结果见表，具体预测结果</w:t>
            </w:r>
            <w:r>
              <w:rPr>
                <w:rFonts w:hint="eastAsia"/>
                <w:color w:val="auto"/>
                <w:sz w:val="24"/>
                <w:szCs w:val="24"/>
                <w:highlight w:val="none"/>
                <w:lang w:val="zh-CN"/>
              </w:rPr>
              <w:t>见</w:t>
            </w:r>
            <w:r>
              <w:rPr>
                <w:rFonts w:hint="eastAsia"/>
                <w:color w:val="auto"/>
                <w:sz w:val="24"/>
                <w:szCs w:val="24"/>
                <w:highlight w:val="none"/>
                <w:lang w:val="en-US" w:eastAsia="zh-CN"/>
              </w:rPr>
              <w:t>下</w:t>
            </w:r>
            <w:r>
              <w:rPr>
                <w:rFonts w:hint="eastAsia"/>
                <w:color w:val="auto"/>
                <w:sz w:val="24"/>
                <w:szCs w:val="24"/>
                <w:highlight w:val="none"/>
                <w:lang w:val="zh-CN"/>
              </w:rPr>
              <w:t>表所示。</w:t>
            </w:r>
          </w:p>
          <w:p w14:paraId="3818373F">
            <w:pPr>
              <w:pStyle w:val="39"/>
              <w:keepNext w:val="0"/>
              <w:keepLines w:val="0"/>
              <w:suppressLineNumbers w:val="0"/>
              <w:bidi w:val="0"/>
              <w:spacing w:before="0" w:beforeAutospacing="0" w:after="0" w:afterAutospacing="0"/>
              <w:ind w:left="0" w:right="0"/>
              <w:rPr>
                <w:rFonts w:hint="eastAsia" w:eastAsia="宋体"/>
                <w:highlight w:val="none"/>
                <w:lang w:eastAsia="zh-CN"/>
              </w:rPr>
            </w:pPr>
            <w:r>
              <w:rPr>
                <w:rFonts w:hint="default"/>
                <w:highlight w:val="none"/>
              </w:rPr>
              <w:t>表</w:t>
            </w:r>
            <w:r>
              <w:rPr>
                <w:rFonts w:hint="default"/>
                <w:highlight w:val="none"/>
                <w:lang w:val="en-US" w:eastAsia="zh-CN"/>
              </w:rPr>
              <w:t>4.</w:t>
            </w:r>
            <w:r>
              <w:rPr>
                <w:rFonts w:hint="eastAsia"/>
                <w:highlight w:val="none"/>
                <w:lang w:val="en-US" w:eastAsia="zh-CN"/>
              </w:rPr>
              <w:t>3</w:t>
            </w:r>
            <w:r>
              <w:rPr>
                <w:rFonts w:hint="default"/>
                <w:highlight w:val="none"/>
                <w:lang w:val="en-US" w:eastAsia="zh-CN"/>
              </w:rPr>
              <w:t>-</w:t>
            </w:r>
            <w:r>
              <w:rPr>
                <w:rFonts w:hint="eastAsia"/>
                <w:highlight w:val="none"/>
                <w:lang w:val="en-US" w:eastAsia="zh-CN"/>
              </w:rPr>
              <w:t>4</w:t>
            </w:r>
            <w:r>
              <w:rPr>
                <w:rFonts w:hint="default"/>
                <w:highlight w:val="none"/>
              </w:rPr>
              <w:t xml:space="preserve"> 厂界噪声预测结果 单位：dB</w:t>
            </w:r>
            <w:r>
              <w:rPr>
                <w:rFonts w:hint="eastAsia"/>
                <w:highlight w:val="none"/>
                <w:lang w:eastAsia="zh-CN"/>
              </w:rPr>
              <w:t>（</w:t>
            </w:r>
            <w:r>
              <w:rPr>
                <w:rFonts w:hint="default"/>
                <w:highlight w:val="none"/>
              </w:rPr>
              <w:t>A</w:t>
            </w:r>
            <w:r>
              <w:rPr>
                <w:rFonts w:hint="eastAsia"/>
                <w:highlight w:val="none"/>
                <w:lang w:eastAsia="zh-CN"/>
              </w:rPr>
              <w:t>）</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31"/>
              <w:gridCol w:w="1526"/>
              <w:gridCol w:w="875"/>
              <w:gridCol w:w="875"/>
              <w:gridCol w:w="932"/>
              <w:gridCol w:w="954"/>
              <w:gridCol w:w="1138"/>
              <w:gridCol w:w="1145"/>
            </w:tblGrid>
            <w:tr w14:paraId="442EE7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6" w:type="pct"/>
                  <w:vMerge w:val="restart"/>
                  <w:noWrap w:val="0"/>
                  <w:vAlign w:val="center"/>
                </w:tcPr>
                <w:p w14:paraId="2AF817D2">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编号</w:t>
                  </w:r>
                </w:p>
              </w:tc>
              <w:tc>
                <w:tcPr>
                  <w:tcW w:w="911" w:type="pct"/>
                  <w:vMerge w:val="restart"/>
                  <w:noWrap w:val="0"/>
                  <w:vAlign w:val="center"/>
                </w:tcPr>
                <w:p w14:paraId="6D2D7E11">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测点位置</w:t>
                  </w:r>
                </w:p>
              </w:tc>
              <w:tc>
                <w:tcPr>
                  <w:tcW w:w="1044" w:type="pct"/>
                  <w:gridSpan w:val="2"/>
                  <w:noWrap w:val="0"/>
                  <w:vAlign w:val="center"/>
                </w:tcPr>
                <w:p w14:paraId="3A0AFD4A">
                  <w:pPr>
                    <w:pStyle w:val="38"/>
                    <w:keepNext w:val="0"/>
                    <w:keepLines w:val="0"/>
                    <w:widowControl/>
                    <w:suppressLineNumbers w:val="0"/>
                    <w:bidi w:val="0"/>
                    <w:spacing w:before="0" w:beforeAutospacing="0" w:after="0" w:afterAutospacing="0"/>
                    <w:ind w:left="0" w:right="0"/>
                    <w:rPr>
                      <w:rFonts w:hint="eastAsia" w:eastAsia="宋体"/>
                      <w:szCs w:val="22"/>
                      <w:highlight w:val="none"/>
                      <w:lang w:val="en-US" w:eastAsia="zh-CN"/>
                    </w:rPr>
                  </w:pPr>
                  <w:r>
                    <w:rPr>
                      <w:rFonts w:hint="eastAsia"/>
                      <w:szCs w:val="22"/>
                      <w:highlight w:val="none"/>
                      <w:lang w:val="en-US" w:eastAsia="zh-CN"/>
                    </w:rPr>
                    <w:t>预测值</w:t>
                  </w:r>
                </w:p>
              </w:tc>
              <w:tc>
                <w:tcPr>
                  <w:tcW w:w="1125" w:type="pct"/>
                  <w:gridSpan w:val="2"/>
                  <w:noWrap w:val="0"/>
                  <w:vAlign w:val="center"/>
                </w:tcPr>
                <w:p w14:paraId="03288479">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标准值</w:t>
                  </w:r>
                </w:p>
              </w:tc>
              <w:tc>
                <w:tcPr>
                  <w:tcW w:w="1362" w:type="pct"/>
                  <w:gridSpan w:val="2"/>
                  <w:noWrap w:val="0"/>
                  <w:vAlign w:val="center"/>
                </w:tcPr>
                <w:p w14:paraId="7B8059AE">
                  <w:pPr>
                    <w:pStyle w:val="38"/>
                    <w:keepNext w:val="0"/>
                    <w:keepLines w:val="0"/>
                    <w:widowControl/>
                    <w:suppressLineNumbers w:val="0"/>
                    <w:bidi w:val="0"/>
                    <w:spacing w:before="0" w:beforeAutospacing="0" w:after="0" w:afterAutospacing="0"/>
                    <w:ind w:left="0" w:right="0"/>
                    <w:rPr>
                      <w:rFonts w:hint="default"/>
                      <w:szCs w:val="22"/>
                      <w:highlight w:val="none"/>
                    </w:rPr>
                  </w:pPr>
                  <w:r>
                    <w:rPr>
                      <w:rFonts w:hint="default"/>
                      <w:szCs w:val="22"/>
                      <w:highlight w:val="none"/>
                    </w:rPr>
                    <w:t>达标情况</w:t>
                  </w:r>
                </w:p>
              </w:tc>
            </w:tr>
            <w:tr w14:paraId="315360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6" w:type="pct"/>
                  <w:vMerge w:val="continue"/>
                  <w:noWrap w:val="0"/>
                  <w:vAlign w:val="center"/>
                </w:tcPr>
                <w:p w14:paraId="0D782855">
                  <w:pPr>
                    <w:pStyle w:val="38"/>
                    <w:keepNext w:val="0"/>
                    <w:keepLines w:val="0"/>
                    <w:widowControl/>
                    <w:suppressLineNumbers w:val="0"/>
                    <w:bidi w:val="0"/>
                    <w:spacing w:before="0" w:beforeAutospacing="0" w:after="0" w:afterAutospacing="0"/>
                    <w:ind w:left="0" w:right="0"/>
                    <w:rPr>
                      <w:rFonts w:hint="default"/>
                      <w:szCs w:val="22"/>
                    </w:rPr>
                  </w:pPr>
                </w:p>
              </w:tc>
              <w:tc>
                <w:tcPr>
                  <w:tcW w:w="911" w:type="pct"/>
                  <w:vMerge w:val="continue"/>
                  <w:noWrap w:val="0"/>
                  <w:vAlign w:val="center"/>
                </w:tcPr>
                <w:p w14:paraId="39052A7C">
                  <w:pPr>
                    <w:pStyle w:val="38"/>
                    <w:keepNext w:val="0"/>
                    <w:keepLines w:val="0"/>
                    <w:widowControl/>
                    <w:suppressLineNumbers w:val="0"/>
                    <w:bidi w:val="0"/>
                    <w:spacing w:before="0" w:beforeAutospacing="0" w:after="0" w:afterAutospacing="0"/>
                    <w:ind w:left="0" w:right="0"/>
                    <w:rPr>
                      <w:rFonts w:hint="default"/>
                      <w:szCs w:val="22"/>
                    </w:rPr>
                  </w:pPr>
                </w:p>
              </w:tc>
              <w:tc>
                <w:tcPr>
                  <w:tcW w:w="522" w:type="pct"/>
                  <w:noWrap w:val="0"/>
                  <w:vAlign w:val="center"/>
                </w:tcPr>
                <w:p w14:paraId="132E8309">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eastAsia="zh-CN"/>
                    </w:rPr>
                    <w:t>昼间</w:t>
                  </w:r>
                </w:p>
              </w:tc>
              <w:tc>
                <w:tcPr>
                  <w:tcW w:w="522" w:type="pct"/>
                  <w:noWrap w:val="0"/>
                  <w:vAlign w:val="center"/>
                </w:tcPr>
                <w:p w14:paraId="3C26A5D7">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夜间</w:t>
                  </w:r>
                </w:p>
              </w:tc>
              <w:tc>
                <w:tcPr>
                  <w:tcW w:w="556" w:type="pct"/>
                  <w:noWrap w:val="0"/>
                  <w:vAlign w:val="center"/>
                </w:tcPr>
                <w:p w14:paraId="7E7242F6">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昼间</w:t>
                  </w:r>
                </w:p>
              </w:tc>
              <w:tc>
                <w:tcPr>
                  <w:tcW w:w="569" w:type="pct"/>
                  <w:noWrap w:val="0"/>
                  <w:vAlign w:val="center"/>
                </w:tcPr>
                <w:p w14:paraId="02F09213">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eastAsia="zh-CN"/>
                    </w:rPr>
                    <w:t>夜间</w:t>
                  </w:r>
                </w:p>
              </w:tc>
              <w:tc>
                <w:tcPr>
                  <w:tcW w:w="679" w:type="pct"/>
                  <w:noWrap w:val="0"/>
                  <w:vAlign w:val="center"/>
                </w:tcPr>
                <w:p w14:paraId="33FE777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昼间</w:t>
                  </w:r>
                </w:p>
              </w:tc>
              <w:tc>
                <w:tcPr>
                  <w:tcW w:w="682" w:type="pct"/>
                  <w:noWrap w:val="0"/>
                  <w:vAlign w:val="center"/>
                </w:tcPr>
                <w:p w14:paraId="1EEB8AC6">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夜间</w:t>
                  </w:r>
                </w:p>
              </w:tc>
            </w:tr>
            <w:tr w14:paraId="22DF27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556" w:type="pct"/>
                  <w:noWrap w:val="0"/>
                  <w:vAlign w:val="center"/>
                </w:tcPr>
                <w:p w14:paraId="1A8A6DB7">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1</w:t>
                  </w:r>
                </w:p>
              </w:tc>
              <w:tc>
                <w:tcPr>
                  <w:tcW w:w="911" w:type="pct"/>
                  <w:noWrap w:val="0"/>
                  <w:vAlign w:val="center"/>
                </w:tcPr>
                <w:p w14:paraId="0767874E">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厂界东</w:t>
                  </w:r>
                  <w:r>
                    <w:rPr>
                      <w:rFonts w:hint="default"/>
                      <w:szCs w:val="22"/>
                      <w:lang w:val="en-US" w:eastAsia="zh-CN"/>
                    </w:rPr>
                    <w:t>侧</w:t>
                  </w:r>
                </w:p>
              </w:tc>
              <w:tc>
                <w:tcPr>
                  <w:tcW w:w="522" w:type="pct"/>
                  <w:noWrap w:val="0"/>
                  <w:vAlign w:val="center"/>
                </w:tcPr>
                <w:p w14:paraId="599680B3">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51</w:t>
                  </w:r>
                </w:p>
              </w:tc>
              <w:tc>
                <w:tcPr>
                  <w:tcW w:w="522" w:type="pct"/>
                  <w:noWrap w:val="0"/>
                  <w:vAlign w:val="center"/>
                </w:tcPr>
                <w:p w14:paraId="7CF29CFC">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41</w:t>
                  </w:r>
                </w:p>
              </w:tc>
              <w:tc>
                <w:tcPr>
                  <w:tcW w:w="556" w:type="pct"/>
                  <w:vMerge w:val="restart"/>
                  <w:noWrap w:val="0"/>
                  <w:vAlign w:val="center"/>
                </w:tcPr>
                <w:p w14:paraId="37F2DC95">
                  <w:pPr>
                    <w:pStyle w:val="38"/>
                    <w:keepNext w:val="0"/>
                    <w:keepLines w:val="0"/>
                    <w:widowControl/>
                    <w:suppressLineNumbers w:val="0"/>
                    <w:bidi w:val="0"/>
                    <w:spacing w:before="0" w:beforeAutospacing="0" w:after="0" w:afterAutospacing="0"/>
                    <w:ind w:left="0" w:right="0"/>
                    <w:rPr>
                      <w:rFonts w:hint="default"/>
                      <w:szCs w:val="22"/>
                      <w:lang w:val="en-US"/>
                    </w:rPr>
                  </w:pPr>
                  <w:r>
                    <w:rPr>
                      <w:rFonts w:hint="eastAsia"/>
                      <w:szCs w:val="22"/>
                      <w:lang w:val="en-US" w:eastAsia="zh-CN"/>
                    </w:rPr>
                    <w:t>65</w:t>
                  </w:r>
                </w:p>
              </w:tc>
              <w:tc>
                <w:tcPr>
                  <w:tcW w:w="569" w:type="pct"/>
                  <w:vMerge w:val="restart"/>
                  <w:noWrap w:val="0"/>
                  <w:vAlign w:val="center"/>
                </w:tcPr>
                <w:p w14:paraId="2B8E88DF">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55</w:t>
                  </w:r>
                </w:p>
              </w:tc>
              <w:tc>
                <w:tcPr>
                  <w:tcW w:w="679" w:type="pct"/>
                  <w:noWrap w:val="0"/>
                  <w:vAlign w:val="center"/>
                </w:tcPr>
                <w:p w14:paraId="600E61D7">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达标</w:t>
                  </w:r>
                </w:p>
              </w:tc>
              <w:tc>
                <w:tcPr>
                  <w:tcW w:w="1157" w:type="dxa"/>
                  <w:shd w:val="clear" w:color="auto" w:fill="auto"/>
                  <w:noWrap w:val="0"/>
                  <w:vAlign w:val="center"/>
                </w:tcPr>
                <w:p w14:paraId="094B0243">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rPr>
                    <w:t>达标</w:t>
                  </w:r>
                </w:p>
              </w:tc>
            </w:tr>
            <w:tr w14:paraId="6E8FB2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pct"/>
                  <w:noWrap w:val="0"/>
                  <w:vAlign w:val="center"/>
                </w:tcPr>
                <w:p w14:paraId="2CF6CC95">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2</w:t>
                  </w:r>
                </w:p>
              </w:tc>
              <w:tc>
                <w:tcPr>
                  <w:tcW w:w="911" w:type="pct"/>
                  <w:noWrap w:val="0"/>
                  <w:vAlign w:val="center"/>
                </w:tcPr>
                <w:p w14:paraId="352A0B59">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厂界南</w:t>
                  </w:r>
                  <w:r>
                    <w:rPr>
                      <w:rFonts w:hint="default"/>
                      <w:szCs w:val="22"/>
                      <w:lang w:val="en-US" w:eastAsia="zh-CN"/>
                    </w:rPr>
                    <w:t>侧</w:t>
                  </w:r>
                </w:p>
              </w:tc>
              <w:tc>
                <w:tcPr>
                  <w:tcW w:w="522" w:type="pct"/>
                  <w:noWrap w:val="0"/>
                  <w:vAlign w:val="center"/>
                </w:tcPr>
                <w:p w14:paraId="705C5ED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51</w:t>
                  </w:r>
                </w:p>
              </w:tc>
              <w:tc>
                <w:tcPr>
                  <w:tcW w:w="522" w:type="pct"/>
                  <w:noWrap w:val="0"/>
                  <w:vAlign w:val="center"/>
                </w:tcPr>
                <w:p w14:paraId="28FE93BB">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41</w:t>
                  </w:r>
                </w:p>
              </w:tc>
              <w:tc>
                <w:tcPr>
                  <w:tcW w:w="556" w:type="pct"/>
                  <w:vMerge w:val="continue"/>
                  <w:noWrap w:val="0"/>
                  <w:vAlign w:val="center"/>
                </w:tcPr>
                <w:p w14:paraId="2A4C9D0F">
                  <w:pPr>
                    <w:pStyle w:val="38"/>
                    <w:keepNext w:val="0"/>
                    <w:keepLines w:val="0"/>
                    <w:widowControl/>
                    <w:suppressLineNumbers w:val="0"/>
                    <w:bidi w:val="0"/>
                    <w:spacing w:before="0" w:beforeAutospacing="0" w:after="0" w:afterAutospacing="0"/>
                    <w:ind w:left="0" w:right="0"/>
                    <w:rPr>
                      <w:rFonts w:hint="default"/>
                      <w:szCs w:val="22"/>
                    </w:rPr>
                  </w:pPr>
                </w:p>
              </w:tc>
              <w:tc>
                <w:tcPr>
                  <w:tcW w:w="569" w:type="pct"/>
                  <w:vMerge w:val="continue"/>
                  <w:noWrap w:val="0"/>
                  <w:vAlign w:val="center"/>
                </w:tcPr>
                <w:p w14:paraId="36D5CAC7">
                  <w:pPr>
                    <w:pStyle w:val="38"/>
                    <w:keepNext w:val="0"/>
                    <w:keepLines w:val="0"/>
                    <w:widowControl/>
                    <w:suppressLineNumbers w:val="0"/>
                    <w:bidi w:val="0"/>
                    <w:spacing w:before="0" w:beforeAutospacing="0" w:after="0" w:afterAutospacing="0"/>
                    <w:ind w:left="0" w:right="0"/>
                    <w:rPr>
                      <w:rFonts w:hint="default"/>
                      <w:szCs w:val="22"/>
                    </w:rPr>
                  </w:pPr>
                </w:p>
              </w:tc>
              <w:tc>
                <w:tcPr>
                  <w:tcW w:w="679" w:type="pct"/>
                  <w:noWrap w:val="0"/>
                  <w:vAlign w:val="center"/>
                </w:tcPr>
                <w:p w14:paraId="446AD26B">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达标</w:t>
                  </w:r>
                </w:p>
              </w:tc>
              <w:tc>
                <w:tcPr>
                  <w:tcW w:w="1157" w:type="dxa"/>
                  <w:shd w:val="clear" w:color="auto" w:fill="auto"/>
                  <w:noWrap w:val="0"/>
                  <w:vAlign w:val="center"/>
                </w:tcPr>
                <w:p w14:paraId="45C2AA6D">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达标</w:t>
                  </w:r>
                </w:p>
              </w:tc>
            </w:tr>
            <w:tr w14:paraId="7E80D9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pct"/>
                  <w:noWrap w:val="0"/>
                  <w:vAlign w:val="center"/>
                </w:tcPr>
                <w:p w14:paraId="6B9CAA22">
                  <w:pPr>
                    <w:pStyle w:val="38"/>
                    <w:keepNext w:val="0"/>
                    <w:keepLines w:val="0"/>
                    <w:widowControl/>
                    <w:suppressLineNumbers w:val="0"/>
                    <w:bidi w:val="0"/>
                    <w:spacing w:before="0" w:beforeAutospacing="0" w:after="0" w:afterAutospacing="0"/>
                    <w:ind w:left="0" w:right="0"/>
                    <w:rPr>
                      <w:rFonts w:hint="default"/>
                      <w:szCs w:val="22"/>
                      <w:lang w:eastAsia="zh-CN"/>
                    </w:rPr>
                  </w:pPr>
                  <w:r>
                    <w:rPr>
                      <w:rFonts w:hint="default"/>
                      <w:szCs w:val="22"/>
                      <w:lang w:val="en-US" w:eastAsia="zh-CN"/>
                    </w:rPr>
                    <w:t>3</w:t>
                  </w:r>
                </w:p>
              </w:tc>
              <w:tc>
                <w:tcPr>
                  <w:tcW w:w="911" w:type="pct"/>
                  <w:noWrap w:val="0"/>
                  <w:vAlign w:val="center"/>
                </w:tcPr>
                <w:p w14:paraId="6F12E642">
                  <w:pPr>
                    <w:pStyle w:val="38"/>
                    <w:keepNext w:val="0"/>
                    <w:keepLines w:val="0"/>
                    <w:widowControl/>
                    <w:suppressLineNumbers w:val="0"/>
                    <w:bidi w:val="0"/>
                    <w:spacing w:before="0" w:beforeAutospacing="0" w:after="0" w:afterAutospacing="0"/>
                    <w:ind w:left="0" w:right="0"/>
                    <w:rPr>
                      <w:rFonts w:hint="default"/>
                      <w:szCs w:val="22"/>
                      <w:lang w:eastAsia="zh-CN"/>
                    </w:rPr>
                  </w:pPr>
                  <w:r>
                    <w:rPr>
                      <w:rFonts w:hint="default"/>
                      <w:szCs w:val="22"/>
                    </w:rPr>
                    <w:t>厂界西</w:t>
                  </w:r>
                  <w:r>
                    <w:rPr>
                      <w:rFonts w:hint="default"/>
                      <w:szCs w:val="22"/>
                      <w:lang w:val="en-US" w:eastAsia="zh-CN"/>
                    </w:rPr>
                    <w:t>侧</w:t>
                  </w:r>
                </w:p>
              </w:tc>
              <w:tc>
                <w:tcPr>
                  <w:tcW w:w="522" w:type="pct"/>
                  <w:noWrap w:val="0"/>
                  <w:vAlign w:val="center"/>
                </w:tcPr>
                <w:p w14:paraId="2C216A9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56</w:t>
                  </w:r>
                </w:p>
              </w:tc>
              <w:tc>
                <w:tcPr>
                  <w:tcW w:w="522" w:type="pct"/>
                  <w:noWrap w:val="0"/>
                  <w:vAlign w:val="center"/>
                </w:tcPr>
                <w:p w14:paraId="342F268C">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46</w:t>
                  </w:r>
                </w:p>
              </w:tc>
              <w:tc>
                <w:tcPr>
                  <w:tcW w:w="556" w:type="pct"/>
                  <w:vMerge w:val="continue"/>
                  <w:noWrap w:val="0"/>
                  <w:vAlign w:val="center"/>
                </w:tcPr>
                <w:p w14:paraId="40D91122">
                  <w:pPr>
                    <w:pStyle w:val="38"/>
                    <w:keepNext w:val="0"/>
                    <w:keepLines w:val="0"/>
                    <w:widowControl/>
                    <w:suppressLineNumbers w:val="0"/>
                    <w:bidi w:val="0"/>
                    <w:spacing w:before="0" w:beforeAutospacing="0" w:after="0" w:afterAutospacing="0"/>
                    <w:ind w:left="0" w:right="0"/>
                    <w:rPr>
                      <w:rFonts w:hint="default"/>
                      <w:szCs w:val="22"/>
                      <w:lang w:val="en-US" w:eastAsia="zh-CN"/>
                    </w:rPr>
                  </w:pPr>
                </w:p>
              </w:tc>
              <w:tc>
                <w:tcPr>
                  <w:tcW w:w="569" w:type="pct"/>
                  <w:vMerge w:val="continue"/>
                  <w:noWrap w:val="0"/>
                  <w:vAlign w:val="center"/>
                </w:tcPr>
                <w:p w14:paraId="3D7710A2">
                  <w:pPr>
                    <w:pStyle w:val="38"/>
                    <w:keepNext w:val="0"/>
                    <w:keepLines w:val="0"/>
                    <w:widowControl/>
                    <w:suppressLineNumbers w:val="0"/>
                    <w:bidi w:val="0"/>
                    <w:spacing w:before="0" w:beforeAutospacing="0" w:after="0" w:afterAutospacing="0"/>
                    <w:ind w:left="0" w:right="0"/>
                    <w:rPr>
                      <w:rFonts w:hint="default"/>
                      <w:szCs w:val="22"/>
                      <w:lang w:val="en-US" w:eastAsia="zh-CN"/>
                    </w:rPr>
                  </w:pPr>
                </w:p>
              </w:tc>
              <w:tc>
                <w:tcPr>
                  <w:tcW w:w="679" w:type="pct"/>
                  <w:noWrap w:val="0"/>
                  <w:vAlign w:val="center"/>
                </w:tcPr>
                <w:p w14:paraId="68926A85">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达标</w:t>
                  </w:r>
                </w:p>
              </w:tc>
              <w:tc>
                <w:tcPr>
                  <w:tcW w:w="1157" w:type="dxa"/>
                  <w:shd w:val="clear" w:color="auto" w:fill="auto"/>
                  <w:noWrap w:val="0"/>
                  <w:vAlign w:val="center"/>
                </w:tcPr>
                <w:p w14:paraId="5E3F57FC">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达标</w:t>
                  </w:r>
                </w:p>
              </w:tc>
            </w:tr>
            <w:tr w14:paraId="35FDAE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pct"/>
                  <w:noWrap w:val="0"/>
                  <w:vAlign w:val="center"/>
                </w:tcPr>
                <w:p w14:paraId="3D6DD120">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4</w:t>
                  </w:r>
                </w:p>
              </w:tc>
              <w:tc>
                <w:tcPr>
                  <w:tcW w:w="911" w:type="pct"/>
                  <w:noWrap w:val="0"/>
                  <w:vAlign w:val="center"/>
                </w:tcPr>
                <w:p w14:paraId="4BD03E24">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rPr>
                    <w:t>厂界北</w:t>
                  </w:r>
                  <w:r>
                    <w:rPr>
                      <w:rFonts w:hint="default"/>
                      <w:szCs w:val="22"/>
                      <w:lang w:val="en-US" w:eastAsia="zh-CN"/>
                    </w:rPr>
                    <w:t>侧</w:t>
                  </w:r>
                </w:p>
              </w:tc>
              <w:tc>
                <w:tcPr>
                  <w:tcW w:w="522" w:type="pct"/>
                  <w:noWrap w:val="0"/>
                  <w:vAlign w:val="center"/>
                </w:tcPr>
                <w:p w14:paraId="41073AD7">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51</w:t>
                  </w:r>
                </w:p>
              </w:tc>
              <w:tc>
                <w:tcPr>
                  <w:tcW w:w="522" w:type="pct"/>
                  <w:noWrap w:val="0"/>
                  <w:vAlign w:val="center"/>
                </w:tcPr>
                <w:p w14:paraId="21A6F4A1">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41</w:t>
                  </w:r>
                </w:p>
              </w:tc>
              <w:tc>
                <w:tcPr>
                  <w:tcW w:w="556" w:type="pct"/>
                  <w:vMerge w:val="continue"/>
                  <w:noWrap w:val="0"/>
                  <w:vAlign w:val="center"/>
                </w:tcPr>
                <w:p w14:paraId="1E7F5ED2">
                  <w:pPr>
                    <w:pStyle w:val="38"/>
                    <w:keepNext w:val="0"/>
                    <w:keepLines w:val="0"/>
                    <w:widowControl/>
                    <w:suppressLineNumbers w:val="0"/>
                    <w:bidi w:val="0"/>
                    <w:spacing w:before="0" w:beforeAutospacing="0" w:after="0" w:afterAutospacing="0"/>
                    <w:ind w:left="0" w:right="0"/>
                    <w:rPr>
                      <w:rFonts w:hint="default"/>
                      <w:szCs w:val="22"/>
                      <w:lang w:val="en-US" w:eastAsia="zh-CN"/>
                    </w:rPr>
                  </w:pPr>
                </w:p>
              </w:tc>
              <w:tc>
                <w:tcPr>
                  <w:tcW w:w="569" w:type="pct"/>
                  <w:vMerge w:val="continue"/>
                  <w:noWrap w:val="0"/>
                  <w:vAlign w:val="center"/>
                </w:tcPr>
                <w:p w14:paraId="42CBE761">
                  <w:pPr>
                    <w:pStyle w:val="38"/>
                    <w:keepNext w:val="0"/>
                    <w:keepLines w:val="0"/>
                    <w:widowControl/>
                    <w:suppressLineNumbers w:val="0"/>
                    <w:bidi w:val="0"/>
                    <w:spacing w:before="0" w:beforeAutospacing="0" w:after="0" w:afterAutospacing="0"/>
                    <w:ind w:left="0" w:right="0"/>
                    <w:rPr>
                      <w:rFonts w:hint="default"/>
                      <w:szCs w:val="22"/>
                      <w:lang w:val="en-US" w:eastAsia="zh-CN"/>
                    </w:rPr>
                  </w:pPr>
                </w:p>
              </w:tc>
              <w:tc>
                <w:tcPr>
                  <w:tcW w:w="679" w:type="pct"/>
                  <w:noWrap w:val="0"/>
                  <w:vAlign w:val="center"/>
                </w:tcPr>
                <w:p w14:paraId="486EEACF">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达标</w:t>
                  </w:r>
                </w:p>
              </w:tc>
              <w:tc>
                <w:tcPr>
                  <w:tcW w:w="1157" w:type="dxa"/>
                  <w:shd w:val="clear" w:color="auto" w:fill="auto"/>
                  <w:noWrap w:val="0"/>
                  <w:vAlign w:val="center"/>
                </w:tcPr>
                <w:p w14:paraId="75FA0602">
                  <w:pPr>
                    <w:pStyle w:val="38"/>
                    <w:keepNext w:val="0"/>
                    <w:keepLines w:val="0"/>
                    <w:widowControl/>
                    <w:suppressLineNumbers w:val="0"/>
                    <w:bidi w:val="0"/>
                    <w:spacing w:before="0" w:beforeAutospacing="0" w:after="0" w:afterAutospacing="0"/>
                    <w:ind w:left="0" w:right="0"/>
                    <w:rPr>
                      <w:rFonts w:hint="default" w:ascii="Times New Roman" w:hAnsi="Times New Roman" w:eastAsia="宋体" w:cs="Times New Roman"/>
                      <w:kern w:val="2"/>
                      <w:sz w:val="21"/>
                      <w:szCs w:val="22"/>
                      <w:lang w:val="en-US" w:eastAsia="zh-CN" w:bidi="ar-SA"/>
                    </w:rPr>
                  </w:pPr>
                  <w:r>
                    <w:rPr>
                      <w:rFonts w:hint="default"/>
                      <w:szCs w:val="22"/>
                    </w:rPr>
                    <w:t>达标</w:t>
                  </w:r>
                </w:p>
              </w:tc>
            </w:tr>
          </w:tbl>
          <w:p w14:paraId="2A4D5A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sz w:val="24"/>
                <w:highlight w:val="none"/>
              </w:rPr>
              <w:t>厂界达标分析：</w:t>
            </w:r>
            <w:r>
              <w:rPr>
                <w:rFonts w:hint="eastAsia" w:ascii="Times New Roman" w:hAnsi="Times New Roman" w:eastAsia="宋体" w:cs="Times New Roman"/>
                <w:color w:val="auto"/>
                <w:sz w:val="24"/>
                <w:highlight w:val="none"/>
                <w:lang w:val="en-US" w:eastAsia="zh-CN"/>
              </w:rPr>
              <w:t>项目不涉及夜间生产，</w:t>
            </w:r>
            <w:r>
              <w:rPr>
                <w:rFonts w:hint="default" w:ascii="Times New Roman" w:hAnsi="Times New Roman" w:eastAsia="宋体" w:cs="Times New Roman"/>
                <w:color w:val="auto"/>
                <w:sz w:val="24"/>
                <w:highlight w:val="none"/>
              </w:rPr>
              <w:t>根据表</w:t>
            </w:r>
            <w:r>
              <w:rPr>
                <w:rFonts w:hint="default" w:ascii="Times New Roman" w:hAnsi="Times New Roman" w:eastAsia="宋体" w:cs="Times New Roman"/>
                <w:color w:val="auto"/>
                <w:sz w:val="24"/>
                <w:highlight w:val="none"/>
                <w:lang w:val="en-US" w:eastAsia="zh-CN"/>
              </w:rPr>
              <w:t>4.</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预测结果表明，项目主要噪声源在采取有效的降噪措施前提下，项目厂界噪声均可满足</w:t>
            </w:r>
            <w:r>
              <w:rPr>
                <w:rFonts w:hint="default" w:ascii="Times New Roman" w:hAnsi="Times New Roman" w:eastAsia="宋体" w:cs="Times New Roman"/>
                <w:color w:val="auto"/>
                <w:kern w:val="0"/>
                <w:sz w:val="24"/>
                <w:szCs w:val="24"/>
                <w:highlight w:val="none"/>
                <w:lang w:val="en-US" w:eastAsia="zh-CN" w:bidi="ar"/>
              </w:rPr>
              <w:t>《工业企业厂界环境噪声排放标准》（GB12348-2008）中的</w:t>
            </w:r>
            <w:r>
              <w:rPr>
                <w:rFonts w:hint="eastAsia" w:cs="Times New Roman"/>
                <w:color w:val="auto"/>
                <w:kern w:val="0"/>
                <w:sz w:val="24"/>
                <w:szCs w:val="24"/>
                <w:highlight w:val="none"/>
                <w:lang w:val="en-US" w:eastAsia="zh-CN" w:bidi="ar"/>
              </w:rPr>
              <w:t>3</w:t>
            </w:r>
            <w:r>
              <w:rPr>
                <w:rFonts w:hint="default" w:ascii="Times New Roman" w:hAnsi="Times New Roman" w:eastAsia="宋体" w:cs="Times New Roman"/>
                <w:color w:val="auto"/>
                <w:kern w:val="0"/>
                <w:sz w:val="24"/>
                <w:szCs w:val="24"/>
                <w:highlight w:val="none"/>
                <w:lang w:val="en-US" w:eastAsia="zh-CN" w:bidi="ar"/>
              </w:rPr>
              <w:t>类标准，即昼间≤</w:t>
            </w:r>
            <w:r>
              <w:rPr>
                <w:rFonts w:hint="eastAsia" w:cs="Times New Roman"/>
                <w:color w:val="auto"/>
                <w:kern w:val="0"/>
                <w:sz w:val="24"/>
                <w:szCs w:val="24"/>
                <w:highlight w:val="none"/>
                <w:lang w:val="en-US" w:eastAsia="zh-CN" w:bidi="ar"/>
              </w:rPr>
              <w:t>65</w:t>
            </w:r>
            <w:r>
              <w:rPr>
                <w:rFonts w:hint="default" w:ascii="Times New Roman" w:hAnsi="Times New Roman" w:eastAsia="宋体" w:cs="Times New Roman"/>
                <w:color w:val="auto"/>
                <w:kern w:val="0"/>
                <w:sz w:val="24"/>
                <w:szCs w:val="24"/>
                <w:highlight w:val="none"/>
                <w:lang w:val="en-US" w:eastAsia="zh-CN" w:bidi="ar"/>
              </w:rPr>
              <w:t>dB</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A</w:t>
            </w:r>
            <w:r>
              <w:rPr>
                <w:rFonts w:hint="eastAsia" w:cs="Times New Roman"/>
                <w:color w:val="auto"/>
                <w:kern w:val="0"/>
                <w:sz w:val="24"/>
                <w:szCs w:val="24"/>
                <w:highlight w:val="none"/>
                <w:lang w:val="en-US" w:eastAsia="zh-CN" w:bidi="ar"/>
              </w:rPr>
              <w:t>），夜间</w:t>
            </w:r>
            <w:r>
              <w:rPr>
                <w:rFonts w:hint="default" w:ascii="Times New Roman" w:hAnsi="Times New Roman" w:eastAsia="宋体" w:cs="Times New Roman"/>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55</w:t>
            </w:r>
            <w:r>
              <w:rPr>
                <w:rFonts w:hint="default" w:ascii="Times New Roman" w:hAnsi="Times New Roman" w:eastAsia="宋体" w:cs="Times New Roman"/>
                <w:color w:val="auto"/>
                <w:kern w:val="0"/>
                <w:sz w:val="24"/>
                <w:szCs w:val="24"/>
                <w:highlight w:val="none"/>
                <w:lang w:val="en-US" w:eastAsia="zh-CN" w:bidi="ar"/>
              </w:rPr>
              <w:t>dB</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A</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w:t>
            </w:r>
          </w:p>
          <w:p w14:paraId="4D93FE4B">
            <w:pPr>
              <w:keepNext w:val="0"/>
              <w:keepLines w:val="0"/>
              <w:widowControl/>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auto"/>
                <w:kern w:val="0"/>
                <w:sz w:val="24"/>
                <w:szCs w:val="24"/>
                <w:lang w:val="zh-CN" w:eastAsia="zh-CN" w:bidi="ar-SA"/>
              </w:rPr>
            </w:pPr>
            <w:r>
              <w:rPr>
                <w:rFonts w:hint="eastAsia" w:ascii="Times New Roman" w:hAnsi="Times New Roman" w:eastAsia="宋体" w:cs="Times New Roman"/>
                <w:color w:val="auto"/>
                <w:sz w:val="24"/>
                <w:highlight w:val="none"/>
                <w:lang w:val="en-US" w:eastAsia="zh-CN"/>
              </w:rPr>
              <w:t>（6）</w:t>
            </w:r>
            <w:r>
              <w:rPr>
                <w:rFonts w:hint="eastAsia" w:ascii="Times New Roman" w:hAnsi="Times New Roman" w:eastAsia="宋体" w:cs="Times New Roman"/>
                <w:color w:val="auto"/>
                <w:kern w:val="0"/>
                <w:sz w:val="24"/>
                <w:szCs w:val="24"/>
                <w:lang w:val="zh-CN" w:eastAsia="zh-CN" w:bidi="ar-SA"/>
              </w:rPr>
              <w:t>敏感点噪声预测结果分析</w:t>
            </w:r>
          </w:p>
          <w:p w14:paraId="533746D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lang w:val="zh-CN"/>
              </w:rPr>
              <w:t>根据现场勘查，项目周边</w:t>
            </w:r>
            <w:r>
              <w:rPr>
                <w:rFonts w:hint="eastAsia" w:ascii="Times New Roman" w:hAnsi="Times New Roman" w:eastAsia="宋体" w:cs="Times New Roman"/>
                <w:color w:val="auto"/>
                <w:sz w:val="24"/>
              </w:rPr>
              <w:t>50m范围内无声环境保护目标</w:t>
            </w:r>
            <w:r>
              <w:rPr>
                <w:rFonts w:hint="eastAsia" w:ascii="Times New Roman" w:hAnsi="Times New Roman" w:eastAsia="宋体" w:cs="Times New Roman"/>
                <w:color w:val="auto"/>
                <w:sz w:val="24"/>
                <w:lang w:val="zh-CN"/>
              </w:rPr>
              <w:t>。</w:t>
            </w:r>
          </w:p>
          <w:p w14:paraId="4F07A87A">
            <w:pPr>
              <w:pStyle w:val="4"/>
              <w:suppressLineNumbers w:val="0"/>
              <w:bidi w:val="0"/>
              <w:spacing w:before="0" w:beforeAutospacing="0" w:after="0" w:afterAutospacing="0"/>
              <w:ind w:left="0" w:right="0"/>
              <w:rPr>
                <w:rFonts w:hint="default"/>
                <w:color w:val="auto"/>
                <w:szCs w:val="24"/>
                <w:highlight w:val="none"/>
                <w:lang w:val="en-US"/>
              </w:rPr>
            </w:pPr>
            <w:r>
              <w:rPr>
                <w:rFonts w:hint="default" w:ascii="Times New Roman" w:hAnsi="Times New Roman" w:eastAsia="宋体" w:cs="Times New Roman"/>
                <w:b/>
                <w:bCs/>
                <w:color w:val="auto"/>
                <w:kern w:val="0"/>
                <w:sz w:val="24"/>
                <w:highlight w:val="none"/>
              </w:rPr>
              <w:t>运营期噪声防治措施</w:t>
            </w:r>
            <w:r>
              <w:rPr>
                <w:rFonts w:hint="eastAsia" w:ascii="Times New Roman" w:hAnsi="Times New Roman" w:eastAsia="宋体" w:cs="Times New Roman"/>
                <w:b/>
                <w:bCs/>
                <w:color w:val="auto"/>
                <w:kern w:val="0"/>
                <w:sz w:val="28"/>
                <w:szCs w:val="28"/>
                <w:highlight w:val="none"/>
                <w:lang w:val="en-US" w:eastAsia="zh-CN" w:bidi="ar"/>
              </w:rPr>
              <w:t xml:space="preserve"> </w:t>
            </w:r>
          </w:p>
          <w:p w14:paraId="40BFDF32">
            <w:pPr>
              <w:keepNext w:val="0"/>
              <w:keepLines w:val="0"/>
              <w:suppressLineNumbers w:val="0"/>
              <w:bidi w:val="0"/>
              <w:spacing w:before="0" w:beforeAutospacing="0" w:after="0" w:afterAutospacing="0"/>
              <w:ind w:left="0" w:right="0"/>
              <w:rPr>
                <w:rFonts w:hint="eastAsia"/>
              </w:rPr>
            </w:pPr>
            <w:r>
              <w:rPr>
                <w:rFonts w:hint="eastAsia"/>
              </w:rPr>
              <w:t>为了确保厂界噪声达到《工业企业厂界环境噪声排放标准》</w:t>
            </w:r>
            <w:r>
              <w:rPr>
                <w:rFonts w:hint="eastAsia"/>
                <w:lang w:val="en-US" w:eastAsia="zh-CN"/>
              </w:rPr>
              <w:t>（</w:t>
            </w:r>
            <w:r>
              <w:rPr>
                <w:rFonts w:hint="eastAsia"/>
              </w:rPr>
              <w:t>GB 12348-2008</w:t>
            </w:r>
            <w:r>
              <w:rPr>
                <w:rFonts w:hint="eastAsia"/>
                <w:lang w:val="en-US" w:eastAsia="zh-CN"/>
              </w:rPr>
              <w:t>）</w:t>
            </w:r>
            <w:r>
              <w:rPr>
                <w:rFonts w:hint="eastAsia"/>
              </w:rPr>
              <w:t>中</w:t>
            </w:r>
            <w:r>
              <w:rPr>
                <w:rFonts w:hint="eastAsia"/>
                <w:lang w:val="en-US" w:eastAsia="zh-CN"/>
              </w:rPr>
              <w:t>3</w:t>
            </w:r>
            <w:r>
              <w:rPr>
                <w:rFonts w:hint="eastAsia"/>
              </w:rPr>
              <w:t>类标准，本报告建议采用以下降噪措施：</w:t>
            </w:r>
          </w:p>
          <w:p w14:paraId="385ECD0E">
            <w:pPr>
              <w:keepNext w:val="0"/>
              <w:keepLines w:val="0"/>
              <w:suppressLineNumbers w:val="0"/>
              <w:bidi w:val="0"/>
              <w:spacing w:before="0" w:beforeAutospacing="0" w:after="0" w:afterAutospacing="0"/>
              <w:ind w:left="0" w:right="0"/>
              <w:rPr>
                <w:rFonts w:hint="eastAsia"/>
              </w:rPr>
            </w:pPr>
            <w:r>
              <w:rPr>
                <w:rFonts w:hint="eastAsia"/>
              </w:rPr>
              <w:t>（1）项目选用低噪声生产设备，从源头上降低噪声源强。</w:t>
            </w:r>
          </w:p>
          <w:p w14:paraId="0EE3D69B">
            <w:pPr>
              <w:keepNext w:val="0"/>
              <w:keepLines w:val="0"/>
              <w:suppressLineNumbers w:val="0"/>
              <w:bidi w:val="0"/>
              <w:spacing w:before="0" w:beforeAutospacing="0" w:after="0" w:afterAutospacing="0"/>
              <w:ind w:left="0" w:right="0"/>
              <w:rPr>
                <w:rFonts w:hint="eastAsia"/>
              </w:rPr>
            </w:pPr>
            <w:r>
              <w:rPr>
                <w:rFonts w:hint="eastAsia"/>
              </w:rPr>
              <w:t>（2）加强车间内的噪声治理，对厂区高噪声设备采用隔声、消声、吸声、减振等有效措施，以有效降低车间噪声。</w:t>
            </w:r>
          </w:p>
          <w:p w14:paraId="4A71CBE5">
            <w:pPr>
              <w:keepNext w:val="0"/>
              <w:keepLines w:val="0"/>
              <w:suppressLineNumbers w:val="0"/>
              <w:bidi w:val="0"/>
              <w:spacing w:before="0" w:beforeAutospacing="0" w:after="0" w:afterAutospacing="0"/>
              <w:ind w:left="0" w:right="0"/>
              <w:rPr>
                <w:rFonts w:hint="eastAsia"/>
                <w:lang w:eastAsia="zh-CN"/>
              </w:rPr>
            </w:pPr>
            <w:r>
              <w:rPr>
                <w:rFonts w:hint="eastAsia"/>
              </w:rPr>
              <w:t>（3）加强对设备的管理和维护，在有关环保人员的统一管理下，定期检查、监测，发现噪声超标要及时治理并增加相关操作岗位工人的个体防护</w:t>
            </w:r>
            <w:r>
              <w:rPr>
                <w:rFonts w:hint="eastAsia"/>
                <w:lang w:eastAsia="zh-CN"/>
              </w:rPr>
              <w:t>。</w:t>
            </w:r>
          </w:p>
          <w:p w14:paraId="05D8D63D">
            <w:pPr>
              <w:keepNext w:val="0"/>
              <w:keepLines w:val="0"/>
              <w:suppressLineNumbers w:val="0"/>
              <w:bidi w:val="0"/>
              <w:spacing w:before="0" w:beforeAutospacing="0" w:after="0" w:afterAutospacing="0"/>
              <w:ind w:left="0" w:right="0"/>
              <w:rPr>
                <w:rFonts w:hint="eastAsia"/>
                <w:lang w:eastAsia="zh-CN"/>
              </w:rPr>
            </w:pPr>
            <w:r>
              <w:rPr>
                <w:rFonts w:hint="eastAsia"/>
              </w:rPr>
              <w:t>（</w:t>
            </w:r>
            <w:r>
              <w:rPr>
                <w:rFonts w:hint="eastAsia"/>
                <w:lang w:val="en-US" w:eastAsia="zh-CN"/>
              </w:rPr>
              <w:t>4</w:t>
            </w:r>
            <w:r>
              <w:rPr>
                <w:rFonts w:hint="eastAsia"/>
              </w:rPr>
              <w:t>）</w:t>
            </w:r>
            <w:r>
              <w:rPr>
                <w:rFonts w:hint="eastAsia"/>
                <w:lang w:eastAsia="zh-CN"/>
              </w:rPr>
              <w:t>车辆运输物料时，在靠近居民点等对声环境质量要求较高的地方，应减小车速，禁止或尽量少鸣喇叭。</w:t>
            </w:r>
          </w:p>
          <w:p w14:paraId="7A0A7BCA">
            <w:pPr>
              <w:keepNext w:val="0"/>
              <w:keepLines w:val="0"/>
              <w:suppressLineNumbers w:val="0"/>
              <w:bidi w:val="0"/>
              <w:spacing w:before="0" w:beforeAutospacing="0" w:after="0" w:afterAutospacing="0"/>
              <w:ind w:left="0" w:right="0"/>
              <w:rPr>
                <w:rFonts w:hint="eastAsia"/>
              </w:rPr>
            </w:pPr>
            <w:r>
              <w:rPr>
                <w:rFonts w:hint="eastAsia"/>
              </w:rPr>
              <w:t>通过以上降噪措施，有效降低设备噪声对厂界影响程度，确保厂界噪声符合《工业企业厂界环境噪声排放标准》</w:t>
            </w:r>
            <w:r>
              <w:rPr>
                <w:rFonts w:hint="eastAsia"/>
                <w:lang w:val="en-US" w:eastAsia="zh-CN"/>
              </w:rPr>
              <w:t>（</w:t>
            </w:r>
            <w:r>
              <w:rPr>
                <w:rFonts w:hint="eastAsia"/>
              </w:rPr>
              <w:t>GB12348-2008</w:t>
            </w:r>
            <w:r>
              <w:rPr>
                <w:rFonts w:hint="eastAsia"/>
                <w:lang w:val="en-US" w:eastAsia="zh-CN"/>
              </w:rPr>
              <w:t>）</w:t>
            </w:r>
            <w:r>
              <w:rPr>
                <w:rFonts w:hint="eastAsia"/>
              </w:rPr>
              <w:t>中的</w:t>
            </w:r>
            <w:r>
              <w:rPr>
                <w:rFonts w:hint="eastAsia"/>
                <w:lang w:val="en-US" w:eastAsia="zh-CN"/>
              </w:rPr>
              <w:t>3</w:t>
            </w:r>
            <w:r>
              <w:rPr>
                <w:rFonts w:hint="eastAsia"/>
              </w:rPr>
              <w:t>类标准</w:t>
            </w:r>
            <w:r>
              <w:rPr>
                <w:rFonts w:hint="eastAsia"/>
                <w:lang w:eastAsia="zh-CN"/>
              </w:rPr>
              <w:t>，</w:t>
            </w:r>
            <w:r>
              <w:rPr>
                <w:rFonts w:hint="eastAsia"/>
              </w:rPr>
              <w:t>措施可行。</w:t>
            </w:r>
          </w:p>
          <w:p w14:paraId="49E63C25">
            <w:pPr>
              <w:pStyle w:val="3"/>
              <w:keepNext w:val="0"/>
              <w:keepLines w:val="0"/>
              <w:suppressLineNumbers w:val="0"/>
              <w:bidi w:val="0"/>
              <w:spacing w:before="0" w:beforeAutospacing="0" w:after="0" w:afterAutospacing="0"/>
              <w:ind w:left="0" w:right="0"/>
              <w:rPr>
                <w:rFonts w:hint="default"/>
              </w:rPr>
            </w:pPr>
            <w:bookmarkStart w:id="32" w:name="_Toc3323"/>
            <w:bookmarkStart w:id="33" w:name="_Toc31957"/>
            <w:bookmarkStart w:id="34" w:name="_Toc19128"/>
            <w:r>
              <w:rPr>
                <w:rFonts w:hint="default"/>
              </w:rPr>
              <w:t>运营期固体废物影响分析和污染防治措施</w:t>
            </w:r>
            <w:bookmarkEnd w:id="32"/>
            <w:bookmarkEnd w:id="33"/>
            <w:bookmarkEnd w:id="34"/>
          </w:p>
          <w:p w14:paraId="75E6A07F">
            <w:pPr>
              <w:pStyle w:val="4"/>
              <w:suppressLineNumbers w:val="0"/>
              <w:bidi w:val="0"/>
              <w:spacing w:before="0" w:beforeAutospacing="0" w:after="0" w:afterAutospacing="0"/>
              <w:ind w:left="0" w:right="0"/>
              <w:rPr>
                <w:rFonts w:hint="eastAsia"/>
              </w:rPr>
            </w:pPr>
            <w:r>
              <w:rPr>
                <w:rFonts w:hint="default"/>
              </w:rPr>
              <w:t>运营期</w:t>
            </w:r>
            <w:r>
              <w:rPr>
                <w:rFonts w:hint="eastAsia"/>
                <w:lang w:val="en-US" w:eastAsia="zh-CN"/>
              </w:rPr>
              <w:t>固体</w:t>
            </w:r>
            <w:r>
              <w:rPr>
                <w:rFonts w:hint="default"/>
              </w:rPr>
              <w:t>废物源强核算</w:t>
            </w:r>
          </w:p>
          <w:p w14:paraId="3BB5E3F0">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bCs/>
                <w:color w:val="auto"/>
                <w:sz w:val="24"/>
                <w:highlight w:val="none"/>
              </w:rPr>
            </w:pPr>
            <w:r>
              <w:rPr>
                <w:rFonts w:hint="eastAsia" w:ascii="Times New Roman" w:hAnsi="Times New Roman" w:eastAsia="宋体" w:cs="Times New Roman"/>
                <w:bCs/>
                <w:color w:val="auto"/>
                <w:sz w:val="24"/>
                <w:highlight w:val="none"/>
                <w:lang w:val="en-US" w:eastAsia="zh-CN"/>
              </w:rPr>
              <w:t>本项目</w:t>
            </w:r>
            <w:r>
              <w:rPr>
                <w:rFonts w:hint="eastAsia" w:ascii="Times New Roman" w:hAnsi="Times New Roman" w:eastAsia="宋体" w:cs="Times New Roman"/>
                <w:bCs/>
                <w:color w:val="auto"/>
                <w:sz w:val="24"/>
                <w:highlight w:val="none"/>
              </w:rPr>
              <w:t>运营期</w:t>
            </w:r>
            <w:r>
              <w:rPr>
                <w:rFonts w:hint="eastAsia" w:ascii="Times New Roman" w:hAnsi="Times New Roman" w:eastAsia="宋体" w:cs="Times New Roman"/>
                <w:bCs/>
                <w:color w:val="auto"/>
                <w:sz w:val="24"/>
                <w:highlight w:val="none"/>
                <w:lang w:val="en-US" w:eastAsia="zh-CN"/>
              </w:rPr>
              <w:t>固体废物主要为不合格成品、废油性漆桶、废水性漆桶</w:t>
            </w:r>
            <w:r>
              <w:rPr>
                <w:rFonts w:hint="eastAsia"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bCs/>
                <w:color w:val="auto"/>
                <w:sz w:val="24"/>
                <w:highlight w:val="none"/>
                <w:lang w:val="en-US" w:eastAsia="zh-CN"/>
              </w:rPr>
              <w:t>废漆渣、水帘柜废液、</w:t>
            </w:r>
            <w:r>
              <w:rPr>
                <w:rFonts w:hint="eastAsia" w:ascii="Times New Roman" w:hAnsi="Times New Roman" w:eastAsia="宋体" w:cs="Times New Roman"/>
                <w:color w:val="auto"/>
                <w:kern w:val="2"/>
                <w:sz w:val="24"/>
                <w:szCs w:val="24"/>
                <w:lang w:val="en-US" w:eastAsia="zh-CN" w:bidi="ar-SA"/>
              </w:rPr>
              <w:t>废过滤棉、</w:t>
            </w:r>
            <w:r>
              <w:rPr>
                <w:rFonts w:hint="eastAsia" w:ascii="Times New Roman" w:hAnsi="Times New Roman" w:eastAsia="宋体" w:cs="Times New Roman"/>
                <w:bCs/>
                <w:color w:val="auto"/>
                <w:sz w:val="24"/>
                <w:highlight w:val="none"/>
                <w:lang w:val="en-US" w:eastAsia="zh-CN"/>
              </w:rPr>
              <w:t>废活性炭、废机油及</w:t>
            </w:r>
            <w:r>
              <w:rPr>
                <w:rFonts w:hint="eastAsia" w:ascii="Times New Roman" w:hAnsi="Times New Roman" w:eastAsia="宋体" w:cs="Times New Roman"/>
                <w:color w:val="auto"/>
                <w:kern w:val="2"/>
                <w:sz w:val="24"/>
                <w:szCs w:val="24"/>
                <w:lang w:val="en-US" w:eastAsia="zh-CN" w:bidi="ar-SA"/>
              </w:rPr>
              <w:t>生活垃圾</w:t>
            </w:r>
            <w:r>
              <w:rPr>
                <w:rFonts w:hint="eastAsia" w:ascii="Times New Roman" w:hAnsi="Times New Roman" w:eastAsia="宋体" w:cs="Times New Roman"/>
                <w:bCs/>
                <w:color w:val="auto"/>
                <w:sz w:val="24"/>
                <w:highlight w:val="none"/>
              </w:rPr>
              <w:t>。</w:t>
            </w:r>
          </w:p>
          <w:p w14:paraId="21AF37B6">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（1）一般工业固废</w:t>
            </w:r>
          </w:p>
          <w:p w14:paraId="7DD29059">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eastAsia="ja-JP"/>
              </w:rPr>
            </w:pPr>
            <w:r>
              <w:rPr>
                <w:rFonts w:hint="eastAsia" w:ascii="Times New Roman" w:hAnsi="Times New Roman" w:eastAsia="宋体" w:cs="Times New Roman"/>
                <w:bCs/>
                <w:color w:val="auto"/>
                <w:sz w:val="24"/>
                <w:highlight w:val="none"/>
              </w:rPr>
              <w:t>①</w:t>
            </w:r>
            <w:r>
              <w:rPr>
                <w:rFonts w:hint="eastAsia" w:ascii="Times New Roman" w:hAnsi="Times New Roman" w:eastAsia="宋体" w:cs="Times New Roman"/>
                <w:color w:val="auto"/>
                <w:kern w:val="2"/>
                <w:sz w:val="24"/>
                <w:szCs w:val="24"/>
                <w:lang w:val="en-US" w:eastAsia="zh-CN" w:bidi="ar-SA"/>
              </w:rPr>
              <w:t>不合格成品</w:t>
            </w:r>
          </w:p>
          <w:p w14:paraId="46BE372E">
            <w:pPr>
              <w:keepNext w:val="0"/>
              <w:keepLines w:val="0"/>
              <w:suppressLineNumbers w:val="0"/>
              <w:spacing w:before="0" w:beforeAutospacing="0" w:after="0" w:afterAutospacing="0" w:line="360" w:lineRule="auto"/>
              <w:ind w:left="0" w:right="0" w:firstLine="480" w:firstLineChars="200"/>
              <w:rPr>
                <w:rFonts w:hint="default"/>
                <w:color w:val="auto"/>
              </w:rPr>
            </w:pPr>
            <w:r>
              <w:rPr>
                <w:rFonts w:hint="eastAsia" w:ascii="Times New Roman" w:hAnsi="Times New Roman" w:eastAsia="宋体" w:cs="Times New Roman"/>
                <w:bCs/>
                <w:color w:val="auto"/>
                <w:sz w:val="24"/>
                <w:highlight w:val="none"/>
                <w:lang w:val="en-US" w:eastAsia="ja-JP"/>
              </w:rPr>
              <w:t>本项目</w:t>
            </w:r>
            <w:r>
              <w:rPr>
                <w:rFonts w:hint="eastAsia" w:ascii="Times New Roman" w:hAnsi="Times New Roman" w:eastAsia="宋体" w:cs="Times New Roman"/>
                <w:bCs/>
                <w:color w:val="auto"/>
                <w:sz w:val="24"/>
                <w:highlight w:val="none"/>
                <w:lang w:val="en-US" w:eastAsia="zh-CN"/>
              </w:rPr>
              <w:t>检验工序产生</w:t>
            </w:r>
            <w:r>
              <w:rPr>
                <w:rFonts w:hint="eastAsia" w:ascii="Times New Roman" w:hAnsi="Times New Roman" w:eastAsia="宋体" w:cs="Times New Roman"/>
                <w:bCs/>
                <w:color w:val="auto"/>
                <w:sz w:val="24"/>
                <w:szCs w:val="24"/>
                <w:highlight w:val="none"/>
                <w:lang w:val="en-US" w:eastAsia="zh-CN"/>
              </w:rPr>
              <w:t>不合格成品，根据建设单位提供的资料可知，不合格成品约为待加工件的3%，年产</w:t>
            </w:r>
            <w:r>
              <w:rPr>
                <w:rFonts w:hint="eastAsia"/>
                <w:color w:val="auto"/>
                <w:sz w:val="24"/>
                <w:szCs w:val="24"/>
                <w:lang w:val="en-US" w:eastAsia="zh-CN"/>
              </w:rPr>
              <w:t>铝合金不合格产品0.618万套，塑胶件不合格产品0.927万套，钣金件不合格产品0.309万套，</w:t>
            </w:r>
            <w:r>
              <w:rPr>
                <w:rFonts w:hint="eastAsia" w:ascii="Times New Roman" w:hAnsi="Times New Roman" w:eastAsia="宋体" w:cs="Times New Roman"/>
                <w:bCs/>
                <w:color w:val="auto"/>
                <w:sz w:val="24"/>
                <w:szCs w:val="24"/>
                <w:highlight w:val="none"/>
                <w:lang w:val="en-US" w:eastAsia="zh-CN"/>
              </w:rPr>
              <w:t>即不合格成品产生量为</w:t>
            </w:r>
            <w:r>
              <w:rPr>
                <w:rFonts w:hint="eastAsia" w:cs="Times New Roman"/>
                <w:bCs/>
                <w:color w:val="auto"/>
                <w:sz w:val="24"/>
                <w:szCs w:val="24"/>
                <w:highlight w:val="none"/>
                <w:lang w:val="en-US" w:eastAsia="zh-CN"/>
              </w:rPr>
              <w:t>1.854</w:t>
            </w:r>
            <w:r>
              <w:rPr>
                <w:rFonts w:hint="eastAsia" w:ascii="Times New Roman" w:hAnsi="Times New Roman" w:eastAsia="宋体" w:cs="Times New Roman"/>
                <w:bCs/>
                <w:color w:val="auto"/>
                <w:sz w:val="24"/>
                <w:szCs w:val="24"/>
                <w:highlight w:val="none"/>
                <w:lang w:val="en-US" w:eastAsia="zh-CN"/>
              </w:rPr>
              <w:t>万套/年，集中收集后退回待加工厂综合利用。</w:t>
            </w:r>
          </w:p>
          <w:p w14:paraId="1AD8A474">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bCs/>
                <w:color w:val="auto"/>
                <w:sz w:val="24"/>
                <w:highlight w:val="none"/>
              </w:rPr>
            </w:pPr>
            <w:r>
              <w:rPr>
                <w:rFonts w:hint="default" w:ascii="Times New Roman" w:hAnsi="Times New Roman" w:cs="Times New Roman"/>
                <w:color w:val="auto"/>
                <w:sz w:val="24"/>
                <w:highlight w:val="none"/>
              </w:rPr>
              <w:t>（2）危险废物</w:t>
            </w:r>
          </w:p>
          <w:p w14:paraId="298C88D5">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bCs/>
                <w:color w:val="auto"/>
                <w:sz w:val="24"/>
              </w:rPr>
            </w:pPr>
            <w:r>
              <w:rPr>
                <w:rFonts w:hint="eastAsia" w:ascii="Times New Roman" w:hAnsi="Times New Roman" w:eastAsia="宋体" w:cs="Times New Roman"/>
                <w:bCs/>
                <w:color w:val="auto"/>
                <w:sz w:val="24"/>
                <w:highlight w:val="none"/>
              </w:rPr>
              <w:t>①</w:t>
            </w:r>
            <w:r>
              <w:rPr>
                <w:rFonts w:hint="eastAsia" w:ascii="Times New Roman" w:hAnsi="Times New Roman" w:eastAsia="宋体" w:cs="Times New Roman"/>
                <w:bCs/>
                <w:color w:val="auto"/>
                <w:sz w:val="24"/>
                <w:highlight w:val="none"/>
                <w:lang w:val="en-US" w:eastAsia="zh-CN"/>
              </w:rPr>
              <w:t>水帘柜废液</w:t>
            </w:r>
          </w:p>
          <w:p w14:paraId="279BDA3E">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Cs/>
                <w:color w:val="auto"/>
                <w:sz w:val="24"/>
              </w:rPr>
            </w:pPr>
            <w:r>
              <w:rPr>
                <w:rFonts w:hint="eastAsia" w:ascii="Times New Roman" w:hAnsi="Times New Roman" w:eastAsia="宋体" w:cs="Times New Roman"/>
                <w:bCs/>
                <w:color w:val="auto"/>
                <w:sz w:val="24"/>
                <w:highlight w:val="none"/>
                <w:lang w:val="en-US" w:eastAsia="zh-CN"/>
              </w:rPr>
              <w:t>根据建设单位提供的资料可知，</w:t>
            </w:r>
            <w:r>
              <w:rPr>
                <w:rFonts w:hint="eastAsia" w:ascii="Times New Roman" w:hAnsi="Times New Roman" w:eastAsia="宋体" w:cs="Times New Roman"/>
                <w:bCs/>
                <w:color w:val="auto"/>
                <w:sz w:val="24"/>
                <w:highlight w:val="none"/>
                <w:lang w:eastAsia="ja-JP"/>
              </w:rPr>
              <w:t>项目水帘柜废液产生量约为</w:t>
            </w:r>
            <w:r>
              <w:rPr>
                <w:rFonts w:hint="eastAsia" w:cs="Times New Roman"/>
                <w:bCs/>
                <w:color w:val="auto"/>
                <w:sz w:val="24"/>
                <w:highlight w:val="none"/>
                <w:lang w:val="en-US" w:eastAsia="zh-CN"/>
              </w:rPr>
              <w:t>0.45</w:t>
            </w:r>
            <w:r>
              <w:rPr>
                <w:rFonts w:hint="eastAsia" w:ascii="Times New Roman" w:hAnsi="Times New Roman" w:eastAsia="宋体" w:cs="Times New Roman"/>
                <w:bCs/>
                <w:color w:val="auto"/>
                <w:sz w:val="24"/>
                <w:highlight w:val="none"/>
                <w:lang w:eastAsia="ja-JP"/>
              </w:rPr>
              <w:t>t/a，根据</w:t>
            </w:r>
            <w:r>
              <w:rPr>
                <w:rFonts w:hint="eastAsia" w:cs="宋体"/>
                <w:color w:val="auto"/>
              </w:rPr>
              <w:t>《国家危险废物名录》（2025年版）</w:t>
            </w:r>
            <w:r>
              <w:rPr>
                <w:rFonts w:hint="eastAsia" w:cs="宋体"/>
                <w:color w:val="auto"/>
                <w:lang w:eastAsia="zh-CN"/>
              </w:rPr>
              <w:t>，</w:t>
            </w:r>
            <w:r>
              <w:rPr>
                <w:rFonts w:hint="eastAsia" w:cs="宋体"/>
                <w:color w:val="auto"/>
                <w:lang w:val="en-US" w:eastAsia="zh-CN"/>
              </w:rPr>
              <w:t>水帘柜废液属于</w:t>
            </w:r>
            <w:r>
              <w:rPr>
                <w:rFonts w:hint="eastAsia" w:cs="宋体"/>
                <w:color w:val="auto"/>
              </w:rPr>
              <w:t>HW12染料、涂料废物</w:t>
            </w:r>
            <w:r>
              <w:rPr>
                <w:rFonts w:hint="eastAsia" w:ascii="Times New Roman" w:hAnsi="Times New Roman" w:eastAsia="宋体" w:cs="Times New Roman"/>
                <w:bCs/>
                <w:color w:val="auto"/>
                <w:sz w:val="24"/>
                <w:highlight w:val="none"/>
                <w:lang w:eastAsia="ja-JP"/>
              </w:rPr>
              <w:t>，废物代码：900-252-12</w:t>
            </w:r>
            <w:r>
              <w:rPr>
                <w:rFonts w:hint="eastAsia" w:cs="Times New Roman"/>
                <w:bCs/>
                <w:color w:val="auto"/>
                <w:sz w:val="24"/>
                <w:highlight w:val="none"/>
                <w:lang w:val="en-US" w:eastAsia="zh-CN"/>
              </w:rPr>
              <w:t xml:space="preserve"> 使用油漆（不包括水性漆）、有机溶剂进行喷漆、上漆过程中通过喷漆雾湿法捕集产生的漆渣，以及喷涂工位和管道清理过程中产生的落地漆渣</w:t>
            </w:r>
            <w:r>
              <w:rPr>
                <w:rFonts w:hint="eastAsia" w:ascii="Times New Roman" w:hAnsi="Times New Roman" w:eastAsia="宋体" w:cs="Times New Roman"/>
                <w:bCs/>
                <w:color w:val="auto"/>
                <w:sz w:val="24"/>
                <w:highlight w:val="none"/>
                <w:lang w:eastAsia="ja-JP"/>
              </w:rPr>
              <w:t>，水帘柜废液</w:t>
            </w:r>
            <w:r>
              <w:rPr>
                <w:rFonts w:hint="default" w:ascii="Times New Roman" w:hAnsi="Times New Roman" w:eastAsia="宋体" w:cs="Times New Roman"/>
                <w:color w:val="auto"/>
                <w:kern w:val="0"/>
                <w:sz w:val="24"/>
                <w:szCs w:val="24"/>
                <w:highlight w:val="none"/>
                <w:lang w:val="en-US" w:eastAsia="zh-CN" w:bidi="ar"/>
              </w:rPr>
              <w:t>妥善收集后</w:t>
            </w:r>
            <w:r>
              <w:rPr>
                <w:rFonts w:hint="eastAsia" w:ascii="Times New Roman" w:hAnsi="Times New Roman" w:eastAsia="宋体" w:cs="Times New Roman"/>
                <w:bCs/>
                <w:color w:val="auto"/>
                <w:sz w:val="24"/>
              </w:rPr>
              <w:t>暂存于</w:t>
            </w:r>
            <w:r>
              <w:rPr>
                <w:rFonts w:hint="eastAsia" w:cs="Times New Roman"/>
                <w:bCs/>
                <w:color w:val="auto"/>
                <w:sz w:val="24"/>
                <w:lang w:eastAsia="zh-CN"/>
              </w:rPr>
              <w:t>危废贮存库</w:t>
            </w:r>
            <w:r>
              <w:rPr>
                <w:rFonts w:hint="eastAsia" w:ascii="Times New Roman" w:hAnsi="Times New Roman" w:eastAsia="宋体" w:cs="Times New Roman"/>
                <w:bCs/>
                <w:color w:val="auto"/>
                <w:sz w:val="24"/>
              </w:rPr>
              <w:t>，定期委托有资质单位处置。</w:t>
            </w:r>
          </w:p>
          <w:p w14:paraId="459D2FA5">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eastAsia="ja-JP"/>
              </w:rPr>
              <w:t>②</w:t>
            </w:r>
            <w:r>
              <w:rPr>
                <w:rFonts w:hint="eastAsia" w:ascii="Times New Roman" w:hAnsi="Times New Roman" w:eastAsia="宋体" w:cs="Times New Roman"/>
                <w:bCs/>
                <w:color w:val="auto"/>
                <w:sz w:val="24"/>
                <w:highlight w:val="none"/>
                <w:lang w:val="en-US" w:eastAsia="zh-CN"/>
              </w:rPr>
              <w:t>废漆渣</w:t>
            </w:r>
          </w:p>
          <w:p w14:paraId="1BA42447">
            <w:pPr>
              <w:keepNext w:val="0"/>
              <w:keepLines w:val="0"/>
              <w:suppressLineNumbers w:val="0"/>
              <w:bidi w:val="0"/>
              <w:spacing w:before="0" w:beforeAutospacing="0" w:after="0" w:afterAutospacing="0"/>
              <w:ind w:left="0" w:right="0"/>
              <w:rPr>
                <w:rFonts w:hint="eastAsia"/>
                <w:lang w:val="en-US" w:eastAsia="ja-JP"/>
              </w:rPr>
            </w:pPr>
            <w:r>
              <w:rPr>
                <w:rFonts w:hint="eastAsia"/>
                <w:color w:val="auto"/>
                <w:highlight w:val="none"/>
              </w:rPr>
              <w:t>本项目漆渣主要为水帘柜循环池沉淀的漆渣，喷漆工序漆雾产生量为0.</w:t>
            </w:r>
            <w:r>
              <w:rPr>
                <w:rFonts w:hint="eastAsia"/>
                <w:color w:val="auto"/>
                <w:highlight w:val="none"/>
                <w:lang w:val="en-US" w:eastAsia="zh-CN"/>
              </w:rPr>
              <w:t>8622</w:t>
            </w:r>
            <w:r>
              <w:rPr>
                <w:rFonts w:hint="eastAsia"/>
                <w:color w:val="auto"/>
                <w:highlight w:val="none"/>
              </w:rPr>
              <w:t>t/a，水帘柜处理效率为80%，则漆渣产生量为</w:t>
            </w:r>
            <w:r>
              <w:rPr>
                <w:rFonts w:hint="eastAsia"/>
                <w:color w:val="auto"/>
                <w:highlight w:val="none"/>
                <w:lang w:val="en-US" w:eastAsia="zh-CN"/>
              </w:rPr>
              <w:t>0.8622</w:t>
            </w:r>
            <w:r>
              <w:rPr>
                <w:rFonts w:hint="eastAsia"/>
                <w:color w:val="auto"/>
                <w:highlight w:val="none"/>
              </w:rPr>
              <w:t>×0.8≈</w:t>
            </w:r>
            <w:r>
              <w:rPr>
                <w:rFonts w:hint="eastAsia"/>
                <w:color w:val="auto"/>
                <w:highlight w:val="none"/>
                <w:lang w:val="en-US" w:eastAsia="zh-CN"/>
              </w:rPr>
              <w:t>0.69</w:t>
            </w:r>
            <w:r>
              <w:rPr>
                <w:rFonts w:hint="eastAsia"/>
                <w:color w:val="auto"/>
                <w:highlight w:val="none"/>
              </w:rPr>
              <w:t>t/a，属</w:t>
            </w:r>
            <w:r>
              <w:rPr>
                <w:rFonts w:hint="eastAsia"/>
              </w:rPr>
              <w:t>于《国家危险废物名录》（2025年版）中的HW12染料、涂料废物，代码为900-252-12的危险废物，需定期交由有危险废物处理资质的单位外运处理。</w:t>
            </w:r>
          </w:p>
          <w:p w14:paraId="08F9B441">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eastAsia="ja-JP"/>
              </w:rPr>
              <w:t>③</w:t>
            </w:r>
            <w:r>
              <w:rPr>
                <w:rFonts w:hint="eastAsia" w:ascii="Times New Roman" w:hAnsi="Times New Roman" w:eastAsia="宋体" w:cs="Times New Roman"/>
                <w:bCs/>
                <w:color w:val="auto"/>
                <w:sz w:val="24"/>
                <w:highlight w:val="none"/>
                <w:lang w:val="en-US" w:eastAsia="zh-CN"/>
              </w:rPr>
              <w:t>废水性漆桶</w:t>
            </w:r>
          </w:p>
          <w:p w14:paraId="77A53164">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kern w:val="2"/>
                <w:sz w:val="24"/>
                <w:szCs w:val="24"/>
                <w:highlight w:val="none"/>
                <w:lang w:val="en-US" w:eastAsia="zh-CN" w:bidi="ar-SA"/>
              </w:rPr>
              <w:t>项目喷漆工序使用的漆料由外部供应商供应，采用普通漆桶封装，到场后</w:t>
            </w:r>
            <w:r>
              <w:rPr>
                <w:rFonts w:hint="eastAsia" w:cs="Times New Roman"/>
                <w:bCs/>
                <w:color w:val="auto"/>
                <w:kern w:val="2"/>
                <w:sz w:val="24"/>
                <w:szCs w:val="24"/>
                <w:highlight w:val="none"/>
                <w:lang w:val="en-US" w:eastAsia="zh-CN" w:bidi="ar-SA"/>
              </w:rPr>
              <w:t>再进</w:t>
            </w:r>
            <w:r>
              <w:rPr>
                <w:rFonts w:hint="eastAsia" w:ascii="Times New Roman" w:hAnsi="Times New Roman" w:eastAsia="宋体" w:cs="Times New Roman"/>
                <w:bCs/>
                <w:color w:val="auto"/>
                <w:kern w:val="2"/>
                <w:sz w:val="24"/>
                <w:szCs w:val="24"/>
                <w:highlight w:val="none"/>
                <w:lang w:val="en-US" w:eastAsia="zh-CN" w:bidi="ar-SA"/>
              </w:rPr>
              <w:t>行拆封使用，因此会产生一定量的废原料桶。参考普通漆桶的规格，漆桶皮重一般为漆使用量的0.5%～1%，本次评价按1%估算，本项目使用水性漆漆料</w:t>
            </w:r>
            <w:r>
              <w:rPr>
                <w:rFonts w:hint="eastAsia" w:cs="Times New Roman"/>
                <w:bCs/>
                <w:color w:val="auto"/>
                <w:kern w:val="2"/>
                <w:sz w:val="24"/>
                <w:szCs w:val="24"/>
                <w:highlight w:val="none"/>
                <w:lang w:val="en-US" w:eastAsia="zh-CN" w:bidi="ar-SA"/>
              </w:rPr>
              <w:t>1</w:t>
            </w:r>
            <w:r>
              <w:rPr>
                <w:rFonts w:hint="eastAsia" w:ascii="Times New Roman" w:hAnsi="Times New Roman" w:eastAsia="宋体" w:cs="Times New Roman"/>
                <w:bCs/>
                <w:color w:val="auto"/>
                <w:kern w:val="2"/>
                <w:sz w:val="24"/>
                <w:szCs w:val="24"/>
                <w:highlight w:val="none"/>
                <w:lang w:val="en-US" w:eastAsia="zh-CN" w:bidi="ar-SA"/>
              </w:rPr>
              <w:t>t/a，则废</w:t>
            </w:r>
            <w:r>
              <w:rPr>
                <w:rFonts w:hint="eastAsia" w:ascii="Times New Roman" w:hAnsi="Times New Roman" w:eastAsia="宋体" w:cs="Times New Roman"/>
                <w:bCs/>
                <w:color w:val="auto"/>
                <w:sz w:val="24"/>
                <w:highlight w:val="none"/>
                <w:lang w:val="en-US" w:eastAsia="zh-CN"/>
              </w:rPr>
              <w:t>油</w:t>
            </w:r>
            <w:r>
              <w:rPr>
                <w:rFonts w:hint="eastAsia" w:ascii="Times New Roman" w:hAnsi="Times New Roman" w:eastAsia="宋体" w:cs="Times New Roman"/>
                <w:bCs/>
                <w:color w:val="auto"/>
                <w:kern w:val="2"/>
                <w:sz w:val="24"/>
                <w:szCs w:val="24"/>
                <w:highlight w:val="none"/>
                <w:lang w:val="en-US" w:eastAsia="zh-CN" w:bidi="ar-SA"/>
              </w:rPr>
              <w:t>漆桶产生量为</w:t>
            </w:r>
            <w:r>
              <w:rPr>
                <w:rFonts w:hint="eastAsia" w:cs="Times New Roman"/>
                <w:bCs/>
                <w:color w:val="auto"/>
                <w:kern w:val="2"/>
                <w:sz w:val="24"/>
                <w:szCs w:val="24"/>
                <w:highlight w:val="none"/>
                <w:lang w:val="en-US" w:eastAsia="zh-CN" w:bidi="ar-SA"/>
              </w:rPr>
              <w:t>0.01</w:t>
            </w:r>
            <w:r>
              <w:rPr>
                <w:rFonts w:hint="eastAsia" w:ascii="Times New Roman" w:hAnsi="Times New Roman" w:eastAsia="宋体" w:cs="Times New Roman"/>
                <w:bCs/>
                <w:color w:val="auto"/>
                <w:kern w:val="2"/>
                <w:sz w:val="24"/>
                <w:szCs w:val="24"/>
                <w:highlight w:val="none"/>
                <w:lang w:val="en-US" w:eastAsia="zh-CN" w:bidi="ar-SA"/>
              </w:rPr>
              <w:t>t/a。</w:t>
            </w:r>
            <w:r>
              <w:rPr>
                <w:rFonts w:hint="default" w:ascii="Times New Roman" w:hAnsi="Times New Roman" w:eastAsia="宋体" w:cs="Times New Roman"/>
                <w:bCs/>
                <w:color w:val="auto"/>
                <w:sz w:val="24"/>
                <w:lang w:val="en-US" w:eastAsia="zh-CN"/>
              </w:rPr>
              <w:t>根据《固体废物鉴别标准通则》（GB34330-2017），本项目水性</w:t>
            </w:r>
            <w:r>
              <w:rPr>
                <w:rFonts w:hint="eastAsia" w:ascii="Times New Roman" w:hAnsi="Times New Roman" w:eastAsia="宋体" w:cs="Times New Roman"/>
                <w:bCs/>
                <w:color w:val="auto"/>
                <w:sz w:val="24"/>
                <w:lang w:val="en-US" w:eastAsia="zh-CN"/>
              </w:rPr>
              <w:t>漆</w:t>
            </w:r>
            <w:r>
              <w:rPr>
                <w:rFonts w:hint="default" w:ascii="Times New Roman" w:hAnsi="Times New Roman" w:eastAsia="宋体" w:cs="Times New Roman"/>
                <w:bCs/>
                <w:color w:val="auto"/>
                <w:sz w:val="24"/>
                <w:lang w:val="en-US" w:eastAsia="zh-CN"/>
              </w:rPr>
              <w:t>包装桶不需要修复和加工即可用于原始用途，可不作为固体废物管理，但为控制回收过程中可能发生的环境风险，应当按照危险废物管理。为控制回收过程中可能发生的环境风险，废弃空桶在收集、储存过</w:t>
            </w:r>
            <w:r>
              <w:rPr>
                <w:rFonts w:hint="eastAsia" w:cs="Times New Roman"/>
                <w:bCs/>
                <w:color w:val="auto"/>
                <w:sz w:val="24"/>
                <w:lang w:val="en-US" w:eastAsia="zh-CN"/>
              </w:rPr>
              <w:t>程中</w:t>
            </w:r>
            <w:r>
              <w:rPr>
                <w:rFonts w:hint="default" w:ascii="Times New Roman" w:hAnsi="Times New Roman" w:eastAsia="宋体" w:cs="Times New Roman"/>
                <w:bCs/>
                <w:color w:val="auto"/>
                <w:sz w:val="24"/>
                <w:lang w:val="en-US" w:eastAsia="zh-CN"/>
              </w:rPr>
              <w:t>应参照危险废物管理</w:t>
            </w:r>
            <w:r>
              <w:rPr>
                <w:rFonts w:hint="eastAsia" w:cs="Times New Roman"/>
                <w:bCs/>
                <w:color w:val="auto"/>
                <w:sz w:val="24"/>
                <w:lang w:val="en-US" w:eastAsia="zh-CN"/>
              </w:rPr>
              <w:t>，参照</w:t>
            </w:r>
            <w:r>
              <w:rPr>
                <w:rFonts w:hint="eastAsia"/>
              </w:rPr>
              <w:t>《国家危险废物名录》（2025年版）</w:t>
            </w:r>
            <w:r>
              <w:rPr>
                <w:rFonts w:hint="eastAsia"/>
                <w:lang w:val="en-US" w:eastAsia="zh-CN"/>
              </w:rPr>
              <w:t>中的</w:t>
            </w:r>
            <w:r>
              <w:rPr>
                <w:rFonts w:hint="eastAsia" w:ascii="Times New Roman" w:hAnsi="Times New Roman" w:eastAsia="宋体" w:cs="Times New Roman"/>
                <w:bCs/>
                <w:color w:val="auto"/>
                <w:kern w:val="2"/>
                <w:sz w:val="24"/>
                <w:szCs w:val="24"/>
                <w:highlight w:val="none"/>
                <w:lang w:val="en-US" w:eastAsia="zh-CN" w:bidi="ar-SA"/>
              </w:rPr>
              <w:t>HW49 其他废物，废物代码900-041-49</w:t>
            </w:r>
            <w:r>
              <w:rPr>
                <w:rFonts w:hint="eastAsia" w:cs="Times New Roman"/>
                <w:bCs/>
                <w:color w:val="auto"/>
                <w:kern w:val="2"/>
                <w:sz w:val="24"/>
                <w:szCs w:val="24"/>
                <w:highlight w:val="none"/>
                <w:lang w:val="en-US" w:eastAsia="zh-CN" w:bidi="ar-SA"/>
              </w:rPr>
              <w:t xml:space="preserve"> 含有或者沾染毒性、感染性危险废物的废弃的包装物、容器、过滤吸附介质，</w:t>
            </w:r>
            <w:r>
              <w:rPr>
                <w:rFonts w:hint="eastAsia" w:ascii="Times New Roman" w:hAnsi="Times New Roman" w:eastAsia="宋体" w:cs="Times New Roman"/>
                <w:bCs/>
                <w:color w:val="auto"/>
                <w:sz w:val="24"/>
                <w:lang w:val="en-US" w:eastAsia="zh-CN"/>
              </w:rPr>
              <w:t>设置</w:t>
            </w:r>
            <w:r>
              <w:rPr>
                <w:rFonts w:hint="eastAsia" w:cs="Times New Roman"/>
                <w:bCs/>
                <w:color w:val="auto"/>
                <w:sz w:val="24"/>
                <w:lang w:val="en-US" w:eastAsia="zh-CN"/>
              </w:rPr>
              <w:t>危废贮存库</w:t>
            </w:r>
            <w:r>
              <w:rPr>
                <w:rFonts w:hint="default" w:ascii="Times New Roman" w:hAnsi="Times New Roman" w:eastAsia="宋体" w:cs="Times New Roman"/>
                <w:bCs/>
                <w:color w:val="auto"/>
                <w:sz w:val="24"/>
                <w:lang w:val="en-US" w:eastAsia="zh-CN"/>
              </w:rPr>
              <w:t>暂存后委托有资质单位处置。</w:t>
            </w:r>
          </w:p>
          <w:p w14:paraId="788CA2E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rPr>
              <w:t>④</w:t>
            </w:r>
            <w:r>
              <w:rPr>
                <w:rFonts w:hint="eastAsia" w:ascii="Times New Roman" w:hAnsi="Times New Roman" w:eastAsia="宋体" w:cs="Times New Roman"/>
                <w:bCs/>
                <w:color w:val="auto"/>
                <w:sz w:val="24"/>
                <w:highlight w:val="none"/>
                <w:lang w:val="en-US" w:eastAsia="zh-CN"/>
              </w:rPr>
              <w:t>废油性漆桶</w:t>
            </w:r>
          </w:p>
          <w:p w14:paraId="0B8B9776">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bCs/>
                <w:color w:val="auto"/>
                <w:sz w:val="24"/>
              </w:rPr>
            </w:pPr>
            <w:r>
              <w:rPr>
                <w:rFonts w:hint="eastAsia" w:ascii="Times New Roman" w:hAnsi="Times New Roman" w:eastAsia="宋体" w:cs="Times New Roman"/>
                <w:bCs/>
                <w:color w:val="auto"/>
                <w:kern w:val="2"/>
                <w:sz w:val="24"/>
                <w:szCs w:val="24"/>
                <w:highlight w:val="none"/>
                <w:lang w:val="en-US" w:eastAsia="zh-CN" w:bidi="ar-SA"/>
              </w:rPr>
              <w:t>项目喷漆工序使用的漆料由外部供应商供应，采用普通漆桶封装，到场后</w:t>
            </w:r>
            <w:r>
              <w:rPr>
                <w:rFonts w:hint="eastAsia" w:cs="Times New Roman"/>
                <w:bCs/>
                <w:color w:val="auto"/>
                <w:kern w:val="2"/>
                <w:sz w:val="24"/>
                <w:szCs w:val="24"/>
                <w:highlight w:val="none"/>
                <w:lang w:val="en-US" w:eastAsia="zh-CN" w:bidi="ar-SA"/>
              </w:rPr>
              <w:t>再进</w:t>
            </w:r>
            <w:r>
              <w:rPr>
                <w:rFonts w:hint="eastAsia" w:ascii="Times New Roman" w:hAnsi="Times New Roman" w:eastAsia="宋体" w:cs="Times New Roman"/>
                <w:bCs/>
                <w:color w:val="auto"/>
                <w:kern w:val="2"/>
                <w:sz w:val="24"/>
                <w:szCs w:val="24"/>
                <w:highlight w:val="none"/>
                <w:lang w:val="en-US" w:eastAsia="zh-CN" w:bidi="ar-SA"/>
              </w:rPr>
              <w:t>行拆封使用，会产生一定量的废原料桶。参考普通漆桶的规格，漆桶皮重一般为漆使用量的0.5%～1%，本次评价按1%估算，本项目使用油性漆料共</w:t>
            </w:r>
            <w:r>
              <w:rPr>
                <w:rFonts w:hint="eastAsia" w:cs="Times New Roman"/>
                <w:bCs/>
                <w:color w:val="auto"/>
                <w:kern w:val="2"/>
                <w:sz w:val="24"/>
                <w:szCs w:val="24"/>
                <w:highlight w:val="none"/>
                <w:lang w:val="en-US" w:eastAsia="zh-CN" w:bidi="ar-SA"/>
              </w:rPr>
              <w:t>4</w:t>
            </w:r>
            <w:r>
              <w:rPr>
                <w:rFonts w:hint="eastAsia" w:ascii="Times New Roman" w:hAnsi="Times New Roman" w:eastAsia="宋体" w:cs="Times New Roman"/>
                <w:bCs/>
                <w:color w:val="auto"/>
                <w:kern w:val="2"/>
                <w:sz w:val="24"/>
                <w:szCs w:val="24"/>
                <w:highlight w:val="none"/>
                <w:lang w:val="en-US" w:eastAsia="zh-CN" w:bidi="ar-SA"/>
              </w:rPr>
              <w:t>t/a，则废</w:t>
            </w:r>
            <w:r>
              <w:rPr>
                <w:rFonts w:hint="eastAsia" w:ascii="Times New Roman" w:hAnsi="Times New Roman" w:eastAsia="宋体" w:cs="Times New Roman"/>
                <w:bCs/>
                <w:color w:val="auto"/>
                <w:sz w:val="24"/>
                <w:highlight w:val="none"/>
                <w:lang w:val="en-US" w:eastAsia="zh-CN"/>
              </w:rPr>
              <w:t>油</w:t>
            </w:r>
            <w:r>
              <w:rPr>
                <w:rFonts w:hint="eastAsia" w:ascii="Times New Roman" w:hAnsi="Times New Roman" w:eastAsia="宋体" w:cs="Times New Roman"/>
                <w:bCs/>
                <w:color w:val="auto"/>
                <w:kern w:val="2"/>
                <w:sz w:val="24"/>
                <w:szCs w:val="24"/>
                <w:highlight w:val="none"/>
                <w:lang w:val="en-US" w:eastAsia="zh-CN" w:bidi="ar-SA"/>
              </w:rPr>
              <w:t>漆桶产生量为0.0</w:t>
            </w:r>
            <w:r>
              <w:rPr>
                <w:rFonts w:hint="eastAsia" w:cs="Times New Roman"/>
                <w:bCs/>
                <w:color w:val="auto"/>
                <w:kern w:val="2"/>
                <w:sz w:val="24"/>
                <w:szCs w:val="24"/>
                <w:highlight w:val="none"/>
                <w:lang w:val="en-US" w:eastAsia="zh-CN" w:bidi="ar-SA"/>
              </w:rPr>
              <w:t>4</w:t>
            </w:r>
            <w:r>
              <w:rPr>
                <w:rFonts w:hint="eastAsia" w:ascii="Times New Roman" w:hAnsi="Times New Roman" w:eastAsia="宋体" w:cs="Times New Roman"/>
                <w:bCs/>
                <w:color w:val="auto"/>
                <w:kern w:val="2"/>
                <w:sz w:val="24"/>
                <w:szCs w:val="24"/>
                <w:highlight w:val="none"/>
                <w:lang w:val="en-US" w:eastAsia="zh-CN" w:bidi="ar-SA"/>
              </w:rPr>
              <w:t>t/a；</w:t>
            </w:r>
            <w:r>
              <w:rPr>
                <w:rFonts w:hint="eastAsia" w:ascii="Times New Roman" w:hAnsi="Times New Roman" w:eastAsia="宋体" w:cs="Times New Roman"/>
                <w:bCs/>
                <w:color w:val="auto"/>
                <w:sz w:val="24"/>
                <w:highlight w:val="none"/>
                <w:lang w:val="en-US" w:eastAsia="zh-CN"/>
              </w:rPr>
              <w:t>废油性漆桶</w:t>
            </w:r>
            <w:r>
              <w:rPr>
                <w:rFonts w:hint="eastAsia" w:ascii="Times New Roman" w:hAnsi="Times New Roman" w:eastAsia="宋体" w:cs="Times New Roman"/>
                <w:bCs/>
                <w:color w:val="auto"/>
                <w:kern w:val="2"/>
                <w:sz w:val="24"/>
                <w:szCs w:val="24"/>
                <w:highlight w:val="none"/>
                <w:lang w:val="en-US" w:eastAsia="zh-CN" w:bidi="ar-SA"/>
              </w:rPr>
              <w:t>属于危险废物，</w:t>
            </w:r>
            <w:r>
              <w:rPr>
                <w:rFonts w:hint="eastAsia"/>
                <w:color w:val="auto"/>
                <w:highlight w:val="none"/>
              </w:rPr>
              <w:t>属</w:t>
            </w:r>
            <w:r>
              <w:rPr>
                <w:rFonts w:hint="eastAsia"/>
              </w:rPr>
              <w:t>于《国家危险废物名录》（2025年版）中的</w:t>
            </w:r>
            <w:r>
              <w:rPr>
                <w:rFonts w:hint="eastAsia" w:ascii="Times New Roman" w:hAnsi="Times New Roman" w:eastAsia="宋体" w:cs="Times New Roman"/>
                <w:bCs/>
                <w:color w:val="auto"/>
                <w:kern w:val="2"/>
                <w:sz w:val="24"/>
                <w:szCs w:val="24"/>
                <w:highlight w:val="none"/>
                <w:lang w:val="en-US" w:eastAsia="zh-CN" w:bidi="ar-SA"/>
              </w:rPr>
              <w:t>HW49 其他废物，废物代码900-041-49</w:t>
            </w:r>
            <w:r>
              <w:rPr>
                <w:rFonts w:hint="eastAsia" w:cs="Times New Roman"/>
                <w:bCs/>
                <w:color w:val="auto"/>
                <w:kern w:val="2"/>
                <w:sz w:val="24"/>
                <w:szCs w:val="24"/>
                <w:highlight w:val="none"/>
                <w:lang w:val="en-US" w:eastAsia="zh-CN" w:bidi="ar-SA"/>
              </w:rPr>
              <w:t xml:space="preserve"> 含有或者沾染毒性、感染性危险废物的废弃的包装物、容器、过滤吸附介质</w:t>
            </w:r>
            <w:r>
              <w:rPr>
                <w:rFonts w:hint="eastAsia" w:ascii="Times New Roman" w:hAnsi="Times New Roman" w:eastAsia="宋体" w:cs="Times New Roman"/>
                <w:bCs/>
                <w:color w:val="auto"/>
                <w:kern w:val="2"/>
                <w:sz w:val="24"/>
                <w:szCs w:val="24"/>
                <w:highlight w:val="none"/>
                <w:lang w:val="en-US" w:eastAsia="zh-CN" w:bidi="ar-SA"/>
              </w:rPr>
              <w:t>。</w:t>
            </w:r>
            <w:r>
              <w:rPr>
                <w:rFonts w:hint="eastAsia" w:ascii="Times New Roman" w:hAnsi="Times New Roman" w:eastAsia="宋体" w:cs="Times New Roman"/>
                <w:bCs/>
                <w:color w:val="auto"/>
                <w:sz w:val="24"/>
                <w:highlight w:val="none"/>
                <w:lang w:val="en-US" w:eastAsia="zh-CN"/>
              </w:rPr>
              <w:t>废油性漆桶</w:t>
            </w:r>
            <w:r>
              <w:rPr>
                <w:rFonts w:hint="default" w:ascii="Times New Roman" w:hAnsi="Times New Roman" w:eastAsia="宋体" w:cs="Times New Roman"/>
                <w:color w:val="auto"/>
                <w:kern w:val="0"/>
                <w:sz w:val="24"/>
                <w:szCs w:val="24"/>
                <w:highlight w:val="none"/>
                <w:lang w:val="en-US" w:eastAsia="zh-CN" w:bidi="ar"/>
              </w:rPr>
              <w:t>妥善收集后</w:t>
            </w:r>
            <w:r>
              <w:rPr>
                <w:rFonts w:hint="eastAsia" w:ascii="Times New Roman" w:hAnsi="Times New Roman" w:eastAsia="宋体" w:cs="Times New Roman"/>
                <w:bCs/>
                <w:color w:val="auto"/>
                <w:sz w:val="24"/>
              </w:rPr>
              <w:t>暂存于</w:t>
            </w:r>
            <w:r>
              <w:rPr>
                <w:rFonts w:hint="eastAsia" w:cs="Times New Roman"/>
                <w:bCs/>
                <w:color w:val="auto"/>
                <w:sz w:val="24"/>
                <w:lang w:eastAsia="zh-CN"/>
              </w:rPr>
              <w:t>危废贮存库</w:t>
            </w:r>
            <w:r>
              <w:rPr>
                <w:rFonts w:hint="eastAsia" w:ascii="Times New Roman" w:hAnsi="Times New Roman" w:eastAsia="宋体" w:cs="Times New Roman"/>
                <w:bCs/>
                <w:color w:val="auto"/>
                <w:sz w:val="24"/>
              </w:rPr>
              <w:t>，定期委托有资质单位处置。</w:t>
            </w:r>
          </w:p>
          <w:p w14:paraId="693EDC05">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bCs/>
                <w:color w:val="auto"/>
                <w:sz w:val="24"/>
                <w:highlight w:val="none"/>
              </w:rPr>
            </w:pPr>
            <w:r>
              <w:rPr>
                <w:rFonts w:hint="eastAsia" w:ascii="Times New Roman" w:hAnsi="Times New Roman" w:eastAsia="宋体" w:cs="Times New Roman"/>
                <w:bCs/>
                <w:color w:val="auto"/>
                <w:sz w:val="24"/>
                <w:highlight w:val="none"/>
                <w:lang w:eastAsia="ja-JP"/>
              </w:rPr>
              <w:t>⑤</w:t>
            </w:r>
            <w:r>
              <w:rPr>
                <w:rFonts w:hint="eastAsia" w:ascii="Times New Roman" w:hAnsi="Times New Roman" w:eastAsia="宋体" w:cs="Times New Roman"/>
                <w:bCs/>
                <w:color w:val="auto"/>
                <w:sz w:val="24"/>
                <w:highlight w:val="none"/>
              </w:rPr>
              <w:t>废活性炭</w:t>
            </w:r>
          </w:p>
          <w:p w14:paraId="52D41150">
            <w:pPr>
              <w:keepNext w:val="0"/>
              <w:keepLines w:val="0"/>
              <w:suppressLineNumbers w:val="0"/>
              <w:spacing w:before="0" w:beforeAutospacing="0" w:after="0" w:afterAutospacing="0"/>
              <w:ind w:left="0" w:right="0" w:firstLine="480" w:firstLineChars="200"/>
              <w:rPr>
                <w:rFonts w:hint="eastAsia" w:cs="Times New Roman"/>
                <w:bCs/>
                <w:color w:val="0000FF"/>
                <w:sz w:val="24"/>
                <w:highlight w:val="none"/>
                <w:lang w:val="en-US" w:eastAsia="zh-CN"/>
              </w:rPr>
            </w:pPr>
            <w:r>
              <w:rPr>
                <w:rFonts w:hint="default" w:ascii="Times New Roman" w:hAnsi="Times New Roman" w:eastAsia="宋体" w:cs="Times New Roman"/>
                <w:bCs/>
                <w:color w:val="auto"/>
                <w:sz w:val="24"/>
                <w:lang w:val="en-US" w:eastAsia="zh-CN"/>
              </w:rPr>
              <w:t>根据中国建筑出版社</w:t>
            </w:r>
            <w:r>
              <w:rPr>
                <w:rFonts w:hint="eastAsia" w:cs="Times New Roman"/>
                <w:bCs/>
                <w:color w:val="auto"/>
                <w:sz w:val="24"/>
                <w:lang w:val="en-US" w:eastAsia="zh-CN"/>
              </w:rPr>
              <w:t>（</w:t>
            </w:r>
            <w:r>
              <w:rPr>
                <w:rFonts w:hint="default" w:ascii="Times New Roman" w:hAnsi="Times New Roman" w:eastAsia="宋体" w:cs="Times New Roman"/>
                <w:bCs/>
                <w:color w:val="auto"/>
                <w:sz w:val="24"/>
                <w:lang w:val="en-US" w:eastAsia="zh-CN"/>
              </w:rPr>
              <w:t>1997</w:t>
            </w:r>
            <w:r>
              <w:rPr>
                <w:rFonts w:hint="eastAsia" w:cs="Times New Roman"/>
                <w:bCs/>
                <w:color w:val="auto"/>
                <w:sz w:val="24"/>
                <w:lang w:val="en-US" w:eastAsia="zh-CN"/>
              </w:rPr>
              <w:t>）</w:t>
            </w:r>
            <w:r>
              <w:rPr>
                <w:rFonts w:hint="default" w:ascii="Times New Roman" w:hAnsi="Times New Roman" w:eastAsia="宋体" w:cs="Times New Roman"/>
                <w:bCs/>
                <w:color w:val="auto"/>
                <w:sz w:val="24"/>
                <w:lang w:val="en-US" w:eastAsia="zh-CN"/>
              </w:rPr>
              <w:t>出版的《简明通风设计手册》第十章中关于活性吸附处理治理废气的方法中提供的数据：每1.0kg活性炭吸附有机废气的平衡量为0.43～0.61kg，本项目按1t活性炭吸附0.</w:t>
            </w:r>
            <w:r>
              <w:rPr>
                <w:rFonts w:hint="eastAsia" w:ascii="Times New Roman" w:hAnsi="Times New Roman" w:eastAsia="宋体" w:cs="Times New Roman"/>
                <w:bCs/>
                <w:color w:val="auto"/>
                <w:sz w:val="24"/>
                <w:lang w:val="en-US" w:eastAsia="zh-CN"/>
              </w:rPr>
              <w:t>3</w:t>
            </w:r>
            <w:r>
              <w:rPr>
                <w:rFonts w:hint="default" w:ascii="Times New Roman" w:hAnsi="Times New Roman" w:eastAsia="宋体" w:cs="Times New Roman"/>
                <w:bCs/>
                <w:color w:val="auto"/>
                <w:sz w:val="24"/>
                <w:lang w:val="en-US" w:eastAsia="zh-CN"/>
              </w:rPr>
              <w:t>t有机废气计算，</w:t>
            </w:r>
            <w:r>
              <w:rPr>
                <w:rFonts w:hint="default" w:ascii="Times New Roman" w:hAnsi="Times New Roman" w:eastAsia="宋体" w:cs="Times New Roman"/>
                <w:bCs/>
                <w:color w:val="auto"/>
                <w:sz w:val="24"/>
                <w:lang w:val="zh-CN" w:eastAsia="zh-CN"/>
              </w:rPr>
              <w:t>根据前文产排污分析可知，项目有组织有机废气</w:t>
            </w:r>
            <w:r>
              <w:rPr>
                <w:rFonts w:hint="default" w:ascii="Times New Roman" w:hAnsi="Times New Roman" w:eastAsia="宋体" w:cs="Times New Roman"/>
                <w:bCs/>
                <w:color w:val="auto"/>
                <w:sz w:val="24"/>
                <w:lang w:val="en-US" w:eastAsia="zh-CN"/>
              </w:rPr>
              <w:t>净化了</w:t>
            </w:r>
            <w:r>
              <w:rPr>
                <w:rFonts w:hint="eastAsia" w:cs="Times New Roman"/>
                <w:bCs/>
                <w:color w:val="auto"/>
                <w:sz w:val="24"/>
                <w:lang w:val="en-US" w:eastAsia="zh-CN"/>
              </w:rPr>
              <w:t>0.3458</w:t>
            </w:r>
            <w:r>
              <w:rPr>
                <w:rFonts w:hint="default" w:ascii="Times New Roman" w:hAnsi="Times New Roman" w:eastAsia="宋体" w:cs="Times New Roman"/>
                <w:bCs/>
                <w:color w:val="auto"/>
                <w:sz w:val="24"/>
                <w:lang w:val="en-US" w:eastAsia="zh-CN"/>
              </w:rPr>
              <w:t>t/a</w:t>
            </w:r>
            <w:r>
              <w:rPr>
                <w:rFonts w:hint="default" w:ascii="Times New Roman" w:hAnsi="Times New Roman" w:eastAsia="宋体" w:cs="Times New Roman"/>
                <w:bCs/>
                <w:color w:val="auto"/>
                <w:sz w:val="24"/>
                <w:lang w:val="zh-CN" w:eastAsia="zh-CN"/>
              </w:rPr>
              <w:t>，本项目有机废气采用</w:t>
            </w:r>
            <w:r>
              <w:rPr>
                <w:rFonts w:hint="default" w:ascii="Times New Roman" w:hAnsi="Times New Roman" w:eastAsia="宋体" w:cs="Times New Roman"/>
                <w:bCs/>
                <w:color w:val="auto"/>
                <w:sz w:val="24"/>
                <w:lang w:val="en-US" w:eastAsia="zh-CN"/>
              </w:rPr>
              <w:t>活性炭吸附装置净化处理，则预计项目年消耗活性炭量为</w:t>
            </w:r>
            <w:r>
              <w:rPr>
                <w:rFonts w:hint="eastAsia" w:cs="Times New Roman"/>
                <w:bCs/>
                <w:color w:val="auto"/>
                <w:sz w:val="24"/>
                <w:lang w:val="en-US" w:eastAsia="zh-CN"/>
              </w:rPr>
              <w:t>1.15</w:t>
            </w:r>
            <w:r>
              <w:rPr>
                <w:rFonts w:hint="default" w:ascii="Times New Roman" w:hAnsi="Times New Roman" w:eastAsia="宋体" w:cs="Times New Roman"/>
                <w:bCs/>
                <w:color w:val="auto"/>
                <w:sz w:val="24"/>
                <w:lang w:val="en-US" w:eastAsia="zh-CN"/>
              </w:rPr>
              <w:t>t，</w:t>
            </w:r>
            <w:r>
              <w:rPr>
                <w:rFonts w:hint="eastAsia" w:ascii="Times New Roman" w:hAnsi="Times New Roman" w:eastAsia="宋体" w:cs="Times New Roman"/>
                <w:bCs/>
                <w:color w:val="auto"/>
                <w:sz w:val="24"/>
                <w:lang w:val="en-US" w:eastAsia="zh-CN"/>
              </w:rPr>
              <w:t>本项目活性炭一年更换</w:t>
            </w:r>
            <w:r>
              <w:rPr>
                <w:rFonts w:hint="eastAsia" w:cs="Times New Roman"/>
                <w:bCs/>
                <w:color w:val="auto"/>
                <w:sz w:val="24"/>
                <w:lang w:val="en-US" w:eastAsia="zh-CN"/>
              </w:rPr>
              <w:t>4</w:t>
            </w:r>
            <w:r>
              <w:rPr>
                <w:rFonts w:hint="eastAsia" w:ascii="Times New Roman" w:hAnsi="Times New Roman" w:eastAsia="宋体" w:cs="Times New Roman"/>
                <w:bCs/>
                <w:color w:val="auto"/>
                <w:sz w:val="24"/>
                <w:lang w:val="en-US" w:eastAsia="zh-CN"/>
              </w:rPr>
              <w:t>次，</w:t>
            </w:r>
            <w:r>
              <w:rPr>
                <w:rFonts w:hint="default" w:ascii="Times New Roman" w:hAnsi="Times New Roman" w:eastAsia="宋体" w:cs="Times New Roman"/>
                <w:bCs/>
                <w:color w:val="auto"/>
                <w:sz w:val="24"/>
                <w:lang w:val="en-US" w:eastAsia="zh-CN"/>
              </w:rPr>
              <w:t>则项目每年产生的</w:t>
            </w:r>
            <w:r>
              <w:rPr>
                <w:rFonts w:hint="eastAsia" w:ascii="Times New Roman" w:hAnsi="Times New Roman" w:eastAsia="宋体" w:cs="Times New Roman"/>
                <w:bCs/>
                <w:color w:val="auto"/>
                <w:sz w:val="24"/>
                <w:lang w:val="en-US" w:eastAsia="zh-CN"/>
              </w:rPr>
              <w:t>废活性炭</w:t>
            </w:r>
            <w:r>
              <w:rPr>
                <w:rFonts w:hint="default" w:ascii="Times New Roman" w:hAnsi="Times New Roman" w:eastAsia="宋体" w:cs="Times New Roman"/>
                <w:bCs/>
                <w:color w:val="auto"/>
                <w:sz w:val="24"/>
                <w:lang w:val="en-US" w:eastAsia="zh-CN"/>
              </w:rPr>
              <w:t>量约为</w:t>
            </w:r>
            <w:r>
              <w:rPr>
                <w:rFonts w:hint="eastAsia" w:cs="Times New Roman"/>
                <w:bCs/>
                <w:color w:val="auto"/>
                <w:sz w:val="24"/>
                <w:lang w:val="en-US" w:eastAsia="zh-CN"/>
              </w:rPr>
              <w:t>4.95</w:t>
            </w:r>
            <w:r>
              <w:rPr>
                <w:rFonts w:hint="default" w:ascii="Times New Roman" w:hAnsi="Times New Roman" w:eastAsia="宋体" w:cs="Times New Roman"/>
                <w:bCs/>
                <w:color w:val="auto"/>
                <w:sz w:val="24"/>
                <w:lang w:val="en-US" w:eastAsia="zh-CN"/>
              </w:rPr>
              <w:t>t/a</w:t>
            </w:r>
            <w:r>
              <w:rPr>
                <w:rFonts w:hint="eastAsia" w:ascii="Times New Roman" w:hAnsi="Times New Roman" w:eastAsia="宋体" w:cs="Times New Roman"/>
                <w:bCs/>
                <w:color w:val="auto"/>
                <w:sz w:val="24"/>
                <w:lang w:val="zh-CN" w:eastAsia="zh-CN"/>
              </w:rPr>
              <w:t>。</w:t>
            </w:r>
            <w:r>
              <w:rPr>
                <w:rFonts w:hint="default" w:ascii="Times New Roman" w:hAnsi="Times New Roman" w:eastAsia="宋体" w:cs="Times New Roman"/>
                <w:bCs/>
                <w:color w:val="auto"/>
                <w:sz w:val="24"/>
                <w:highlight w:val="none"/>
                <w:lang w:val="en-US" w:eastAsia="zh-CN"/>
              </w:rPr>
              <w:t>根据</w:t>
            </w:r>
            <w:r>
              <w:rPr>
                <w:rFonts w:hint="eastAsia" w:cs="Times New Roman"/>
                <w:bCs/>
                <w:color w:val="auto"/>
                <w:sz w:val="24"/>
                <w:highlight w:val="none"/>
                <w:lang w:val="en-US" w:eastAsia="zh-CN"/>
              </w:rPr>
              <w:t>《国家危险废物名录》（2025年版）</w:t>
            </w:r>
            <w:r>
              <w:rPr>
                <w:rFonts w:hint="default" w:ascii="Times New Roman" w:hAnsi="Times New Roman" w:eastAsia="宋体" w:cs="Times New Roman"/>
                <w:bCs/>
                <w:color w:val="auto"/>
                <w:sz w:val="24"/>
                <w:highlight w:val="none"/>
                <w:lang w:val="en-US" w:eastAsia="zh-CN"/>
              </w:rPr>
              <w:t>，废活性炭属于危险废物，废物类别为HW49其他废物，废物代码900-039-49</w:t>
            </w:r>
            <w:r>
              <w:rPr>
                <w:rFonts w:hint="eastAsia" w:ascii="Times New Roman" w:hAnsi="Times New Roman" w:eastAsia="宋体" w:cs="Times New Roman"/>
                <w:bCs/>
                <w:color w:val="auto"/>
                <w:sz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bidi="ar"/>
              </w:rPr>
              <w:t>妥善收集后</w:t>
            </w:r>
            <w:r>
              <w:rPr>
                <w:rFonts w:hint="eastAsia" w:ascii="Times New Roman" w:hAnsi="Times New Roman" w:eastAsia="宋体" w:cs="Times New Roman"/>
                <w:bCs/>
                <w:color w:val="auto"/>
                <w:sz w:val="24"/>
                <w:highlight w:val="none"/>
              </w:rPr>
              <w:t>暂存于</w:t>
            </w:r>
            <w:r>
              <w:rPr>
                <w:rFonts w:hint="eastAsia" w:cs="Times New Roman"/>
                <w:bCs/>
                <w:color w:val="auto"/>
                <w:sz w:val="24"/>
                <w:highlight w:val="none"/>
                <w:lang w:eastAsia="zh-CN"/>
              </w:rPr>
              <w:t>危废贮存库</w:t>
            </w:r>
            <w:r>
              <w:rPr>
                <w:rFonts w:hint="eastAsia" w:ascii="Times New Roman" w:hAnsi="Times New Roman" w:eastAsia="宋体" w:cs="Times New Roman"/>
                <w:bCs/>
                <w:color w:val="auto"/>
                <w:sz w:val="24"/>
                <w:highlight w:val="none"/>
              </w:rPr>
              <w:t>，定期委托有资质单位处置。</w:t>
            </w:r>
          </w:p>
          <w:p w14:paraId="5CD181DD">
            <w:pPr>
              <w:keepNext w:val="0"/>
              <w:keepLines w:val="0"/>
              <w:suppressLineNumbers w:val="0"/>
              <w:tabs>
                <w:tab w:val="left" w:pos="7436"/>
              </w:tabs>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bCs/>
                <w:color w:val="auto"/>
                <w:sz w:val="24"/>
                <w:lang w:eastAsia="zh-CN"/>
              </w:rPr>
            </w:pPr>
            <w:r>
              <w:rPr>
                <w:rFonts w:hint="eastAsia" w:ascii="Times New Roman" w:hAnsi="Times New Roman" w:eastAsia="宋体" w:cs="Times New Roman"/>
                <w:bCs/>
                <w:color w:val="auto"/>
                <w:sz w:val="24"/>
                <w:highlight w:val="none"/>
                <w:lang w:eastAsia="ja-JP"/>
              </w:rPr>
              <w:t>⑥</w:t>
            </w:r>
            <w:r>
              <w:rPr>
                <w:rFonts w:hint="eastAsia" w:ascii="Times New Roman" w:hAnsi="Times New Roman" w:eastAsia="宋体" w:cs="Times New Roman"/>
                <w:bCs/>
                <w:color w:val="auto"/>
                <w:sz w:val="24"/>
              </w:rPr>
              <w:t>废过滤棉</w:t>
            </w:r>
            <w:r>
              <w:rPr>
                <w:rFonts w:hint="eastAsia" w:ascii="Times New Roman" w:hAnsi="Times New Roman" w:eastAsia="宋体" w:cs="Times New Roman"/>
                <w:bCs/>
                <w:color w:val="auto"/>
                <w:sz w:val="24"/>
                <w:lang w:eastAsia="zh-CN"/>
              </w:rPr>
              <w:tab/>
            </w:r>
          </w:p>
          <w:p w14:paraId="5BB5344B">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bCs/>
                <w:color w:val="auto"/>
                <w:sz w:val="24"/>
                <w:highlight w:val="none"/>
              </w:rPr>
            </w:pPr>
            <w:r>
              <w:rPr>
                <w:rFonts w:hint="eastAsia" w:ascii="Times New Roman" w:hAnsi="Times New Roman" w:eastAsia="宋体" w:cs="Times New Roman"/>
                <w:bCs/>
                <w:color w:val="auto"/>
                <w:sz w:val="24"/>
              </w:rPr>
              <w:t>项目废气治理设施使用过程会产生废过滤棉，根据类比同行业分析，产生量约0.</w:t>
            </w:r>
            <w:r>
              <w:rPr>
                <w:rFonts w:hint="eastAsia" w:cs="Times New Roman"/>
                <w:bCs/>
                <w:color w:val="auto"/>
                <w:sz w:val="24"/>
                <w:lang w:val="en-US" w:eastAsia="zh-CN"/>
              </w:rPr>
              <w:t>2</w:t>
            </w:r>
            <w:r>
              <w:rPr>
                <w:rFonts w:hint="eastAsia" w:ascii="Times New Roman" w:hAnsi="Times New Roman" w:eastAsia="宋体" w:cs="Times New Roman"/>
                <w:bCs/>
                <w:color w:val="auto"/>
                <w:sz w:val="24"/>
              </w:rPr>
              <w:t>t/a，根据</w:t>
            </w:r>
            <w:r>
              <w:rPr>
                <w:rFonts w:hint="eastAsia" w:cs="Times New Roman"/>
                <w:bCs/>
                <w:color w:val="auto"/>
                <w:sz w:val="24"/>
                <w:lang w:eastAsia="zh-CN"/>
              </w:rPr>
              <w:t>《国家危险废物名录》（2025年版）</w:t>
            </w:r>
            <w:r>
              <w:rPr>
                <w:rFonts w:hint="eastAsia" w:ascii="Times New Roman" w:hAnsi="Times New Roman" w:eastAsia="宋体" w:cs="Times New Roman"/>
                <w:bCs/>
                <w:color w:val="auto"/>
                <w:sz w:val="24"/>
              </w:rPr>
              <w:t>，废过滤棉属</w:t>
            </w:r>
            <w:r>
              <w:rPr>
                <w:rFonts w:hint="eastAsia" w:ascii="Times New Roman" w:hAnsi="Times New Roman" w:eastAsia="宋体" w:cs="Times New Roman"/>
                <w:bCs/>
                <w:color w:val="auto"/>
                <w:sz w:val="24"/>
                <w:lang w:val="en-US" w:eastAsia="zh-CN"/>
              </w:rPr>
              <w:t>于</w:t>
            </w:r>
            <w:r>
              <w:rPr>
                <w:rFonts w:hint="eastAsia" w:ascii="Times New Roman" w:hAnsi="Times New Roman" w:eastAsia="宋体" w:cs="Times New Roman"/>
                <w:bCs/>
                <w:color w:val="auto"/>
                <w:sz w:val="24"/>
              </w:rPr>
              <w:t>危险废物，其危险废物类别为HW49（900-041-49），</w:t>
            </w:r>
            <w:r>
              <w:rPr>
                <w:rFonts w:hint="default" w:ascii="Times New Roman" w:hAnsi="Times New Roman" w:eastAsia="宋体" w:cs="Times New Roman"/>
                <w:color w:val="auto"/>
                <w:kern w:val="0"/>
                <w:sz w:val="24"/>
                <w:szCs w:val="24"/>
                <w:highlight w:val="none"/>
                <w:lang w:val="en-US" w:eastAsia="zh-CN" w:bidi="ar"/>
              </w:rPr>
              <w:t>妥善收集后</w:t>
            </w:r>
            <w:r>
              <w:rPr>
                <w:rFonts w:hint="eastAsia" w:ascii="Times New Roman" w:hAnsi="Times New Roman" w:eastAsia="宋体" w:cs="Times New Roman"/>
                <w:bCs/>
                <w:color w:val="auto"/>
                <w:sz w:val="24"/>
              </w:rPr>
              <w:t>暂存于</w:t>
            </w:r>
            <w:r>
              <w:rPr>
                <w:rFonts w:hint="eastAsia" w:cs="Times New Roman"/>
                <w:bCs/>
                <w:color w:val="auto"/>
                <w:sz w:val="24"/>
                <w:lang w:eastAsia="zh-CN"/>
              </w:rPr>
              <w:t>危废贮存库</w:t>
            </w:r>
            <w:r>
              <w:rPr>
                <w:rFonts w:hint="eastAsia" w:ascii="Times New Roman" w:hAnsi="Times New Roman" w:eastAsia="宋体" w:cs="Times New Roman"/>
                <w:bCs/>
                <w:color w:val="auto"/>
                <w:sz w:val="24"/>
              </w:rPr>
              <w:t>，定期委托有资质单位处置。</w:t>
            </w:r>
          </w:p>
          <w:p w14:paraId="79934DE1">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rPr>
              <w:t>⑦</w:t>
            </w:r>
            <w:r>
              <w:rPr>
                <w:rFonts w:hint="default" w:ascii="Times New Roman" w:hAnsi="Times New Roman" w:cs="Times New Roman"/>
                <w:color w:val="auto"/>
                <w:sz w:val="24"/>
                <w:highlight w:val="none"/>
              </w:rPr>
              <w:t>废机油</w:t>
            </w:r>
          </w:p>
          <w:p w14:paraId="6C8180D6">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Cs/>
                <w:color w:val="auto"/>
                <w:sz w:val="24"/>
              </w:rPr>
            </w:pPr>
            <w:r>
              <w:rPr>
                <w:rFonts w:hint="eastAsia" w:ascii="Times New Roman" w:hAnsi="Times New Roman" w:eastAsia="宋体" w:cs="Times New Roman"/>
                <w:color w:val="auto"/>
                <w:kern w:val="0"/>
                <w:sz w:val="24"/>
                <w:szCs w:val="24"/>
                <w:highlight w:val="none"/>
                <w:lang w:val="en-US" w:eastAsia="zh-CN" w:bidi="ar"/>
              </w:rPr>
              <w:t>本项目在设备保养、检修等过程中会产生</w:t>
            </w:r>
            <w:r>
              <w:rPr>
                <w:rFonts w:hint="eastAsia" w:ascii="Times New Roman" w:hAnsi="Times New Roman" w:eastAsia="宋体" w:cs="Times New Roman"/>
                <w:color w:val="auto"/>
                <w:sz w:val="24"/>
                <w:szCs w:val="22"/>
                <w:highlight w:val="none"/>
                <w:lang w:val="en-US" w:eastAsia="zh-CN"/>
              </w:rPr>
              <w:t>废机油，产生量为0.01t/a，</w:t>
            </w:r>
            <w:r>
              <w:rPr>
                <w:rFonts w:hint="eastAsia" w:cs="Times New Roman"/>
                <w:color w:val="auto"/>
                <w:sz w:val="24"/>
                <w:szCs w:val="22"/>
                <w:highlight w:val="none"/>
                <w:lang w:val="en-US" w:eastAsia="zh-CN"/>
              </w:rPr>
              <w:t>根据</w:t>
            </w:r>
            <w:r>
              <w:rPr>
                <w:rFonts w:hint="eastAsia" w:cs="Times New Roman"/>
                <w:color w:val="auto"/>
                <w:sz w:val="24"/>
                <w:highlight w:val="none"/>
                <w:lang w:val="en-US" w:eastAsia="zh-CN"/>
              </w:rPr>
              <w:t>《国家危险废物名录》（2025年版）</w:t>
            </w:r>
            <w:r>
              <w:rPr>
                <w:rFonts w:hint="eastAsia" w:ascii="Times New Roman" w:hAnsi="Times New Roman" w:cs="Times New Roman"/>
                <w:color w:val="auto"/>
                <w:sz w:val="24"/>
                <w:highlight w:val="none"/>
                <w:lang w:val="en-US" w:eastAsia="zh-CN"/>
              </w:rPr>
              <w:t>，</w:t>
            </w:r>
            <w:r>
              <w:rPr>
                <w:rFonts w:hint="eastAsia" w:ascii="Times New Roman" w:hAnsi="Times New Roman" w:eastAsia="宋体" w:cs="Times New Roman"/>
                <w:color w:val="auto"/>
                <w:sz w:val="24"/>
                <w:szCs w:val="22"/>
                <w:highlight w:val="none"/>
                <w:lang w:val="en-US" w:eastAsia="zh-CN"/>
              </w:rPr>
              <w:t>废机油</w:t>
            </w:r>
            <w:r>
              <w:rPr>
                <w:rFonts w:hint="eastAsia" w:ascii="Times New Roman" w:hAnsi="Times New Roman" w:cs="Times New Roman"/>
                <w:color w:val="auto"/>
                <w:sz w:val="24"/>
                <w:highlight w:val="none"/>
                <w:lang w:val="en-US" w:eastAsia="zh-CN"/>
              </w:rPr>
              <w:t>属于危险废物，废物类别为HW08废矿物油与含矿物油废物，废物代码为</w:t>
            </w:r>
            <w:r>
              <w:rPr>
                <w:rFonts w:hint="default" w:ascii="Times New Roman" w:hAnsi="Times New Roman" w:eastAsia="宋体" w:cs="Times New Roman"/>
                <w:color w:val="auto"/>
                <w:kern w:val="0"/>
                <w:sz w:val="24"/>
                <w:szCs w:val="24"/>
                <w:highlight w:val="none"/>
                <w:lang w:val="en-US" w:eastAsia="zh-CN" w:bidi="ar"/>
              </w:rPr>
              <w:t>900-2</w:t>
            </w:r>
            <w:r>
              <w:rPr>
                <w:rFonts w:hint="eastAsia" w:ascii="Times New Roman" w:hAnsi="Times New Roman" w:eastAsia="宋体" w:cs="Times New Roman"/>
                <w:color w:val="auto"/>
                <w:kern w:val="0"/>
                <w:sz w:val="24"/>
                <w:szCs w:val="24"/>
                <w:highlight w:val="none"/>
                <w:lang w:val="en-US" w:eastAsia="zh-CN" w:bidi="ar"/>
              </w:rPr>
              <w:t>49</w:t>
            </w:r>
            <w:r>
              <w:rPr>
                <w:rFonts w:hint="default" w:ascii="Times New Roman" w:hAnsi="Times New Roman" w:eastAsia="宋体" w:cs="Times New Roman"/>
                <w:color w:val="auto"/>
                <w:kern w:val="0"/>
                <w:sz w:val="24"/>
                <w:szCs w:val="24"/>
                <w:highlight w:val="none"/>
                <w:lang w:val="en-US" w:eastAsia="zh-CN" w:bidi="ar"/>
              </w:rPr>
              <w:t>-08</w:t>
            </w:r>
            <w:r>
              <w:rPr>
                <w:rFonts w:hint="eastAsia" w:cs="Times New Roman"/>
                <w:color w:val="auto"/>
                <w:kern w:val="0"/>
                <w:sz w:val="24"/>
                <w:szCs w:val="24"/>
                <w:highlight w:val="none"/>
                <w:lang w:val="en-US" w:eastAsia="zh-CN" w:bidi="ar"/>
              </w:rPr>
              <w:t xml:space="preserve"> 其他生产、销售、使用过程中产生的废矿物油及沾染矿物油的废弃包装物</w:t>
            </w:r>
            <w:r>
              <w:rPr>
                <w:rFonts w:hint="eastAsia" w:ascii="Times New Roman" w:hAnsi="Times New Roman" w:eastAsia="宋体"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妥善收集后暂存于</w:t>
            </w:r>
            <w:r>
              <w:rPr>
                <w:rFonts w:hint="eastAsia" w:cs="Times New Roman"/>
                <w:color w:val="auto"/>
                <w:kern w:val="0"/>
                <w:sz w:val="24"/>
                <w:szCs w:val="24"/>
                <w:highlight w:val="none"/>
                <w:lang w:val="en-US" w:eastAsia="zh-CN" w:bidi="ar"/>
              </w:rPr>
              <w:t>危废贮存库</w:t>
            </w:r>
            <w:r>
              <w:rPr>
                <w:rFonts w:hint="default" w:ascii="Times New Roman" w:hAnsi="Times New Roman" w:eastAsia="宋体" w:cs="Times New Roman"/>
                <w:color w:val="auto"/>
                <w:kern w:val="0"/>
                <w:sz w:val="24"/>
                <w:szCs w:val="24"/>
                <w:highlight w:val="none"/>
                <w:lang w:val="en-US" w:eastAsia="zh-CN" w:bidi="ar"/>
              </w:rPr>
              <w:t>，</w:t>
            </w:r>
            <w:r>
              <w:rPr>
                <w:rFonts w:hint="eastAsia" w:ascii="Times New Roman" w:hAnsi="Times New Roman" w:eastAsia="宋体" w:cs="Times New Roman"/>
                <w:bCs/>
                <w:color w:val="auto"/>
                <w:sz w:val="24"/>
                <w:highlight w:val="none"/>
              </w:rPr>
              <w:t>定期</w:t>
            </w:r>
            <w:r>
              <w:rPr>
                <w:rFonts w:hint="default" w:ascii="Times New Roman" w:hAnsi="Times New Roman" w:eastAsia="宋体" w:cs="Times New Roman"/>
                <w:color w:val="auto"/>
                <w:sz w:val="24"/>
                <w:highlight w:val="none"/>
                <w:lang w:val="en-US" w:eastAsia="zh-CN"/>
              </w:rPr>
              <w:t>委托有资质单位处理。</w:t>
            </w:r>
          </w:p>
          <w:p w14:paraId="4F1F3D5D">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bCs/>
                <w:color w:val="auto"/>
                <w:sz w:val="24"/>
                <w:highlight w:val="none"/>
              </w:rPr>
            </w:pPr>
            <w:r>
              <w:rPr>
                <w:rFonts w:hint="eastAsia" w:ascii="Times New Roman" w:hAnsi="Times New Roman" w:eastAsia="宋体" w:cs="Times New Roman"/>
                <w:bCs/>
                <w:color w:val="auto"/>
                <w:sz w:val="24"/>
              </w:rPr>
              <w:t>⑧</w:t>
            </w:r>
            <w:r>
              <w:rPr>
                <w:rFonts w:hint="eastAsia" w:ascii="Times New Roman" w:hAnsi="Times New Roman" w:eastAsia="宋体" w:cs="Times New Roman"/>
                <w:bCs/>
                <w:color w:val="auto"/>
                <w:sz w:val="24"/>
                <w:highlight w:val="none"/>
              </w:rPr>
              <w:t>生活垃圾</w:t>
            </w:r>
          </w:p>
          <w:p w14:paraId="2DB55779">
            <w:pPr>
              <w:keepNext w:val="0"/>
              <w:keepLines w:val="0"/>
              <w:suppressLineNumbers w:val="0"/>
              <w:spacing w:before="0" w:beforeAutospacing="0" w:after="0" w:afterAutospacing="0"/>
              <w:ind w:left="0" w:right="0" w:firstLine="480" w:firstLineChars="200"/>
              <w:rPr>
                <w:rFonts w:hint="eastAsia"/>
                <w:color w:val="auto"/>
              </w:rPr>
            </w:pPr>
            <w:r>
              <w:rPr>
                <w:rFonts w:hint="eastAsia" w:cs="宋体"/>
                <w:color w:val="auto"/>
              </w:rPr>
              <w:t>本项目员工共</w:t>
            </w:r>
            <w:r>
              <w:rPr>
                <w:rFonts w:hint="eastAsia" w:cs="宋体"/>
                <w:color w:val="auto"/>
                <w:lang w:val="en-US" w:eastAsia="zh-CN"/>
              </w:rPr>
              <w:t>13</w:t>
            </w:r>
            <w:r>
              <w:rPr>
                <w:rFonts w:hint="eastAsia" w:cs="宋体"/>
                <w:color w:val="auto"/>
              </w:rPr>
              <w:t>人，均不住厂，不住厂员工生活垃圾产生系数按0.5kg/人·天计，年工作天数为</w:t>
            </w:r>
            <w:r>
              <w:rPr>
                <w:rFonts w:hint="eastAsia" w:cs="宋体"/>
                <w:color w:val="auto"/>
                <w:lang w:val="en-US" w:eastAsia="zh-CN"/>
              </w:rPr>
              <w:t>300</w:t>
            </w:r>
            <w:r>
              <w:rPr>
                <w:rFonts w:hint="eastAsia" w:cs="宋体"/>
                <w:color w:val="auto"/>
              </w:rPr>
              <w:t>天，则员工生活垃圾产生量为</w:t>
            </w:r>
            <w:r>
              <w:rPr>
                <w:rFonts w:hint="eastAsia" w:cs="宋体"/>
                <w:color w:val="auto"/>
                <w:lang w:val="en-US" w:eastAsia="zh-CN"/>
              </w:rPr>
              <w:t>1.95</w:t>
            </w:r>
            <w:r>
              <w:rPr>
                <w:rFonts w:hint="eastAsia" w:cs="宋体"/>
                <w:color w:val="auto"/>
              </w:rPr>
              <w:t>t/a。生活垃圾统一收集后委托当地环卫部门处置。</w:t>
            </w:r>
          </w:p>
          <w:p w14:paraId="6D6898B0">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bCs/>
                <w:color w:val="auto"/>
                <w:sz w:val="24"/>
                <w:highlight w:val="none"/>
              </w:rPr>
            </w:pPr>
            <w:r>
              <w:rPr>
                <w:rFonts w:hint="eastAsia" w:ascii="Times New Roman" w:hAnsi="Times New Roman" w:eastAsia="宋体" w:cs="Times New Roman"/>
                <w:bCs/>
                <w:color w:val="auto"/>
                <w:sz w:val="24"/>
                <w:highlight w:val="none"/>
              </w:rPr>
              <w:t>综上分析，项目运营期各类固体废物产生及处置情况详见表</w:t>
            </w:r>
            <w:r>
              <w:rPr>
                <w:rFonts w:hint="eastAsia" w:ascii="Times New Roman" w:hAnsi="Times New Roman" w:eastAsia="宋体" w:cs="Times New Roman"/>
                <w:bCs/>
                <w:color w:val="auto"/>
                <w:sz w:val="24"/>
                <w:highlight w:val="none"/>
                <w:lang w:val="en-US" w:eastAsia="zh-CN"/>
              </w:rPr>
              <w:t>4.4-1</w:t>
            </w:r>
            <w:r>
              <w:rPr>
                <w:rFonts w:hint="eastAsia" w:ascii="Times New Roman" w:hAnsi="Times New Roman" w:eastAsia="宋体" w:cs="Times New Roman"/>
                <w:bCs/>
                <w:color w:val="auto"/>
                <w:sz w:val="24"/>
                <w:highlight w:val="none"/>
              </w:rPr>
              <w:t>。</w:t>
            </w:r>
          </w:p>
          <w:p w14:paraId="54F477D6">
            <w:pPr>
              <w:pStyle w:val="39"/>
              <w:keepNext w:val="0"/>
              <w:keepLines w:val="0"/>
              <w:suppressLineNumbers w:val="0"/>
              <w:bidi w:val="0"/>
              <w:spacing w:before="0" w:beforeAutospacing="0" w:after="0" w:afterAutospacing="0"/>
              <w:ind w:left="0" w:right="0"/>
              <w:rPr>
                <w:rFonts w:hint="default"/>
                <w:lang w:val="en-US" w:eastAsia="zh-CN"/>
              </w:rPr>
            </w:pPr>
            <w:r>
              <w:rPr>
                <w:rFonts w:hint="default"/>
                <w:lang w:val="zh-CN"/>
              </w:rPr>
              <w:t>表</w:t>
            </w:r>
            <w:r>
              <w:rPr>
                <w:rFonts w:hint="eastAsia"/>
                <w:lang w:val="en-US" w:eastAsia="zh-CN"/>
              </w:rPr>
              <w:t>4.4-1</w:t>
            </w:r>
            <w:r>
              <w:rPr>
                <w:rFonts w:hint="default"/>
                <w:lang w:val="en-US" w:eastAsia="zh-CN"/>
              </w:rPr>
              <w:t xml:space="preserve">  项目固废产生及处置情况汇总表</w:t>
            </w:r>
          </w:p>
          <w:tbl>
            <w:tblPr>
              <w:tblStyle w:val="29"/>
              <w:tblW w:w="0" w:type="auto"/>
              <w:tblInd w:w="-15"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14"/>
              <w:gridCol w:w="689"/>
              <w:gridCol w:w="1270"/>
              <w:gridCol w:w="1155"/>
              <w:gridCol w:w="1440"/>
              <w:gridCol w:w="960"/>
              <w:gridCol w:w="2408"/>
            </w:tblGrid>
            <w:tr w14:paraId="27C2E685">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514" w:type="dxa"/>
                  <w:tcBorders>
                    <w:top w:val="single" w:color="000000" w:sz="12" w:space="0"/>
                    <w:left w:val="nil"/>
                    <w:tl2br w:val="nil"/>
                  </w:tcBorders>
                  <w:shd w:val="clear" w:color="auto" w:fill="auto"/>
                  <w:vAlign w:val="center"/>
                </w:tcPr>
                <w:p w14:paraId="1C05327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序号</w:t>
                  </w:r>
                </w:p>
              </w:tc>
              <w:tc>
                <w:tcPr>
                  <w:tcW w:w="689" w:type="dxa"/>
                  <w:tcBorders>
                    <w:top w:val="single" w:color="000000" w:sz="12" w:space="0"/>
                  </w:tcBorders>
                  <w:shd w:val="clear" w:color="auto" w:fill="auto"/>
                  <w:vAlign w:val="center"/>
                </w:tcPr>
                <w:p w14:paraId="5CA2CE2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分类</w:t>
                  </w:r>
                </w:p>
              </w:tc>
              <w:tc>
                <w:tcPr>
                  <w:tcW w:w="1270" w:type="dxa"/>
                  <w:tcBorders>
                    <w:top w:val="single" w:color="000000" w:sz="12" w:space="0"/>
                  </w:tcBorders>
                  <w:shd w:val="clear" w:color="auto" w:fill="auto"/>
                  <w:vAlign w:val="center"/>
                </w:tcPr>
                <w:p w14:paraId="43A2808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固废名称</w:t>
                  </w:r>
                </w:p>
              </w:tc>
              <w:tc>
                <w:tcPr>
                  <w:tcW w:w="1155" w:type="dxa"/>
                  <w:tcBorders>
                    <w:top w:val="single" w:color="000000" w:sz="12" w:space="0"/>
                  </w:tcBorders>
                  <w:shd w:val="clear" w:color="auto" w:fill="auto"/>
                  <w:vAlign w:val="center"/>
                </w:tcPr>
                <w:p w14:paraId="1D43531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废物废物</w:t>
                  </w:r>
                </w:p>
              </w:tc>
              <w:tc>
                <w:tcPr>
                  <w:tcW w:w="1440" w:type="dxa"/>
                  <w:tcBorders>
                    <w:top w:val="single" w:color="000000" w:sz="12" w:space="0"/>
                  </w:tcBorders>
                  <w:shd w:val="clear" w:color="auto" w:fill="auto"/>
                  <w:vAlign w:val="center"/>
                </w:tcPr>
                <w:p w14:paraId="24BD022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废物代码</w:t>
                  </w:r>
                </w:p>
              </w:tc>
              <w:tc>
                <w:tcPr>
                  <w:tcW w:w="960" w:type="dxa"/>
                  <w:tcBorders>
                    <w:top w:val="single" w:color="000000" w:sz="12" w:space="0"/>
                  </w:tcBorders>
                  <w:shd w:val="clear" w:color="auto" w:fill="auto"/>
                  <w:vAlign w:val="center"/>
                </w:tcPr>
                <w:p w14:paraId="529C8C8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产生量t/a</w:t>
                  </w:r>
                </w:p>
              </w:tc>
              <w:tc>
                <w:tcPr>
                  <w:tcW w:w="2408" w:type="dxa"/>
                  <w:tcBorders>
                    <w:top w:val="single" w:color="000000" w:sz="12" w:space="0"/>
                    <w:right w:val="nil"/>
                  </w:tcBorders>
                  <w:shd w:val="clear" w:color="auto" w:fill="auto"/>
                  <w:vAlign w:val="center"/>
                </w:tcPr>
                <w:p w14:paraId="4DB3F25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处置方式</w:t>
                  </w:r>
                </w:p>
              </w:tc>
            </w:tr>
            <w:tr w14:paraId="6D9212A0">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514" w:type="dxa"/>
                  <w:tcBorders>
                    <w:left w:val="nil"/>
                  </w:tcBorders>
                  <w:shd w:val="clear" w:color="auto" w:fill="auto"/>
                  <w:vAlign w:val="center"/>
                </w:tcPr>
                <w:p w14:paraId="445B9BCC">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1</w:t>
                  </w:r>
                </w:p>
              </w:tc>
              <w:tc>
                <w:tcPr>
                  <w:tcW w:w="689" w:type="dxa"/>
                  <w:shd w:val="clear" w:color="auto" w:fill="auto"/>
                  <w:vAlign w:val="center"/>
                </w:tcPr>
                <w:p w14:paraId="3EDF272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一般固废</w:t>
                  </w:r>
                </w:p>
              </w:tc>
              <w:tc>
                <w:tcPr>
                  <w:tcW w:w="1270" w:type="dxa"/>
                  <w:shd w:val="clear" w:color="auto" w:fill="auto"/>
                  <w:vAlign w:val="center"/>
                </w:tcPr>
                <w:p w14:paraId="6A65D94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不合格产品</w:t>
                  </w:r>
                </w:p>
              </w:tc>
              <w:tc>
                <w:tcPr>
                  <w:tcW w:w="1155" w:type="dxa"/>
                  <w:shd w:val="clear" w:color="auto" w:fill="auto"/>
                  <w:vAlign w:val="center"/>
                </w:tcPr>
                <w:p w14:paraId="0AA93E7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w:t>
                  </w:r>
                </w:p>
              </w:tc>
              <w:tc>
                <w:tcPr>
                  <w:tcW w:w="1440" w:type="dxa"/>
                  <w:shd w:val="clear" w:color="auto" w:fill="auto"/>
                  <w:vAlign w:val="center"/>
                </w:tcPr>
                <w:p w14:paraId="6EB7513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w:t>
                  </w:r>
                </w:p>
              </w:tc>
              <w:tc>
                <w:tcPr>
                  <w:tcW w:w="960" w:type="dxa"/>
                  <w:shd w:val="clear" w:color="auto" w:fill="auto"/>
                  <w:vAlign w:val="center"/>
                </w:tcPr>
                <w:p w14:paraId="65A8425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1.854万套/年</w:t>
                  </w:r>
                </w:p>
              </w:tc>
              <w:tc>
                <w:tcPr>
                  <w:tcW w:w="2408" w:type="dxa"/>
                  <w:tcBorders>
                    <w:right w:val="nil"/>
                  </w:tcBorders>
                  <w:shd w:val="clear" w:color="auto" w:fill="auto"/>
                  <w:noWrap/>
                  <w:vAlign w:val="center"/>
                </w:tcPr>
                <w:p w14:paraId="3CB99A1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退回待加工厂综合利用</w:t>
                  </w:r>
                </w:p>
              </w:tc>
            </w:tr>
            <w:tr w14:paraId="47AAF1A1">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PrEx>
              <w:trPr>
                <w:trHeight w:val="520" w:hRule="atLeast"/>
              </w:trPr>
              <w:tc>
                <w:tcPr>
                  <w:tcW w:w="514" w:type="dxa"/>
                  <w:tcBorders>
                    <w:left w:val="nil"/>
                  </w:tcBorders>
                  <w:shd w:val="clear" w:color="auto" w:fill="auto"/>
                  <w:vAlign w:val="center"/>
                </w:tcPr>
                <w:p w14:paraId="49867805">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2</w:t>
                  </w:r>
                </w:p>
              </w:tc>
              <w:tc>
                <w:tcPr>
                  <w:tcW w:w="689" w:type="dxa"/>
                  <w:vMerge w:val="restart"/>
                  <w:shd w:val="clear" w:color="auto" w:fill="auto"/>
                  <w:vAlign w:val="center"/>
                </w:tcPr>
                <w:p w14:paraId="21E4CD8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危险废物</w:t>
                  </w:r>
                </w:p>
              </w:tc>
              <w:tc>
                <w:tcPr>
                  <w:tcW w:w="1270" w:type="dxa"/>
                  <w:shd w:val="clear" w:color="auto" w:fill="auto"/>
                  <w:vAlign w:val="center"/>
                </w:tcPr>
                <w:p w14:paraId="35395C3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水帘柜废液</w:t>
                  </w:r>
                </w:p>
              </w:tc>
              <w:tc>
                <w:tcPr>
                  <w:tcW w:w="1155" w:type="dxa"/>
                  <w:shd w:val="clear" w:color="auto" w:fill="auto"/>
                  <w:vAlign w:val="center"/>
                </w:tcPr>
                <w:p w14:paraId="62BF98E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HW12</w:t>
                  </w:r>
                </w:p>
              </w:tc>
              <w:tc>
                <w:tcPr>
                  <w:tcW w:w="1440" w:type="dxa"/>
                  <w:shd w:val="clear" w:color="auto" w:fill="auto"/>
                  <w:vAlign w:val="center"/>
                </w:tcPr>
                <w:p w14:paraId="58922F9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900-252-12</w:t>
                  </w:r>
                </w:p>
              </w:tc>
              <w:tc>
                <w:tcPr>
                  <w:tcW w:w="960" w:type="dxa"/>
                  <w:shd w:val="clear" w:color="auto" w:fill="auto"/>
                  <w:vAlign w:val="center"/>
                </w:tcPr>
                <w:p w14:paraId="382668DD">
                  <w:pPr>
                    <w:pStyle w:val="38"/>
                    <w:keepNext w:val="0"/>
                    <w:keepLines w:val="0"/>
                    <w:widowControl/>
                    <w:suppressLineNumbers w:val="0"/>
                    <w:bidi w:val="0"/>
                    <w:spacing w:before="0" w:beforeAutospacing="0" w:after="0" w:afterAutospacing="0"/>
                    <w:ind w:left="0" w:right="0"/>
                    <w:rPr>
                      <w:rFonts w:hint="default"/>
                      <w:szCs w:val="22"/>
                      <w:lang w:val="en-US"/>
                    </w:rPr>
                  </w:pPr>
                  <w:r>
                    <w:rPr>
                      <w:rFonts w:hint="eastAsia"/>
                      <w:szCs w:val="22"/>
                      <w:lang w:val="en-US" w:eastAsia="zh-CN"/>
                    </w:rPr>
                    <w:t>0.45</w:t>
                  </w:r>
                </w:p>
              </w:tc>
              <w:tc>
                <w:tcPr>
                  <w:tcW w:w="2408" w:type="dxa"/>
                  <w:vMerge w:val="restart"/>
                  <w:tcBorders>
                    <w:right w:val="nil"/>
                  </w:tcBorders>
                  <w:shd w:val="clear" w:color="auto" w:fill="auto"/>
                  <w:vAlign w:val="center"/>
                </w:tcPr>
                <w:p w14:paraId="2D2CAA9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暂存于危废贮存库内，定期委托有资质的单位处置</w:t>
                  </w:r>
                </w:p>
              </w:tc>
            </w:tr>
            <w:tr w14:paraId="2014EA63">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0" w:hRule="atLeast"/>
              </w:trPr>
              <w:tc>
                <w:tcPr>
                  <w:tcW w:w="514" w:type="dxa"/>
                  <w:tcBorders>
                    <w:left w:val="nil"/>
                  </w:tcBorders>
                  <w:shd w:val="clear" w:color="auto" w:fill="auto"/>
                  <w:vAlign w:val="center"/>
                </w:tcPr>
                <w:p w14:paraId="09A4C3B6">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3</w:t>
                  </w:r>
                </w:p>
              </w:tc>
              <w:tc>
                <w:tcPr>
                  <w:tcW w:w="689" w:type="dxa"/>
                  <w:vMerge w:val="continue"/>
                  <w:shd w:val="clear" w:color="auto" w:fill="auto"/>
                  <w:vAlign w:val="center"/>
                </w:tcPr>
                <w:p w14:paraId="20BCC8E6">
                  <w:pPr>
                    <w:pStyle w:val="38"/>
                    <w:keepNext w:val="0"/>
                    <w:keepLines w:val="0"/>
                    <w:widowControl/>
                    <w:suppressLineNumbers w:val="0"/>
                    <w:bidi w:val="0"/>
                    <w:spacing w:before="0" w:beforeAutospacing="0" w:after="0" w:afterAutospacing="0"/>
                    <w:ind w:left="0" w:right="0"/>
                    <w:rPr>
                      <w:rFonts w:hint="eastAsia"/>
                      <w:szCs w:val="22"/>
                    </w:rPr>
                  </w:pPr>
                </w:p>
              </w:tc>
              <w:tc>
                <w:tcPr>
                  <w:tcW w:w="1270" w:type="dxa"/>
                  <w:shd w:val="clear" w:color="auto" w:fill="auto"/>
                  <w:vAlign w:val="center"/>
                </w:tcPr>
                <w:p w14:paraId="0BC62AF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废漆渣</w:t>
                  </w:r>
                </w:p>
              </w:tc>
              <w:tc>
                <w:tcPr>
                  <w:tcW w:w="1155" w:type="dxa"/>
                  <w:shd w:val="clear" w:color="auto" w:fill="auto"/>
                  <w:vAlign w:val="center"/>
                </w:tcPr>
                <w:p w14:paraId="5ECA939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HW12</w:t>
                  </w:r>
                </w:p>
              </w:tc>
              <w:tc>
                <w:tcPr>
                  <w:tcW w:w="1440" w:type="dxa"/>
                  <w:shd w:val="clear" w:color="auto" w:fill="auto"/>
                  <w:vAlign w:val="center"/>
                </w:tcPr>
                <w:p w14:paraId="052C5F9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900-252-12</w:t>
                  </w:r>
                </w:p>
              </w:tc>
              <w:tc>
                <w:tcPr>
                  <w:tcW w:w="960" w:type="dxa"/>
                  <w:shd w:val="clear" w:color="auto" w:fill="auto"/>
                  <w:vAlign w:val="center"/>
                </w:tcPr>
                <w:p w14:paraId="65AE57E2">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0.69</w:t>
                  </w:r>
                </w:p>
              </w:tc>
              <w:tc>
                <w:tcPr>
                  <w:tcW w:w="2408" w:type="dxa"/>
                  <w:vMerge w:val="continue"/>
                  <w:tcBorders>
                    <w:right w:val="nil"/>
                  </w:tcBorders>
                  <w:shd w:val="clear" w:color="auto" w:fill="auto"/>
                  <w:vAlign w:val="center"/>
                </w:tcPr>
                <w:p w14:paraId="3A00EE75">
                  <w:pPr>
                    <w:pStyle w:val="38"/>
                    <w:keepNext w:val="0"/>
                    <w:keepLines w:val="0"/>
                    <w:widowControl/>
                    <w:suppressLineNumbers w:val="0"/>
                    <w:bidi w:val="0"/>
                    <w:spacing w:before="0" w:beforeAutospacing="0" w:after="0" w:afterAutospacing="0"/>
                    <w:ind w:left="0" w:right="0"/>
                    <w:rPr>
                      <w:rFonts w:hint="eastAsia"/>
                      <w:szCs w:val="22"/>
                    </w:rPr>
                  </w:pPr>
                </w:p>
              </w:tc>
            </w:tr>
            <w:tr w14:paraId="2C63D06D">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0" w:hRule="atLeast"/>
              </w:trPr>
              <w:tc>
                <w:tcPr>
                  <w:tcW w:w="514" w:type="dxa"/>
                  <w:tcBorders>
                    <w:left w:val="nil"/>
                  </w:tcBorders>
                  <w:shd w:val="clear" w:color="auto" w:fill="auto"/>
                  <w:vAlign w:val="center"/>
                </w:tcPr>
                <w:p w14:paraId="7FAFEFC3">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4</w:t>
                  </w:r>
                </w:p>
              </w:tc>
              <w:tc>
                <w:tcPr>
                  <w:tcW w:w="689" w:type="dxa"/>
                  <w:vMerge w:val="continue"/>
                  <w:shd w:val="clear" w:color="auto" w:fill="auto"/>
                  <w:vAlign w:val="center"/>
                </w:tcPr>
                <w:p w14:paraId="207CC154">
                  <w:pPr>
                    <w:pStyle w:val="38"/>
                    <w:keepNext w:val="0"/>
                    <w:keepLines w:val="0"/>
                    <w:widowControl/>
                    <w:suppressLineNumbers w:val="0"/>
                    <w:bidi w:val="0"/>
                    <w:spacing w:before="0" w:beforeAutospacing="0" w:after="0" w:afterAutospacing="0"/>
                    <w:ind w:left="0" w:right="0"/>
                    <w:rPr>
                      <w:rFonts w:hint="eastAsia"/>
                      <w:szCs w:val="22"/>
                    </w:rPr>
                  </w:pPr>
                </w:p>
              </w:tc>
              <w:tc>
                <w:tcPr>
                  <w:tcW w:w="1270" w:type="dxa"/>
                  <w:shd w:val="clear" w:color="auto" w:fill="auto"/>
                  <w:vAlign w:val="center"/>
                </w:tcPr>
                <w:p w14:paraId="4BC3566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废水性漆桶</w:t>
                  </w:r>
                </w:p>
              </w:tc>
              <w:tc>
                <w:tcPr>
                  <w:tcW w:w="1155" w:type="dxa"/>
                  <w:shd w:val="clear" w:color="auto" w:fill="auto"/>
                  <w:vAlign w:val="center"/>
                </w:tcPr>
                <w:p w14:paraId="43445CF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HW49</w:t>
                  </w:r>
                </w:p>
              </w:tc>
              <w:tc>
                <w:tcPr>
                  <w:tcW w:w="1440" w:type="dxa"/>
                  <w:shd w:val="clear" w:color="auto" w:fill="auto"/>
                  <w:vAlign w:val="center"/>
                </w:tcPr>
                <w:p w14:paraId="75A0199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900-041-49</w:t>
                  </w:r>
                </w:p>
              </w:tc>
              <w:tc>
                <w:tcPr>
                  <w:tcW w:w="960" w:type="dxa"/>
                  <w:shd w:val="clear" w:color="auto" w:fill="auto"/>
                  <w:vAlign w:val="center"/>
                </w:tcPr>
                <w:p w14:paraId="43344D19">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0.01</w:t>
                  </w:r>
                </w:p>
              </w:tc>
              <w:tc>
                <w:tcPr>
                  <w:tcW w:w="2408" w:type="dxa"/>
                  <w:vMerge w:val="continue"/>
                  <w:tcBorders>
                    <w:right w:val="nil"/>
                  </w:tcBorders>
                  <w:shd w:val="clear" w:color="auto" w:fill="auto"/>
                  <w:vAlign w:val="center"/>
                </w:tcPr>
                <w:p w14:paraId="24B74FA4">
                  <w:pPr>
                    <w:pStyle w:val="38"/>
                    <w:keepNext w:val="0"/>
                    <w:keepLines w:val="0"/>
                    <w:widowControl/>
                    <w:suppressLineNumbers w:val="0"/>
                    <w:bidi w:val="0"/>
                    <w:spacing w:before="0" w:beforeAutospacing="0" w:after="0" w:afterAutospacing="0"/>
                    <w:ind w:left="0" w:right="0"/>
                    <w:rPr>
                      <w:rFonts w:hint="eastAsia"/>
                      <w:szCs w:val="22"/>
                    </w:rPr>
                  </w:pPr>
                </w:p>
              </w:tc>
            </w:tr>
            <w:tr w14:paraId="6DBC2315">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0" w:hRule="atLeast"/>
              </w:trPr>
              <w:tc>
                <w:tcPr>
                  <w:tcW w:w="514" w:type="dxa"/>
                  <w:tcBorders>
                    <w:left w:val="nil"/>
                  </w:tcBorders>
                  <w:shd w:val="clear" w:color="auto" w:fill="auto"/>
                  <w:vAlign w:val="center"/>
                </w:tcPr>
                <w:p w14:paraId="5D45BA4D">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5</w:t>
                  </w:r>
                </w:p>
              </w:tc>
              <w:tc>
                <w:tcPr>
                  <w:tcW w:w="689" w:type="dxa"/>
                  <w:vMerge w:val="continue"/>
                  <w:shd w:val="clear" w:color="auto" w:fill="auto"/>
                  <w:vAlign w:val="center"/>
                </w:tcPr>
                <w:p w14:paraId="1697811A">
                  <w:pPr>
                    <w:pStyle w:val="38"/>
                    <w:keepNext w:val="0"/>
                    <w:keepLines w:val="0"/>
                    <w:widowControl/>
                    <w:suppressLineNumbers w:val="0"/>
                    <w:bidi w:val="0"/>
                    <w:spacing w:before="0" w:beforeAutospacing="0" w:after="0" w:afterAutospacing="0"/>
                    <w:ind w:left="0" w:right="0"/>
                    <w:rPr>
                      <w:rFonts w:hint="eastAsia"/>
                      <w:szCs w:val="22"/>
                    </w:rPr>
                  </w:pPr>
                </w:p>
              </w:tc>
              <w:tc>
                <w:tcPr>
                  <w:tcW w:w="1270" w:type="dxa"/>
                  <w:shd w:val="clear" w:color="auto" w:fill="auto"/>
                  <w:vAlign w:val="center"/>
                </w:tcPr>
                <w:p w14:paraId="1DEBED9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废油性漆桶</w:t>
                  </w:r>
                </w:p>
              </w:tc>
              <w:tc>
                <w:tcPr>
                  <w:tcW w:w="1155" w:type="dxa"/>
                  <w:shd w:val="clear" w:color="auto" w:fill="auto"/>
                  <w:vAlign w:val="center"/>
                </w:tcPr>
                <w:p w14:paraId="7F1711C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HW49</w:t>
                  </w:r>
                </w:p>
              </w:tc>
              <w:tc>
                <w:tcPr>
                  <w:tcW w:w="1440" w:type="dxa"/>
                  <w:shd w:val="clear" w:color="auto" w:fill="auto"/>
                  <w:vAlign w:val="center"/>
                </w:tcPr>
                <w:p w14:paraId="31FD0FA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900-041-49</w:t>
                  </w:r>
                </w:p>
              </w:tc>
              <w:tc>
                <w:tcPr>
                  <w:tcW w:w="960" w:type="dxa"/>
                  <w:shd w:val="clear" w:color="auto" w:fill="auto"/>
                  <w:vAlign w:val="center"/>
                </w:tcPr>
                <w:p w14:paraId="28458846">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0.04</w:t>
                  </w:r>
                </w:p>
              </w:tc>
              <w:tc>
                <w:tcPr>
                  <w:tcW w:w="2408" w:type="dxa"/>
                  <w:vMerge w:val="continue"/>
                  <w:tcBorders>
                    <w:right w:val="nil"/>
                  </w:tcBorders>
                  <w:shd w:val="clear" w:color="auto" w:fill="auto"/>
                  <w:vAlign w:val="center"/>
                </w:tcPr>
                <w:p w14:paraId="3BEABCDC">
                  <w:pPr>
                    <w:pStyle w:val="38"/>
                    <w:keepNext w:val="0"/>
                    <w:keepLines w:val="0"/>
                    <w:widowControl/>
                    <w:suppressLineNumbers w:val="0"/>
                    <w:bidi w:val="0"/>
                    <w:spacing w:before="0" w:beforeAutospacing="0" w:after="0" w:afterAutospacing="0"/>
                    <w:ind w:left="0" w:right="0"/>
                    <w:rPr>
                      <w:rFonts w:hint="eastAsia"/>
                      <w:szCs w:val="22"/>
                    </w:rPr>
                  </w:pPr>
                </w:p>
              </w:tc>
            </w:tr>
            <w:tr w14:paraId="65CAB56D">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514" w:type="dxa"/>
                  <w:tcBorders>
                    <w:left w:val="nil"/>
                  </w:tcBorders>
                  <w:shd w:val="clear" w:color="auto" w:fill="auto"/>
                  <w:vAlign w:val="center"/>
                </w:tcPr>
                <w:p w14:paraId="5E70ADDC">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6</w:t>
                  </w:r>
                </w:p>
              </w:tc>
              <w:tc>
                <w:tcPr>
                  <w:tcW w:w="689" w:type="dxa"/>
                  <w:vMerge w:val="continue"/>
                  <w:shd w:val="clear" w:color="auto" w:fill="auto"/>
                  <w:vAlign w:val="center"/>
                </w:tcPr>
                <w:p w14:paraId="70794C5C">
                  <w:pPr>
                    <w:pStyle w:val="38"/>
                    <w:keepNext w:val="0"/>
                    <w:keepLines w:val="0"/>
                    <w:widowControl/>
                    <w:suppressLineNumbers w:val="0"/>
                    <w:bidi w:val="0"/>
                    <w:spacing w:before="0" w:beforeAutospacing="0" w:after="0" w:afterAutospacing="0"/>
                    <w:ind w:left="0" w:right="0"/>
                    <w:rPr>
                      <w:rFonts w:hint="eastAsia"/>
                      <w:szCs w:val="22"/>
                    </w:rPr>
                  </w:pPr>
                </w:p>
              </w:tc>
              <w:tc>
                <w:tcPr>
                  <w:tcW w:w="1270" w:type="dxa"/>
                  <w:shd w:val="clear" w:color="auto" w:fill="auto"/>
                  <w:vAlign w:val="center"/>
                </w:tcPr>
                <w:p w14:paraId="24581C7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废活性炭</w:t>
                  </w:r>
                </w:p>
              </w:tc>
              <w:tc>
                <w:tcPr>
                  <w:tcW w:w="1155" w:type="dxa"/>
                  <w:shd w:val="clear" w:color="auto" w:fill="auto"/>
                  <w:vAlign w:val="center"/>
                </w:tcPr>
                <w:p w14:paraId="3BD6090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HW49</w:t>
                  </w:r>
                </w:p>
              </w:tc>
              <w:tc>
                <w:tcPr>
                  <w:tcW w:w="1440" w:type="dxa"/>
                  <w:shd w:val="clear" w:color="auto" w:fill="auto"/>
                  <w:vAlign w:val="center"/>
                </w:tcPr>
                <w:p w14:paraId="5B53D0D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900-039-49</w:t>
                  </w:r>
                </w:p>
              </w:tc>
              <w:tc>
                <w:tcPr>
                  <w:tcW w:w="960" w:type="dxa"/>
                  <w:shd w:val="clear" w:color="auto" w:fill="auto"/>
                  <w:vAlign w:val="center"/>
                </w:tcPr>
                <w:p w14:paraId="617CA361">
                  <w:pPr>
                    <w:pStyle w:val="38"/>
                    <w:keepNext w:val="0"/>
                    <w:keepLines w:val="0"/>
                    <w:widowControl/>
                    <w:suppressLineNumbers w:val="0"/>
                    <w:bidi w:val="0"/>
                    <w:spacing w:before="0" w:beforeAutospacing="0" w:after="0" w:afterAutospacing="0"/>
                    <w:ind w:left="0" w:right="0"/>
                    <w:rPr>
                      <w:rFonts w:hint="default"/>
                      <w:szCs w:val="22"/>
                      <w:lang w:val="en-US"/>
                    </w:rPr>
                  </w:pPr>
                  <w:r>
                    <w:rPr>
                      <w:rFonts w:hint="eastAsia"/>
                      <w:szCs w:val="22"/>
                      <w:lang w:val="en-US" w:eastAsia="zh-CN"/>
                    </w:rPr>
                    <w:t>4.95</w:t>
                  </w:r>
                </w:p>
              </w:tc>
              <w:tc>
                <w:tcPr>
                  <w:tcW w:w="2408" w:type="dxa"/>
                  <w:vMerge w:val="continue"/>
                  <w:tcBorders>
                    <w:right w:val="nil"/>
                  </w:tcBorders>
                  <w:shd w:val="clear" w:color="auto" w:fill="auto"/>
                  <w:vAlign w:val="center"/>
                </w:tcPr>
                <w:p w14:paraId="0959992D">
                  <w:pPr>
                    <w:pStyle w:val="38"/>
                    <w:keepNext w:val="0"/>
                    <w:keepLines w:val="0"/>
                    <w:widowControl/>
                    <w:suppressLineNumbers w:val="0"/>
                    <w:bidi w:val="0"/>
                    <w:spacing w:before="0" w:beforeAutospacing="0" w:after="0" w:afterAutospacing="0"/>
                    <w:ind w:left="0" w:right="0"/>
                    <w:rPr>
                      <w:rFonts w:hint="eastAsia"/>
                      <w:szCs w:val="22"/>
                    </w:rPr>
                  </w:pPr>
                </w:p>
              </w:tc>
            </w:tr>
            <w:tr w14:paraId="271C3172">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0" w:hRule="atLeast"/>
              </w:trPr>
              <w:tc>
                <w:tcPr>
                  <w:tcW w:w="514" w:type="dxa"/>
                  <w:tcBorders>
                    <w:left w:val="nil"/>
                  </w:tcBorders>
                  <w:shd w:val="clear" w:color="auto" w:fill="auto"/>
                  <w:vAlign w:val="center"/>
                </w:tcPr>
                <w:p w14:paraId="0DE42C62">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7</w:t>
                  </w:r>
                </w:p>
              </w:tc>
              <w:tc>
                <w:tcPr>
                  <w:tcW w:w="689" w:type="dxa"/>
                  <w:vMerge w:val="continue"/>
                  <w:shd w:val="clear" w:color="auto" w:fill="auto"/>
                  <w:vAlign w:val="center"/>
                </w:tcPr>
                <w:p w14:paraId="37176744">
                  <w:pPr>
                    <w:pStyle w:val="38"/>
                    <w:keepNext w:val="0"/>
                    <w:keepLines w:val="0"/>
                    <w:widowControl/>
                    <w:suppressLineNumbers w:val="0"/>
                    <w:bidi w:val="0"/>
                    <w:spacing w:before="0" w:beforeAutospacing="0" w:after="0" w:afterAutospacing="0"/>
                    <w:ind w:left="0" w:right="0"/>
                    <w:rPr>
                      <w:rFonts w:hint="eastAsia"/>
                      <w:szCs w:val="22"/>
                    </w:rPr>
                  </w:pPr>
                </w:p>
              </w:tc>
              <w:tc>
                <w:tcPr>
                  <w:tcW w:w="1270" w:type="dxa"/>
                  <w:shd w:val="clear" w:color="auto" w:fill="auto"/>
                  <w:vAlign w:val="center"/>
                </w:tcPr>
                <w:p w14:paraId="2FB8B11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废过滤棉</w:t>
                  </w:r>
                </w:p>
              </w:tc>
              <w:tc>
                <w:tcPr>
                  <w:tcW w:w="1155" w:type="dxa"/>
                  <w:shd w:val="clear" w:color="auto" w:fill="auto"/>
                  <w:vAlign w:val="center"/>
                </w:tcPr>
                <w:p w14:paraId="73F5FDE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HW49</w:t>
                  </w:r>
                </w:p>
              </w:tc>
              <w:tc>
                <w:tcPr>
                  <w:tcW w:w="1440" w:type="dxa"/>
                  <w:shd w:val="clear" w:color="auto" w:fill="auto"/>
                  <w:vAlign w:val="center"/>
                </w:tcPr>
                <w:p w14:paraId="1C897FF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900-041-49</w:t>
                  </w:r>
                </w:p>
              </w:tc>
              <w:tc>
                <w:tcPr>
                  <w:tcW w:w="960" w:type="dxa"/>
                  <w:shd w:val="clear" w:color="auto" w:fill="auto"/>
                  <w:vAlign w:val="center"/>
                </w:tcPr>
                <w:p w14:paraId="091C6E89">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0.2</w:t>
                  </w:r>
                </w:p>
              </w:tc>
              <w:tc>
                <w:tcPr>
                  <w:tcW w:w="2408" w:type="dxa"/>
                  <w:vMerge w:val="continue"/>
                  <w:tcBorders>
                    <w:right w:val="nil"/>
                  </w:tcBorders>
                  <w:shd w:val="clear" w:color="auto" w:fill="auto"/>
                  <w:vAlign w:val="center"/>
                </w:tcPr>
                <w:p w14:paraId="23E46DA0">
                  <w:pPr>
                    <w:pStyle w:val="38"/>
                    <w:keepNext w:val="0"/>
                    <w:keepLines w:val="0"/>
                    <w:widowControl/>
                    <w:suppressLineNumbers w:val="0"/>
                    <w:bidi w:val="0"/>
                    <w:spacing w:before="0" w:beforeAutospacing="0" w:after="0" w:afterAutospacing="0"/>
                    <w:ind w:left="0" w:right="0"/>
                    <w:rPr>
                      <w:rFonts w:hint="eastAsia"/>
                      <w:szCs w:val="22"/>
                    </w:rPr>
                  </w:pPr>
                </w:p>
              </w:tc>
            </w:tr>
            <w:tr w14:paraId="280C4A36">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PrEx>
              <w:trPr>
                <w:trHeight w:val="520" w:hRule="atLeast"/>
              </w:trPr>
              <w:tc>
                <w:tcPr>
                  <w:tcW w:w="514" w:type="dxa"/>
                  <w:tcBorders>
                    <w:left w:val="nil"/>
                  </w:tcBorders>
                  <w:shd w:val="clear" w:color="auto" w:fill="auto"/>
                  <w:vAlign w:val="center"/>
                </w:tcPr>
                <w:p w14:paraId="39A8C123">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8</w:t>
                  </w:r>
                </w:p>
              </w:tc>
              <w:tc>
                <w:tcPr>
                  <w:tcW w:w="689" w:type="dxa"/>
                  <w:vMerge w:val="continue"/>
                  <w:shd w:val="clear" w:color="auto" w:fill="auto"/>
                  <w:vAlign w:val="center"/>
                </w:tcPr>
                <w:p w14:paraId="598832A6">
                  <w:pPr>
                    <w:pStyle w:val="38"/>
                    <w:keepNext w:val="0"/>
                    <w:keepLines w:val="0"/>
                    <w:widowControl/>
                    <w:suppressLineNumbers w:val="0"/>
                    <w:bidi w:val="0"/>
                    <w:spacing w:before="0" w:beforeAutospacing="0" w:after="0" w:afterAutospacing="0"/>
                    <w:ind w:left="0" w:right="0"/>
                    <w:rPr>
                      <w:rFonts w:hint="eastAsia"/>
                      <w:szCs w:val="22"/>
                    </w:rPr>
                  </w:pPr>
                </w:p>
              </w:tc>
              <w:tc>
                <w:tcPr>
                  <w:tcW w:w="1270" w:type="dxa"/>
                  <w:shd w:val="clear" w:color="auto" w:fill="auto"/>
                  <w:vAlign w:val="center"/>
                </w:tcPr>
                <w:p w14:paraId="543082A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废机油</w:t>
                  </w:r>
                </w:p>
              </w:tc>
              <w:tc>
                <w:tcPr>
                  <w:tcW w:w="1155" w:type="dxa"/>
                  <w:shd w:val="clear" w:color="auto" w:fill="auto"/>
                  <w:vAlign w:val="center"/>
                </w:tcPr>
                <w:p w14:paraId="47C69E6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HW08</w:t>
                  </w:r>
                </w:p>
              </w:tc>
              <w:tc>
                <w:tcPr>
                  <w:tcW w:w="1440" w:type="dxa"/>
                  <w:shd w:val="clear" w:color="auto" w:fill="auto"/>
                  <w:vAlign w:val="center"/>
                </w:tcPr>
                <w:p w14:paraId="24FF6C9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900-249-08</w:t>
                  </w:r>
                </w:p>
              </w:tc>
              <w:tc>
                <w:tcPr>
                  <w:tcW w:w="960" w:type="dxa"/>
                  <w:shd w:val="clear" w:color="auto" w:fill="auto"/>
                  <w:vAlign w:val="center"/>
                </w:tcPr>
                <w:p w14:paraId="750E666A">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0.01</w:t>
                  </w:r>
                </w:p>
              </w:tc>
              <w:tc>
                <w:tcPr>
                  <w:tcW w:w="2408" w:type="dxa"/>
                  <w:vMerge w:val="continue"/>
                  <w:tcBorders>
                    <w:right w:val="nil"/>
                  </w:tcBorders>
                  <w:shd w:val="clear" w:color="auto" w:fill="auto"/>
                  <w:vAlign w:val="center"/>
                </w:tcPr>
                <w:p w14:paraId="285F877F">
                  <w:pPr>
                    <w:pStyle w:val="38"/>
                    <w:keepNext w:val="0"/>
                    <w:keepLines w:val="0"/>
                    <w:widowControl/>
                    <w:suppressLineNumbers w:val="0"/>
                    <w:bidi w:val="0"/>
                    <w:spacing w:before="0" w:beforeAutospacing="0" w:after="0" w:afterAutospacing="0"/>
                    <w:ind w:left="0" w:right="0"/>
                    <w:rPr>
                      <w:rFonts w:hint="eastAsia"/>
                      <w:szCs w:val="22"/>
                    </w:rPr>
                  </w:pPr>
                </w:p>
              </w:tc>
            </w:tr>
            <w:tr w14:paraId="19BC97EE">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0" w:hRule="atLeast"/>
              </w:trPr>
              <w:tc>
                <w:tcPr>
                  <w:tcW w:w="514" w:type="dxa"/>
                  <w:tcBorders>
                    <w:left w:val="nil"/>
                    <w:bottom w:val="single" w:color="000000" w:sz="12" w:space="0"/>
                  </w:tcBorders>
                  <w:shd w:val="clear" w:color="auto" w:fill="auto"/>
                  <w:vAlign w:val="center"/>
                </w:tcPr>
                <w:p w14:paraId="5AA1F715">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9</w:t>
                  </w:r>
                </w:p>
              </w:tc>
              <w:tc>
                <w:tcPr>
                  <w:tcW w:w="1959" w:type="dxa"/>
                  <w:gridSpan w:val="2"/>
                  <w:tcBorders>
                    <w:bottom w:val="single" w:color="000000" w:sz="12" w:space="0"/>
                  </w:tcBorders>
                  <w:shd w:val="clear" w:color="auto" w:fill="auto"/>
                  <w:vAlign w:val="center"/>
                </w:tcPr>
                <w:p w14:paraId="6281F24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生活垃圾</w:t>
                  </w:r>
                </w:p>
              </w:tc>
              <w:tc>
                <w:tcPr>
                  <w:tcW w:w="1155" w:type="dxa"/>
                  <w:tcBorders>
                    <w:bottom w:val="single" w:color="000000" w:sz="12" w:space="0"/>
                  </w:tcBorders>
                  <w:shd w:val="clear" w:color="auto" w:fill="auto"/>
                  <w:vAlign w:val="center"/>
                </w:tcPr>
                <w:p w14:paraId="2B04281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w:t>
                  </w:r>
                </w:p>
              </w:tc>
              <w:tc>
                <w:tcPr>
                  <w:tcW w:w="1440" w:type="dxa"/>
                  <w:tcBorders>
                    <w:bottom w:val="single" w:color="000000" w:sz="12" w:space="0"/>
                  </w:tcBorders>
                  <w:shd w:val="clear" w:color="auto" w:fill="auto"/>
                  <w:vAlign w:val="center"/>
                </w:tcPr>
                <w:p w14:paraId="665F416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w:t>
                  </w:r>
                </w:p>
              </w:tc>
              <w:tc>
                <w:tcPr>
                  <w:tcW w:w="960" w:type="dxa"/>
                  <w:tcBorders>
                    <w:bottom w:val="single" w:color="000000" w:sz="12" w:space="0"/>
                  </w:tcBorders>
                  <w:shd w:val="clear" w:color="auto" w:fill="auto"/>
                  <w:vAlign w:val="center"/>
                </w:tcPr>
                <w:p w14:paraId="7A0CF5BD">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1.95</w:t>
                  </w:r>
                </w:p>
              </w:tc>
              <w:tc>
                <w:tcPr>
                  <w:tcW w:w="2408" w:type="dxa"/>
                  <w:tcBorders>
                    <w:bottom w:val="single" w:color="000000" w:sz="12" w:space="0"/>
                    <w:right w:val="nil"/>
                  </w:tcBorders>
                  <w:shd w:val="clear" w:color="auto" w:fill="auto"/>
                  <w:vAlign w:val="center"/>
                </w:tcPr>
                <w:p w14:paraId="519E363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分类收集后交由环卫部门统一清运处置</w:t>
                  </w:r>
                </w:p>
              </w:tc>
            </w:tr>
          </w:tbl>
          <w:p w14:paraId="5B0FF209">
            <w:pPr>
              <w:pStyle w:val="4"/>
              <w:suppressLineNumbers w:val="0"/>
              <w:bidi w:val="0"/>
              <w:spacing w:before="0" w:beforeAutospacing="0" w:after="0" w:afterAutospacing="0"/>
              <w:ind w:left="0" w:right="0"/>
              <w:rPr>
                <w:rFonts w:hint="eastAsia"/>
                <w:lang w:val="en-US" w:eastAsia="zh-CN"/>
              </w:rPr>
            </w:pPr>
            <w:r>
              <w:rPr>
                <w:rFonts w:hint="eastAsia"/>
                <w:lang w:val="en-US" w:eastAsia="zh-CN"/>
              </w:rPr>
              <w:t>固体废物管理要求</w:t>
            </w:r>
          </w:p>
          <w:p w14:paraId="10CA0263">
            <w:pPr>
              <w:pStyle w:val="5"/>
              <w:keepNext w:val="0"/>
              <w:keepLines w:val="0"/>
              <w:suppressLineNumbers w:val="0"/>
              <w:bidi w:val="0"/>
              <w:spacing w:before="0" w:beforeAutospacing="0" w:after="0" w:afterAutospacing="0"/>
              <w:ind w:left="0" w:right="0"/>
              <w:rPr>
                <w:rFonts w:hint="eastAsia"/>
                <w:lang w:val="en-US" w:eastAsia="zh-CN"/>
              </w:rPr>
            </w:pPr>
            <w:r>
              <w:rPr>
                <w:rFonts w:hint="eastAsia"/>
                <w:lang w:val="en-US" w:eastAsia="zh-CN"/>
              </w:rPr>
              <w:t>一般工业固废</w:t>
            </w:r>
          </w:p>
          <w:p w14:paraId="6DDF53F4">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本项目在生产过程中产生</w:t>
            </w:r>
            <w:r>
              <w:rPr>
                <w:rFonts w:hint="eastAsia" w:ascii="Times New Roman" w:hAnsi="Times New Roman" w:eastAsia="宋体" w:cs="Times New Roman"/>
                <w:color w:val="auto"/>
                <w:sz w:val="24"/>
                <w:szCs w:val="24"/>
                <w:highlight w:val="none"/>
                <w:lang w:val="en-US" w:eastAsia="zh-CN"/>
              </w:rPr>
              <w:t>的一般固废为：</w:t>
            </w:r>
            <w:r>
              <w:rPr>
                <w:rFonts w:hint="eastAsia" w:cs="Times New Roman"/>
                <w:color w:val="auto"/>
                <w:sz w:val="24"/>
                <w:highlight w:val="none"/>
                <w:lang w:val="en-US" w:eastAsia="zh-CN"/>
              </w:rPr>
              <w:t>不合格产品</w:t>
            </w:r>
            <w:r>
              <w:rPr>
                <w:rFonts w:hint="eastAsia" w:ascii="Times New Roman" w:hAnsi="Times New Roman" w:eastAsia="宋体" w:cs="Times New Roman"/>
                <w:color w:val="auto"/>
                <w:sz w:val="24"/>
                <w:highlight w:val="none"/>
                <w:lang w:val="en-US" w:eastAsia="zh-CN"/>
              </w:rPr>
              <w:t>等</w:t>
            </w:r>
            <w:r>
              <w:rPr>
                <w:rFonts w:hint="eastAsia" w:ascii="Times New Roman" w:hAnsi="Times New Roman" w:eastAsia="宋体" w:cs="Times New Roman"/>
                <w:bCs/>
                <w:color w:val="auto"/>
                <w:sz w:val="24"/>
                <w:highlight w:val="none"/>
                <w:lang w:val="en-US" w:eastAsia="zh-CN"/>
              </w:rPr>
              <w:t>集中收集后回用于生产。</w:t>
            </w:r>
            <w:r>
              <w:rPr>
                <w:rFonts w:hint="default" w:ascii="Times New Roman" w:hAnsi="Times New Roman" w:eastAsia="宋体" w:cs="Times New Roman"/>
                <w:color w:val="auto"/>
                <w:sz w:val="24"/>
                <w:szCs w:val="24"/>
                <w:highlight w:val="none"/>
              </w:rPr>
              <w:t>本评价要求项目</w:t>
            </w:r>
            <w:r>
              <w:rPr>
                <w:rFonts w:hint="eastAsia" w:ascii="Times New Roman" w:hAnsi="Times New Roman" w:eastAsia="宋体" w:cs="Times New Roman"/>
                <w:color w:val="auto"/>
                <w:sz w:val="24"/>
                <w:szCs w:val="24"/>
                <w:highlight w:val="none"/>
                <w:lang w:eastAsia="zh-CN"/>
              </w:rPr>
              <w:t>产生的</w:t>
            </w:r>
            <w:r>
              <w:rPr>
                <w:rFonts w:hint="default" w:ascii="Times New Roman" w:hAnsi="Times New Roman" w:eastAsia="宋体" w:cs="Times New Roman"/>
                <w:color w:val="auto"/>
                <w:sz w:val="24"/>
                <w:szCs w:val="24"/>
                <w:highlight w:val="none"/>
              </w:rPr>
              <w:t>一般工业固废</w:t>
            </w:r>
            <w:r>
              <w:rPr>
                <w:rFonts w:hint="eastAsia" w:ascii="Times New Roman" w:hAnsi="Times New Roman" w:eastAsia="宋体" w:cs="Times New Roman"/>
                <w:color w:val="auto"/>
                <w:sz w:val="24"/>
                <w:szCs w:val="24"/>
                <w:highlight w:val="none"/>
                <w:lang w:eastAsia="zh-CN"/>
              </w:rPr>
              <w:t>应按</w:t>
            </w:r>
            <w:r>
              <w:rPr>
                <w:rFonts w:hint="default" w:ascii="Times New Roman" w:hAnsi="Times New Roman" w:eastAsia="宋体" w:cs="Times New Roman"/>
                <w:color w:val="auto"/>
                <w:sz w:val="24"/>
                <w:szCs w:val="24"/>
                <w:highlight w:val="none"/>
              </w:rPr>
              <w:t>《一般工业固体废物贮存和填埋污染控制标准》</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GB18599-20</w:t>
            </w:r>
            <w:r>
              <w:rPr>
                <w:rFonts w:hint="eastAsia" w:ascii="Times New Roman" w:hAnsi="Times New Roman" w:eastAsia="宋体" w:cs="Times New Roman"/>
                <w:color w:val="auto"/>
                <w:sz w:val="24"/>
                <w:szCs w:val="24"/>
                <w:highlight w:val="none"/>
                <w:lang w:val="en-US" w:eastAsia="zh-CN"/>
              </w:rPr>
              <w:t>20</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中要求</w:t>
            </w:r>
            <w:r>
              <w:rPr>
                <w:rFonts w:hint="eastAsia" w:ascii="Times New Roman" w:hAnsi="Times New Roman" w:eastAsia="宋体" w:cs="Times New Roman"/>
                <w:color w:val="auto"/>
                <w:sz w:val="24"/>
                <w:szCs w:val="24"/>
                <w:highlight w:val="none"/>
                <w:lang w:eastAsia="zh-CN"/>
              </w:rPr>
              <w:t>进行规范化的处理处置</w:t>
            </w:r>
            <w:r>
              <w:rPr>
                <w:rFonts w:hint="default" w:ascii="Times New Roman" w:hAnsi="Times New Roman" w:eastAsia="宋体" w:cs="Times New Roman"/>
                <w:color w:val="auto"/>
                <w:sz w:val="24"/>
                <w:szCs w:val="24"/>
                <w:highlight w:val="none"/>
              </w:rPr>
              <w:t>，并做好</w:t>
            </w:r>
            <w:r>
              <w:rPr>
                <w:rFonts w:hint="default" w:ascii="Times New Roman" w:hAnsi="Times New Roman" w:eastAsia="宋体" w:cs="Times New Roman"/>
                <w:color w:val="auto"/>
                <w:sz w:val="24"/>
                <w:szCs w:val="24"/>
                <w:highlight w:val="none"/>
                <w:lang w:val="en-US" w:eastAsia="zh-CN"/>
              </w:rPr>
              <w:t>防风、防雨、防晒、防渗漏</w:t>
            </w:r>
            <w:r>
              <w:rPr>
                <w:rFonts w:hint="eastAsia" w:ascii="Times New Roman" w:hAnsi="Times New Roman" w:eastAsia="宋体" w:cs="Times New Roman"/>
                <w:color w:val="auto"/>
                <w:sz w:val="24"/>
                <w:szCs w:val="24"/>
                <w:highlight w:val="none"/>
                <w:lang w:val="en-US" w:eastAsia="zh-CN"/>
              </w:rPr>
              <w:t>等</w:t>
            </w:r>
            <w:r>
              <w:rPr>
                <w:rFonts w:hint="default" w:ascii="Times New Roman" w:hAnsi="Times New Roman" w:eastAsia="宋体" w:cs="Times New Roman"/>
                <w:color w:val="auto"/>
                <w:sz w:val="24"/>
                <w:szCs w:val="24"/>
                <w:highlight w:val="none"/>
              </w:rPr>
              <w:t>措施。</w:t>
            </w:r>
          </w:p>
          <w:p w14:paraId="4F505FE2">
            <w:pPr>
              <w:pStyle w:val="5"/>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危险废物</w:t>
            </w:r>
          </w:p>
          <w:p w14:paraId="35A3FA87">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rPr>
              <w:t>建设单位拟在厂</w:t>
            </w:r>
            <w:r>
              <w:rPr>
                <w:rFonts w:hint="eastAsia" w:ascii="Times New Roman" w:hAnsi="Times New Roman" w:eastAsia="宋体" w:cs="Times New Roman"/>
                <w:bCs/>
                <w:color w:val="auto"/>
                <w:sz w:val="24"/>
                <w:highlight w:val="none"/>
                <w:lang w:val="en-US" w:eastAsia="zh-CN"/>
              </w:rPr>
              <w:t>区</w:t>
            </w:r>
            <w:r>
              <w:rPr>
                <w:rFonts w:hint="default" w:ascii="Times New Roman" w:hAnsi="Times New Roman" w:eastAsia="宋体" w:cs="Times New Roman"/>
                <w:bCs/>
                <w:color w:val="auto"/>
                <w:sz w:val="24"/>
                <w:highlight w:val="none"/>
                <w:lang w:val="en-US"/>
              </w:rPr>
              <w:t>内设置一处</w:t>
            </w:r>
            <w:r>
              <w:rPr>
                <w:rFonts w:hint="eastAsia" w:cs="Times New Roman"/>
                <w:bCs/>
                <w:color w:val="auto"/>
                <w:sz w:val="24"/>
                <w:highlight w:val="none"/>
                <w:lang w:val="en-US" w:eastAsia="zh-CN"/>
              </w:rPr>
              <w:t>危废贮存库</w:t>
            </w:r>
            <w:r>
              <w:rPr>
                <w:rFonts w:hint="default" w:ascii="Times New Roman" w:hAnsi="Times New Roman" w:eastAsia="宋体" w:cs="Times New Roman"/>
                <w:bCs/>
                <w:color w:val="auto"/>
                <w:sz w:val="24"/>
                <w:highlight w:val="none"/>
                <w:lang w:val="en-US"/>
              </w:rPr>
              <w:t>，危险废物收集后分类分区贮存于</w:t>
            </w:r>
            <w:r>
              <w:rPr>
                <w:rFonts w:hint="eastAsia" w:cs="Times New Roman"/>
                <w:bCs/>
                <w:color w:val="auto"/>
                <w:sz w:val="24"/>
                <w:highlight w:val="none"/>
                <w:lang w:val="en-US" w:eastAsia="zh-CN"/>
              </w:rPr>
              <w:t>危废贮存库</w:t>
            </w:r>
            <w:r>
              <w:rPr>
                <w:rFonts w:hint="default" w:ascii="Times New Roman" w:hAnsi="Times New Roman" w:eastAsia="宋体" w:cs="Times New Roman"/>
                <w:bCs/>
                <w:color w:val="auto"/>
                <w:sz w:val="24"/>
                <w:highlight w:val="none"/>
                <w:lang w:val="en-US"/>
              </w:rPr>
              <w:t>并委托有资质单位处置。危险废物在厂区内贮存执行《危险废物贮存污染</w:t>
            </w:r>
            <w:r>
              <w:rPr>
                <w:rFonts w:hint="eastAsia" w:cs="Times New Roman"/>
                <w:bCs/>
                <w:color w:val="auto"/>
                <w:sz w:val="24"/>
                <w:highlight w:val="none"/>
                <w:lang w:val="en-US" w:eastAsia="zh-CN"/>
              </w:rPr>
              <w:t>控制</w:t>
            </w:r>
            <w:r>
              <w:rPr>
                <w:rFonts w:hint="default" w:ascii="Times New Roman" w:hAnsi="Times New Roman" w:eastAsia="宋体" w:cs="Times New Roman"/>
                <w:bCs/>
                <w:color w:val="auto"/>
                <w:sz w:val="24"/>
                <w:highlight w:val="none"/>
                <w:lang w:val="en-US"/>
              </w:rPr>
              <w:t>标准》（GB18597-2023）</w:t>
            </w:r>
            <w:r>
              <w:rPr>
                <w:rFonts w:hint="eastAsia" w:ascii="Times New Roman" w:hAnsi="Times New Roman" w:eastAsia="宋体" w:cs="Times New Roman"/>
                <w:bCs/>
                <w:color w:val="auto"/>
                <w:sz w:val="24"/>
                <w:highlight w:val="none"/>
                <w:lang w:val="en-US" w:eastAsia="zh-CN"/>
              </w:rPr>
              <w:t>。</w:t>
            </w:r>
          </w:p>
          <w:p w14:paraId="62E8D853">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①危险废物的收集和临时贮存要求</w:t>
            </w:r>
          </w:p>
          <w:p w14:paraId="1D678C72">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eastAsia" w:cs="Times New Roman"/>
                <w:bCs/>
                <w:color w:val="auto"/>
                <w:sz w:val="24"/>
                <w:highlight w:val="none"/>
                <w:lang w:val="en-US" w:eastAsia="zh-CN"/>
              </w:rPr>
              <w:t>危废贮存库</w:t>
            </w:r>
            <w:r>
              <w:rPr>
                <w:rFonts w:hint="default" w:ascii="Times New Roman" w:hAnsi="Times New Roman" w:eastAsia="宋体" w:cs="Times New Roman"/>
                <w:bCs/>
                <w:color w:val="auto"/>
                <w:sz w:val="24"/>
                <w:highlight w:val="none"/>
                <w:lang w:val="en-US"/>
              </w:rPr>
              <w:t>应严格按照《危险废物贮存污染控制标准》（GB18597-2023）中的有关规定执行及建设，同时还需委托有资质的单位处置。根据《中华人民共和国固体废物污染环境防治法</w:t>
            </w:r>
            <w:r>
              <w:rPr>
                <w:rFonts w:hint="eastAsia"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rPr>
              <w:t>危险废物收集、贮存、运输技术规范》（HJ2025-2012）、《危险废物贮存污染控制标准》（18597-2023），项目在运营过程中，按照以下要求管理危险废物：</w:t>
            </w:r>
          </w:p>
          <w:p w14:paraId="02F9FCBA">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a.加强危险废物管理，制定危险废物管理计划，并报当地生态环境部门备案。对员工进行培训，提高全体人员对危险废物管理的认识。确保相关管理人员和从事危废收集、运送、贮存等工作的人员掌握国家相关法律法规、规章和有关规范性文件的规定，熟悉本单位制定的危险废物管理规章制度、工作流程等各项工作要求；掌握危险废物分类收集、运送、贮存的正确方法和操作程序，提高安全防护和应急处置能力。</w:t>
            </w:r>
          </w:p>
          <w:p w14:paraId="4B317DB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b.建设单位必须严格按照《危险废物收集贮存运输技术规范》（HJ2025-2012）的</w:t>
            </w:r>
            <w:r>
              <w:rPr>
                <w:rFonts w:hint="eastAsia" w:cs="Times New Roman"/>
                <w:bCs/>
                <w:color w:val="auto"/>
                <w:sz w:val="24"/>
                <w:highlight w:val="none"/>
                <w:lang w:val="en-US" w:eastAsia="zh-CN"/>
              </w:rPr>
              <w:t>要求</w:t>
            </w:r>
            <w:r>
              <w:rPr>
                <w:rFonts w:hint="default" w:ascii="Times New Roman" w:hAnsi="Times New Roman" w:eastAsia="宋体" w:cs="Times New Roman"/>
                <w:bCs/>
                <w:color w:val="auto"/>
                <w:sz w:val="24"/>
                <w:highlight w:val="none"/>
                <w:lang w:val="en-US"/>
              </w:rPr>
              <w:t>进行危险废物的收集、贮存和运输。危险废物的收集、贮存，须按照其特性分类进行。禁止混合收集、贮存、运输、处置性质不相容而未经安全性处置的危废。盛装危废的容器和包装物，要确保无破损、泄漏和其他缺陷，并依据《危险废物贮存污染控制标准》（GB18597-2023）的规范建设危废贮存场所并设置危废标识。危险废物运输应由持有危险废物经营许可证的单位按照其许可证的经营范围组织实施，承担危险废物运输的单位应获得交通运输部门颁发的危险货物运输资质。</w:t>
            </w:r>
          </w:p>
          <w:p w14:paraId="3FE9F661">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c.规范建设</w:t>
            </w:r>
            <w:r>
              <w:rPr>
                <w:rFonts w:hint="eastAsia" w:cs="Times New Roman"/>
                <w:bCs/>
                <w:color w:val="auto"/>
                <w:sz w:val="24"/>
                <w:highlight w:val="none"/>
                <w:lang w:val="en-US" w:eastAsia="zh-CN"/>
              </w:rPr>
              <w:t>危废贮存库</w:t>
            </w:r>
            <w:r>
              <w:rPr>
                <w:rFonts w:hint="default" w:ascii="Times New Roman" w:hAnsi="Times New Roman" w:eastAsia="宋体" w:cs="Times New Roman"/>
                <w:bCs/>
                <w:color w:val="auto"/>
                <w:sz w:val="24"/>
                <w:highlight w:val="none"/>
                <w:lang w:val="en-US"/>
              </w:rPr>
              <w:t>。</w:t>
            </w:r>
            <w:r>
              <w:rPr>
                <w:rFonts w:hint="eastAsia" w:cs="Times New Roman"/>
                <w:bCs/>
                <w:color w:val="auto"/>
                <w:sz w:val="24"/>
                <w:highlight w:val="none"/>
                <w:lang w:val="en-US" w:eastAsia="zh-CN"/>
              </w:rPr>
              <w:t>危废贮存库</w:t>
            </w:r>
            <w:r>
              <w:rPr>
                <w:rFonts w:hint="default" w:ascii="Times New Roman" w:hAnsi="Times New Roman" w:eastAsia="宋体" w:cs="Times New Roman"/>
                <w:bCs/>
                <w:color w:val="auto"/>
                <w:sz w:val="24"/>
                <w:highlight w:val="none"/>
                <w:lang w:val="en-US"/>
              </w:rPr>
              <w:t>应设置明显标志，并对地面进行硬化，并具有防雨淋、防日晒、防渗漏、密闭等措施，并建立健全危险废物管理台账、专人管理。禁止将危废混入非危险废物中贮存。并且，贮存时间不得超过一年。</w:t>
            </w:r>
          </w:p>
          <w:p w14:paraId="412E2F7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d.严格执行危险废物转移管理制度，禁止将危险废物提供或委托给无危险废物经营许可证的单位从事收集、贮存、利用、处置等经营活动。</w:t>
            </w:r>
          </w:p>
          <w:p w14:paraId="07EDFDB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②危险废物规范化管理要求</w:t>
            </w:r>
          </w:p>
          <w:p w14:paraId="6BB35ACF">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根据《危险废物规范化管理指标体系》的规定，本项目在生产中产生的危险废物具体管理要求如下：</w:t>
            </w:r>
          </w:p>
          <w:p w14:paraId="08869EC9">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a.污染防治责任制度：</w:t>
            </w:r>
          </w:p>
          <w:p w14:paraId="0B7A43CB">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在危废暂存场所的显著位置张贴危险废物污染防治责任信息</w:t>
            </w:r>
            <w:r>
              <w:rPr>
                <w:rFonts w:hint="eastAsia" w:cs="Times New Roman"/>
                <w:bCs/>
                <w:color w:val="auto"/>
                <w:sz w:val="24"/>
                <w:highlight w:val="none"/>
                <w:lang w:val="en-US" w:eastAsia="zh-CN"/>
              </w:rPr>
              <w:t>且</w:t>
            </w:r>
            <w:r>
              <w:rPr>
                <w:rFonts w:hint="default" w:ascii="Times New Roman" w:hAnsi="Times New Roman" w:eastAsia="宋体" w:cs="Times New Roman"/>
                <w:bCs/>
                <w:color w:val="auto"/>
                <w:sz w:val="24"/>
                <w:highlight w:val="none"/>
                <w:lang w:val="en-US"/>
              </w:rPr>
              <w:t>张贴信息能够表明危险废物产生环节、危险特性、去向及责任人等。</w:t>
            </w:r>
          </w:p>
          <w:p w14:paraId="332FE826">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b.标识制度：</w:t>
            </w:r>
          </w:p>
          <w:p w14:paraId="320187AE">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rPr>
              <w:t>危险废物标签、贮存分区标志和物贮存、利用、处置设施等标志根据《危险废物识别标志设置技术规范</w:t>
            </w:r>
            <w:r>
              <w:rPr>
                <w:rFonts w:hint="eastAsia"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rPr>
              <w:t>（HJ 1276—2022）的要求设置。危险废物标签应以醒目的字样标注</w:t>
            </w:r>
            <w:r>
              <w:rPr>
                <w:rFonts w:hint="eastAsia"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rPr>
              <w:t>危险废物</w:t>
            </w:r>
            <w:r>
              <w:rPr>
                <w:rFonts w:hint="eastAsia" w:cs="Times New Roman"/>
                <w:bCs/>
                <w:color w:val="auto"/>
                <w:sz w:val="24"/>
                <w:highlight w:val="none"/>
                <w:lang w:val="en-US" w:eastAsia="zh-CN"/>
              </w:rPr>
              <w:t>”</w:t>
            </w:r>
            <w:r>
              <w:rPr>
                <w:rFonts w:hint="eastAsia" w:ascii="Times New Roman" w:hAnsi="Times New Roman" w:eastAsia="宋体"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rPr>
              <w:t>危险废物标签应包含废物名称、废物类别、废物代码、废物形态、危险特性、主要成分、有害成分、注意事项、产生/收集单位名称、联系人、联系方式、产生日期、废物重量和备注</w:t>
            </w:r>
            <w:r>
              <w:rPr>
                <w:rFonts w:hint="eastAsia" w:ascii="Times New Roman" w:hAnsi="Times New Roman" w:eastAsia="宋体"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rPr>
              <w:t>危险废物标签宜设置危险废物数字识别码和二维码</w:t>
            </w:r>
            <w:r>
              <w:rPr>
                <w:rFonts w:hint="eastAsia" w:ascii="Times New Roman" w:hAnsi="Times New Roman" w:eastAsia="宋体" w:cs="Times New Roman"/>
                <w:bCs/>
                <w:color w:val="auto"/>
                <w:sz w:val="24"/>
                <w:highlight w:val="none"/>
                <w:lang w:val="en-US" w:eastAsia="zh-CN"/>
              </w:rPr>
              <w:t>。</w:t>
            </w:r>
          </w:p>
          <w:p w14:paraId="37EE9B2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c.管理计划制度：</w:t>
            </w:r>
          </w:p>
          <w:p w14:paraId="383EC832">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制定危险废物管理计划。管理计划应包括减少危险废物产生量和危害性的措施，以及危险废物贮存、利用、处置措施；报当地</w:t>
            </w:r>
            <w:bookmarkStart w:id="74" w:name="_GoBack"/>
            <w:bookmarkEnd w:id="74"/>
            <w:r>
              <w:rPr>
                <w:rFonts w:hint="default" w:ascii="Times New Roman" w:hAnsi="Times New Roman" w:eastAsia="宋体" w:cs="Times New Roman"/>
                <w:bCs/>
                <w:color w:val="auto"/>
                <w:sz w:val="24"/>
                <w:highlight w:val="none"/>
                <w:lang w:val="en-US"/>
              </w:rPr>
              <w:t>环保部门备案，若管理计划内容有重大改变，及时报当地环保部门重新备案。管理计划内容有重大改变的情形包括：①变更法人名称、法定代表人和地址；②增加或减少危险废物产生类别；③危险废物产生数量变化幅度超过20%；④新、改、扩建或拆除原有危险废物贮存、利用和处置设施。</w:t>
            </w:r>
          </w:p>
          <w:p w14:paraId="1636492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d.申报登记制度：</w:t>
            </w:r>
          </w:p>
          <w:p w14:paraId="7E41B146">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eastAsia" w:cs="Times New Roman"/>
                <w:bCs/>
                <w:color w:val="auto"/>
                <w:sz w:val="24"/>
                <w:highlight w:val="none"/>
                <w:lang w:val="en-US" w:eastAsia="zh-CN"/>
              </w:rPr>
              <w:t>如实</w:t>
            </w:r>
            <w:r>
              <w:rPr>
                <w:rFonts w:hint="default" w:ascii="Times New Roman" w:hAnsi="Times New Roman" w:eastAsia="宋体" w:cs="Times New Roman"/>
                <w:bCs/>
                <w:color w:val="auto"/>
                <w:sz w:val="24"/>
                <w:highlight w:val="none"/>
                <w:lang w:val="en-US"/>
              </w:rPr>
              <w:t>向当地生态环境部门申报危险废物的种类、产生量、流向、贮存、处置等有关资料。可提供证明材料，如环评文件、竣工验收文件、危险废物管理台账、危险废物转移联单、危险废物处置利用合同、财务数据等；申报事项有重大改变的，应当及时申报；按照危险废物特性分类进行收集</w:t>
            </w:r>
            <w:r>
              <w:rPr>
                <w:rFonts w:hint="eastAsia" w:cs="Times New Roman"/>
                <w:bCs/>
                <w:color w:val="auto"/>
                <w:sz w:val="24"/>
                <w:highlight w:val="none"/>
                <w:lang w:val="en-US" w:eastAsia="zh-CN"/>
              </w:rPr>
              <w:t>且</w:t>
            </w:r>
            <w:r>
              <w:rPr>
                <w:rFonts w:hint="default" w:ascii="Times New Roman" w:hAnsi="Times New Roman" w:eastAsia="宋体" w:cs="Times New Roman"/>
                <w:bCs/>
                <w:color w:val="auto"/>
                <w:sz w:val="24"/>
                <w:highlight w:val="none"/>
                <w:lang w:val="en-US"/>
              </w:rPr>
              <w:t>不同类废</w:t>
            </w:r>
            <w:r>
              <w:rPr>
                <w:rFonts w:hint="eastAsia" w:cs="Times New Roman"/>
                <w:bCs/>
                <w:color w:val="auto"/>
                <w:sz w:val="24"/>
                <w:highlight w:val="none"/>
                <w:lang w:val="en-US" w:eastAsia="zh-CN"/>
              </w:rPr>
              <w:t>物之</w:t>
            </w:r>
            <w:r>
              <w:rPr>
                <w:rFonts w:hint="default" w:ascii="Times New Roman" w:hAnsi="Times New Roman" w:eastAsia="宋体" w:cs="Times New Roman"/>
                <w:bCs/>
                <w:color w:val="auto"/>
                <w:sz w:val="24"/>
                <w:highlight w:val="none"/>
                <w:lang w:val="en-US"/>
              </w:rPr>
              <w:t>间有明显的间隔（如过道等）；危险废物转移采取网上申报；对管理人员和从事危险废物收集、运输、暂存、利用和处置等工作的人员进行了培训；参加培训人员对本单位的危险废物管理制度、工作流程等各项要求，掌握危险废物分类收集、运输、暂存的正确方法和操作程序；贮存场所地面硬化及防渗处理</w:t>
            </w:r>
            <w:r>
              <w:rPr>
                <w:rFonts w:hint="eastAsia"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rPr>
              <w:t>装载危险废物的容器完好无损；建立危险废物贮存台账，并</w:t>
            </w:r>
            <w:r>
              <w:rPr>
                <w:rFonts w:hint="eastAsia" w:cs="Times New Roman"/>
                <w:bCs/>
                <w:color w:val="auto"/>
                <w:sz w:val="24"/>
                <w:highlight w:val="none"/>
                <w:lang w:val="en-US" w:eastAsia="zh-CN"/>
              </w:rPr>
              <w:t>如实</w:t>
            </w:r>
            <w:r>
              <w:rPr>
                <w:rFonts w:hint="default" w:ascii="Times New Roman" w:hAnsi="Times New Roman" w:eastAsia="宋体" w:cs="Times New Roman"/>
                <w:bCs/>
                <w:color w:val="auto"/>
                <w:sz w:val="24"/>
                <w:highlight w:val="none"/>
                <w:lang w:val="en-US"/>
              </w:rPr>
              <w:t>规范记录危险废物贮存情况。</w:t>
            </w:r>
          </w:p>
          <w:p w14:paraId="3174ADDC">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③危险废物转移</w:t>
            </w:r>
          </w:p>
          <w:p w14:paraId="1967CF9A">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建设单位按照危废转移要求，在转移危废前通过登录福建省固体废物环境监管平台申请电子转移联单，申报转移计划。</w:t>
            </w:r>
          </w:p>
          <w:p w14:paraId="650191E5">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④制定危险废物管理计划和危险废物台账管理</w:t>
            </w:r>
          </w:p>
          <w:p w14:paraId="61F72999">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建设单位按照《危险废物管理计划和管理台账制定技术导则》（HJ 1259 —2022）制定危险废物管理计划和危险废物台账管理。</w:t>
            </w:r>
          </w:p>
          <w:p w14:paraId="336809A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a.建设单位制定年度危险废物管理计划，危险废物管理计划中记录了上年度产生的和本年度计划产生的危险废物名称、危废代码、废物类别、有害物质名称、危险特性、危废产生来源及生产工序。</w:t>
            </w:r>
          </w:p>
          <w:p w14:paraId="26D40946">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b.制定危险废物减量化的计划和措施。</w:t>
            </w:r>
          </w:p>
          <w:p w14:paraId="7B7ACF5F">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c.填报危险废物转移情况，包括危险废物贮存措施、运输措施和转移计划等。</w:t>
            </w:r>
          </w:p>
          <w:p w14:paraId="2E368DF2">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rPr>
            </w:pPr>
            <w:r>
              <w:rPr>
                <w:rFonts w:hint="default" w:ascii="Times New Roman" w:hAnsi="Times New Roman" w:eastAsia="宋体" w:cs="Times New Roman"/>
                <w:bCs/>
                <w:color w:val="auto"/>
                <w:sz w:val="24"/>
                <w:highlight w:val="none"/>
                <w:lang w:val="en-US"/>
              </w:rPr>
              <w:t>d.填报危险废物委托利用或处置措施。</w:t>
            </w:r>
          </w:p>
          <w:p w14:paraId="2D40E213">
            <w:pPr>
              <w:pStyle w:val="5"/>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生活垃圾</w:t>
            </w:r>
          </w:p>
          <w:p w14:paraId="05E2032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项目</w:t>
            </w:r>
            <w:r>
              <w:rPr>
                <w:rFonts w:hint="eastAsia" w:ascii="Times New Roman" w:hAnsi="Times New Roman" w:eastAsia="宋体" w:cs="Times New Roman"/>
                <w:bCs/>
                <w:color w:val="auto"/>
                <w:sz w:val="24"/>
                <w:highlight w:val="none"/>
                <w:lang w:val="en-US" w:eastAsia="zh-CN"/>
              </w:rPr>
              <w:t>运营期</w:t>
            </w:r>
            <w:r>
              <w:rPr>
                <w:rFonts w:hint="default" w:ascii="Times New Roman" w:hAnsi="Times New Roman" w:eastAsia="宋体" w:cs="Times New Roman"/>
                <w:bCs/>
                <w:color w:val="auto"/>
                <w:sz w:val="24"/>
                <w:highlight w:val="none"/>
              </w:rPr>
              <w:t>职工产生的生活垃圾应采取分类收集，并委托环卫部门统一外运处置。</w:t>
            </w:r>
          </w:p>
          <w:p w14:paraId="0BFF1F84">
            <w:pPr>
              <w:keepNext w:val="0"/>
              <w:keepLines w:val="0"/>
              <w:suppressLineNumbers w:val="0"/>
              <w:adjustRightInd w:val="0"/>
              <w:snapToGrid w:val="0"/>
              <w:spacing w:before="0" w:beforeAutospacing="0" w:after="0" w:afterAutospacing="0" w:line="360" w:lineRule="auto"/>
              <w:ind w:left="0" w:right="0" w:firstLine="480" w:firstLineChars="200"/>
              <w:rPr>
                <w:rFonts w:hint="eastAsia"/>
                <w:color w:val="auto"/>
                <w:sz w:val="24"/>
                <w:szCs w:val="24"/>
                <w:highlight w:val="none"/>
              </w:rPr>
            </w:pPr>
            <w:r>
              <w:rPr>
                <w:rFonts w:hint="default" w:ascii="Times New Roman" w:hAnsi="Times New Roman" w:eastAsia="宋体" w:cs="Times New Roman"/>
                <w:bCs/>
                <w:color w:val="auto"/>
                <w:sz w:val="24"/>
                <w:highlight w:val="none"/>
                <w:lang w:val="en-US"/>
              </w:rPr>
              <w:t>综上所述，本项目只要加强对固体废物的收集和分类管理，并做到及时清运处置和综合利用后，对区域内自然环境、生态等造成的影响较小。</w:t>
            </w:r>
            <w:r>
              <w:rPr>
                <w:rFonts w:hint="eastAsia" w:ascii="宋体" w:hAnsi="宋体" w:eastAsia="宋体" w:cs="宋体"/>
                <w:color w:val="auto"/>
                <w:kern w:val="0"/>
                <w:sz w:val="24"/>
                <w:szCs w:val="24"/>
                <w:highlight w:val="none"/>
                <w:lang w:val="en-US" w:eastAsia="zh-CN" w:bidi="ar"/>
              </w:rPr>
              <w:t xml:space="preserve"> </w:t>
            </w:r>
          </w:p>
          <w:p w14:paraId="5A866293">
            <w:pPr>
              <w:pStyle w:val="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地下水、土壤环境影响和保护措施</w:t>
            </w:r>
          </w:p>
          <w:p w14:paraId="1DBA16CE">
            <w:pPr>
              <w:pStyle w:val="4"/>
              <w:suppressLineNumbers w:val="0"/>
              <w:bidi w:val="0"/>
              <w:spacing w:before="0" w:beforeAutospacing="0" w:after="0" w:afterAutospacing="0"/>
              <w:ind w:left="0" w:right="0"/>
              <w:rPr>
                <w:rFonts w:hint="default"/>
                <w:lang w:val="en-US" w:eastAsia="zh-CN"/>
              </w:rPr>
            </w:pPr>
            <w:r>
              <w:rPr>
                <w:rFonts w:hint="default"/>
                <w:lang w:val="en-US" w:eastAsia="zh-CN"/>
              </w:rPr>
              <w:t>地下水、土壤环境影响分析</w:t>
            </w:r>
          </w:p>
          <w:p w14:paraId="4727E36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（1）</w:t>
            </w:r>
            <w:r>
              <w:rPr>
                <w:rFonts w:hint="default" w:ascii="Times New Roman" w:hAnsi="Times New Roman" w:eastAsia="宋体" w:cs="Times New Roman"/>
                <w:bCs/>
                <w:color w:val="auto"/>
                <w:sz w:val="24"/>
                <w:highlight w:val="none"/>
                <w:lang w:val="en-US" w:eastAsia="zh-CN"/>
              </w:rPr>
              <w:t>地下水环境</w:t>
            </w:r>
          </w:p>
          <w:p w14:paraId="0F42CDFF">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本项目生活污水经化粪池处理后通过厂区污水总排放口排入市政污水管网，送往福清市融元污水处理厂集中处理。正常工况下化粪池及污水管道均采取严格的防渗、防溢流等措施，废水不易渗漏和进入地下水。根据现场调查，项目评价区域无饮用水水源地，阳下街道玉岭村已全部开通自来水管网、生活用水采用自来水。</w:t>
            </w:r>
          </w:p>
          <w:p w14:paraId="60EF20BC">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项目一般工业固废暂存场所及</w:t>
            </w:r>
            <w:r>
              <w:rPr>
                <w:rFonts w:hint="eastAsia" w:cs="Times New Roman"/>
                <w:bCs/>
                <w:color w:val="auto"/>
                <w:sz w:val="24"/>
                <w:highlight w:val="none"/>
                <w:lang w:val="en-US" w:eastAsia="zh-CN"/>
              </w:rPr>
              <w:t>危废贮存库</w:t>
            </w:r>
            <w:r>
              <w:rPr>
                <w:rFonts w:hint="default" w:ascii="Times New Roman" w:hAnsi="Times New Roman" w:eastAsia="宋体" w:cs="Times New Roman"/>
                <w:bCs/>
                <w:color w:val="auto"/>
                <w:sz w:val="24"/>
                <w:highlight w:val="none"/>
                <w:lang w:val="en-US" w:eastAsia="zh-CN"/>
              </w:rPr>
              <w:t>严格按照《一般工业固体废物贮存和填埋污染控制标准》</w:t>
            </w:r>
            <w:r>
              <w:rPr>
                <w:rFonts w:hint="eastAsia" w:cs="Times New Roman"/>
                <w:bCs/>
                <w:color w:val="auto"/>
                <w:sz w:val="24"/>
                <w:highlight w:val="none"/>
                <w:lang w:val="en-US" w:eastAsia="zh-CN"/>
              </w:rPr>
              <w:t>（</w:t>
            </w:r>
            <w:r>
              <w:rPr>
                <w:rFonts w:hint="eastAsia" w:ascii="Times New Roman" w:hAnsi="Times New Roman" w:eastAsia="宋体" w:cs="Times New Roman"/>
                <w:bCs/>
                <w:color w:val="auto"/>
                <w:sz w:val="24"/>
                <w:highlight w:val="none"/>
                <w:lang w:val="en-US" w:eastAsia="zh-CN"/>
              </w:rPr>
              <w:t>GB18599-2020</w:t>
            </w:r>
            <w:r>
              <w:rPr>
                <w:rFonts w:hint="eastAsia"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中固废临时贮存场所的要求及《危险废物贮存污染控制标准》</w:t>
            </w:r>
            <w:r>
              <w:rPr>
                <w:rFonts w:hint="eastAsia"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GB18597-20</w:t>
            </w:r>
            <w:r>
              <w:rPr>
                <w:rFonts w:hint="eastAsia" w:ascii="Times New Roman" w:hAnsi="Times New Roman" w:eastAsia="宋体" w:cs="Times New Roman"/>
                <w:bCs/>
                <w:color w:val="auto"/>
                <w:sz w:val="24"/>
                <w:highlight w:val="none"/>
                <w:lang w:val="en-US" w:eastAsia="zh-CN"/>
              </w:rPr>
              <w:t>23</w:t>
            </w:r>
            <w:r>
              <w:rPr>
                <w:rFonts w:hint="eastAsia"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要求进行建设，具备防风、防雨、防晒、防渗漏等要求。在正常工况，不会对评价区地下水产生明显影响，其影响程度是可接受的。</w:t>
            </w:r>
          </w:p>
          <w:p w14:paraId="2AFBC1B3">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项目使用的原料均属于无毒或低毒的化学品的使用，在做好厂房防渗情况下，不会产生危险化学品进入地下污染地下水的情况。</w:t>
            </w:r>
          </w:p>
          <w:p w14:paraId="1B2502D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eastAsia="zh-CN"/>
              </w:rPr>
            </w:pPr>
            <w:r>
              <w:rPr>
                <w:rFonts w:hint="eastAsia" w:cs="Times New Roman"/>
                <w:bCs/>
                <w:color w:val="auto"/>
                <w:sz w:val="24"/>
                <w:highlight w:val="none"/>
                <w:lang w:val="en-US" w:eastAsia="zh-CN"/>
              </w:rPr>
              <w:t>综上所述</w:t>
            </w:r>
            <w:r>
              <w:rPr>
                <w:rFonts w:hint="default" w:ascii="Times New Roman" w:hAnsi="Times New Roman" w:eastAsia="宋体" w:cs="Times New Roman"/>
                <w:bCs/>
                <w:color w:val="auto"/>
                <w:sz w:val="24"/>
                <w:highlight w:val="none"/>
                <w:lang w:val="en-US" w:eastAsia="zh-CN"/>
              </w:rPr>
              <w:t>，项目在正常运行工况下，项目对地下水影响不大。但公司应加强管理，杜绝防渗层破裂等事故影响。</w:t>
            </w:r>
          </w:p>
          <w:p w14:paraId="68F0DC19">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（2）</w:t>
            </w:r>
            <w:r>
              <w:rPr>
                <w:rFonts w:hint="default" w:ascii="Times New Roman" w:hAnsi="Times New Roman" w:eastAsia="宋体" w:cs="Times New Roman"/>
                <w:bCs/>
                <w:color w:val="auto"/>
                <w:sz w:val="24"/>
                <w:highlight w:val="none"/>
                <w:lang w:val="en-US" w:eastAsia="zh-CN"/>
              </w:rPr>
              <w:t>土壤环境</w:t>
            </w:r>
          </w:p>
          <w:p w14:paraId="0917C63C">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对照《环境影响评价技术导则土壤环境》（HJ 964-2018）附录A，本项目属于制造业中</w:t>
            </w:r>
            <w:r>
              <w:rPr>
                <w:rFonts w:hint="eastAsia" w:cs="Times New Roman"/>
                <w:color w:val="auto"/>
                <w:sz w:val="24"/>
                <w:lang w:eastAsia="zh-CN"/>
              </w:rPr>
              <w:t>“</w:t>
            </w:r>
            <w:r>
              <w:rPr>
                <w:rFonts w:hint="eastAsia" w:ascii="Times New Roman" w:hAnsi="Times New Roman" w:eastAsia="宋体" w:cs="Times New Roman"/>
                <w:color w:val="auto"/>
                <w:sz w:val="24"/>
              </w:rPr>
              <w:t>设备制造、金属制品、汽车制造及其他用品制造</w:t>
            </w:r>
            <w:r>
              <w:rPr>
                <w:rFonts w:hint="eastAsia" w:cs="Times New Roman"/>
                <w:color w:val="auto"/>
                <w:sz w:val="24"/>
                <w:lang w:eastAsia="zh-CN"/>
              </w:rPr>
              <w:t>”</w:t>
            </w:r>
            <w:r>
              <w:rPr>
                <w:rFonts w:hint="eastAsia" w:ascii="Times New Roman" w:hAnsi="Times New Roman" w:eastAsia="宋体" w:cs="Times New Roman"/>
                <w:color w:val="auto"/>
                <w:sz w:val="24"/>
              </w:rPr>
              <w:t>的</w:t>
            </w:r>
            <w:r>
              <w:rPr>
                <w:rFonts w:hint="eastAsia" w:cs="Times New Roman"/>
                <w:color w:val="auto"/>
                <w:sz w:val="24"/>
                <w:lang w:eastAsia="zh-CN"/>
              </w:rPr>
              <w:t>“</w:t>
            </w:r>
            <w:r>
              <w:rPr>
                <w:rFonts w:hint="eastAsia" w:ascii="Times New Roman" w:hAnsi="Times New Roman" w:eastAsia="宋体" w:cs="Times New Roman"/>
                <w:color w:val="auto"/>
                <w:sz w:val="24"/>
              </w:rPr>
              <w:t>其他</w:t>
            </w:r>
            <w:r>
              <w:rPr>
                <w:rFonts w:hint="eastAsia" w:cs="Times New Roman"/>
                <w:color w:val="auto"/>
                <w:sz w:val="24"/>
                <w:lang w:eastAsia="zh-CN"/>
              </w:rPr>
              <w:t>”</w:t>
            </w:r>
            <w:r>
              <w:rPr>
                <w:rFonts w:hint="eastAsia" w:ascii="Times New Roman" w:hAnsi="Times New Roman" w:eastAsia="宋体" w:cs="Times New Roman"/>
                <w:color w:val="auto"/>
                <w:sz w:val="24"/>
              </w:rPr>
              <w:t>，本项目的土壤环境影响评价项目类别为Ⅲ类。项目周边不存在土壤环境敏感目标，占地规模为小型，因此，对照污染影响</w:t>
            </w:r>
            <w:r>
              <w:rPr>
                <w:rFonts w:hint="eastAsia" w:cs="Times New Roman"/>
                <w:color w:val="auto"/>
                <w:sz w:val="24"/>
                <w:lang w:eastAsia="zh-CN"/>
              </w:rPr>
              <w:t>性</w:t>
            </w:r>
            <w:r>
              <w:rPr>
                <w:rFonts w:hint="eastAsia" w:ascii="Times New Roman" w:hAnsi="Times New Roman" w:eastAsia="宋体" w:cs="Times New Roman"/>
                <w:color w:val="auto"/>
                <w:sz w:val="24"/>
              </w:rPr>
              <w:t>评价工作等级划分表（详见表4.</w:t>
            </w:r>
            <w:r>
              <w:rPr>
                <w:rFonts w:hint="eastAsia" w:ascii="Times New Roman" w:hAnsi="Times New Roman" w:eastAsia="宋体" w:cs="Times New Roman"/>
                <w:color w:val="auto"/>
                <w:sz w:val="24"/>
                <w:lang w:val="en-US" w:eastAsia="zh-CN"/>
              </w:rPr>
              <w:t>5</w:t>
            </w:r>
            <w:r>
              <w:rPr>
                <w:rFonts w:hint="eastAsia" w:ascii="Times New Roman" w:hAnsi="Times New Roman" w:eastAsia="宋体" w:cs="Times New Roman"/>
                <w:color w:val="auto"/>
                <w:sz w:val="24"/>
              </w:rPr>
              <w:t>-1），本项目可不开展土壤环境影响评价工作。</w:t>
            </w:r>
          </w:p>
          <w:p w14:paraId="16B2B6B6">
            <w:pPr>
              <w:pStyle w:val="39"/>
              <w:keepNext w:val="0"/>
              <w:keepLines w:val="0"/>
              <w:suppressLineNumbers w:val="0"/>
              <w:bidi w:val="0"/>
              <w:spacing w:before="0" w:beforeAutospacing="0" w:after="0" w:afterAutospacing="0"/>
              <w:ind w:left="0" w:right="0"/>
              <w:rPr>
                <w:rFonts w:hint="eastAsia"/>
              </w:rPr>
            </w:pPr>
            <w:r>
              <w:rPr>
                <w:rFonts w:hint="eastAsia"/>
              </w:rPr>
              <w:t>表4.</w:t>
            </w:r>
            <w:r>
              <w:rPr>
                <w:rFonts w:hint="eastAsia"/>
                <w:lang w:val="en-US" w:eastAsia="zh-CN"/>
              </w:rPr>
              <w:t>5</w:t>
            </w:r>
            <w:r>
              <w:rPr>
                <w:rFonts w:hint="eastAsia"/>
              </w:rPr>
              <w:t>-1  土壤污染影响型评价工作等级划分表</w:t>
            </w:r>
          </w:p>
          <w:tbl>
            <w:tblPr>
              <w:tblStyle w:val="2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565"/>
              <w:gridCol w:w="786"/>
              <w:gridCol w:w="741"/>
              <w:gridCol w:w="773"/>
              <w:gridCol w:w="816"/>
              <w:gridCol w:w="694"/>
              <w:gridCol w:w="774"/>
              <w:gridCol w:w="734"/>
              <w:gridCol w:w="732"/>
              <w:gridCol w:w="764"/>
            </w:tblGrid>
            <w:tr w14:paraId="424B9C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blHeader/>
                <w:jc w:val="center"/>
              </w:trPr>
              <w:tc>
                <w:tcPr>
                  <w:tcW w:w="934" w:type="pct"/>
                  <w:vMerge w:val="restart"/>
                  <w:noWrap w:val="0"/>
                  <w:vAlign w:val="center"/>
                </w:tcPr>
                <w:p w14:paraId="16F66C8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mc:AlternateContent>
                      <mc:Choice Requires="wps">
                        <w:drawing>
                          <wp:anchor distT="0" distB="0" distL="114300" distR="114300" simplePos="0" relativeHeight="251664384" behindDoc="0" locked="0" layoutInCell="1" allowOverlap="1">
                            <wp:simplePos x="0" y="0"/>
                            <wp:positionH relativeFrom="column">
                              <wp:posOffset>339725</wp:posOffset>
                            </wp:positionH>
                            <wp:positionV relativeFrom="paragraph">
                              <wp:posOffset>-8255</wp:posOffset>
                            </wp:positionV>
                            <wp:extent cx="614680" cy="689610"/>
                            <wp:effectExtent l="3810" t="3175" r="10160" b="12065"/>
                            <wp:wrapNone/>
                            <wp:docPr id="56" name="直接连接符 2"/>
                            <wp:cNvGraphicFramePr/>
                            <a:graphic xmlns:a="http://schemas.openxmlformats.org/drawingml/2006/main">
                              <a:graphicData uri="http://schemas.microsoft.com/office/word/2010/wordprocessingShape">
                                <wps:wsp>
                                  <wps:cNvCnPr/>
                                  <wps:spPr>
                                    <a:xfrm flipH="1" flipV="1">
                                      <a:off x="0" y="0"/>
                                      <a:ext cx="614680" cy="68961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接连接符 2" o:spid="_x0000_s1026" o:spt="20" style="position:absolute;left:0pt;flip:x y;margin-left:26.75pt;margin-top:-0.65pt;height:54.3pt;width:48.4pt;z-index:251664384;mso-width-relative:page;mso-height-relative:page;" filled="f" stroked="t" coordsize="21600,21600" o:gfxdata="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rxqGrtQAAAAJAQAADwAAAAAAAAABACAAAAAiAAAAZHJz&#10;L2Rvd25yZXYueG1sUEsBAhQAFAAAAAgAh07iQBhrz1oIAgAA/QMAAA4AAAAAAAAAAQAgAAAAIwEA&#10;AGRycy9lMm9Eb2MueG1sUEsFBgAAAAAGAAYAWQEAAJ0FAAAAAA==&#10;">
                            <v:fill on="f" focussize="0,0"/>
                            <v:stroke color="#000000" joinstyle="round"/>
                            <v:imagedata o:title=""/>
                            <o:lock v:ext="edit" aspectratio="f"/>
                          </v:line>
                        </w:pict>
                      </mc:Fallback>
                    </mc:AlternateContent>
                  </w:r>
                  <w:r>
                    <w:rPr>
                      <w:rFonts w:hint="eastAsia"/>
                      <w:szCs w:val="22"/>
                    </w:rPr>
                    <w:t>评价   占地</w:t>
                  </w:r>
                </w:p>
                <w:p w14:paraId="00BF2ED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mc:AlternateContent>
                      <mc:Choice Requires="wps">
                        <w:drawing>
                          <wp:anchor distT="0" distB="0" distL="114300" distR="114300" simplePos="0" relativeHeight="251665408" behindDoc="0" locked="0" layoutInCell="1" allowOverlap="1">
                            <wp:simplePos x="0" y="0"/>
                            <wp:positionH relativeFrom="column">
                              <wp:posOffset>-37465</wp:posOffset>
                            </wp:positionH>
                            <wp:positionV relativeFrom="paragraph">
                              <wp:posOffset>147955</wp:posOffset>
                            </wp:positionV>
                            <wp:extent cx="1000125" cy="373380"/>
                            <wp:effectExtent l="1905" t="4445" r="7620" b="22225"/>
                            <wp:wrapNone/>
                            <wp:docPr id="57" name="直接连接符 3"/>
                            <wp:cNvGraphicFramePr/>
                            <a:graphic xmlns:a="http://schemas.openxmlformats.org/drawingml/2006/main">
                              <a:graphicData uri="http://schemas.microsoft.com/office/word/2010/wordprocessingShape">
                                <wps:wsp>
                                  <wps:cNvCnPr/>
                                  <wps:spPr>
                                    <a:xfrm flipH="1" flipV="1">
                                      <a:off x="0" y="0"/>
                                      <a:ext cx="1000125" cy="37338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接连接符 3" o:spid="_x0000_s1026" o:spt="20" style="position:absolute;left:0pt;flip:x y;margin-left:-2.95pt;margin-top:11.65pt;height:29.4pt;width:78.75pt;z-index:251665408;mso-width-relative:page;mso-height-relative:page;" filled="f" stroked="t" coordsize="21600,21600" o:gfxdata="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Gwu781AAAAAgBAAAPAAAAAAAAAAEAIAAAACIAAABkcnMv&#10;ZG93bnJldi54bWxQSwECFAAUAAAACACHTuJA2uTkawcCAAD+AwAADgAAAAAAAAABACAAAAAjAQAA&#10;ZHJzL2Uyb0RvYy54bWxQSwUGAAAAAAYABgBZAQAAnAUAAAAA&#10;">
                            <v:fill on="f" focussize="0,0"/>
                            <v:stroke color="#000000" joinstyle="round"/>
                            <v:imagedata o:title=""/>
                            <o:lock v:ext="edit" aspectratio="f"/>
                          </v:line>
                        </w:pict>
                      </mc:Fallback>
                    </mc:AlternateContent>
                  </w:r>
                  <w:r>
                    <w:rPr>
                      <w:rFonts w:hint="eastAsia"/>
                      <w:szCs w:val="22"/>
                    </w:rPr>
                    <w:t>工作   规模</w:t>
                  </w:r>
                </w:p>
                <w:p w14:paraId="0C2F0A5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等级</w:t>
                  </w:r>
                </w:p>
                <w:p w14:paraId="7B2BC9A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敏感程度</w:t>
                  </w:r>
                </w:p>
              </w:tc>
              <w:tc>
                <w:tcPr>
                  <w:tcW w:w="1372" w:type="pct"/>
                  <w:gridSpan w:val="3"/>
                  <w:noWrap w:val="0"/>
                  <w:vAlign w:val="center"/>
                </w:tcPr>
                <w:p w14:paraId="54B0EC4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Ⅰ类</w:t>
                  </w:r>
                </w:p>
              </w:tc>
              <w:tc>
                <w:tcPr>
                  <w:tcW w:w="1363" w:type="pct"/>
                  <w:gridSpan w:val="3"/>
                  <w:noWrap w:val="0"/>
                  <w:vAlign w:val="center"/>
                </w:tcPr>
                <w:p w14:paraId="566A2FC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Ⅱ类</w:t>
                  </w:r>
                </w:p>
              </w:tc>
              <w:tc>
                <w:tcPr>
                  <w:tcW w:w="1329" w:type="pct"/>
                  <w:gridSpan w:val="3"/>
                  <w:noWrap w:val="0"/>
                  <w:vAlign w:val="center"/>
                </w:tcPr>
                <w:p w14:paraId="7EAB754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Ⅲ类</w:t>
                  </w:r>
                </w:p>
              </w:tc>
            </w:tr>
            <w:tr w14:paraId="63523C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934" w:type="pct"/>
                  <w:vMerge w:val="continue"/>
                  <w:noWrap w:val="0"/>
                  <w:vAlign w:val="center"/>
                </w:tcPr>
                <w:p w14:paraId="149B6940">
                  <w:pPr>
                    <w:pStyle w:val="38"/>
                    <w:keepNext w:val="0"/>
                    <w:keepLines w:val="0"/>
                    <w:widowControl/>
                    <w:suppressLineNumbers w:val="0"/>
                    <w:bidi w:val="0"/>
                    <w:spacing w:before="0" w:beforeAutospacing="0" w:after="0" w:afterAutospacing="0"/>
                    <w:ind w:left="0" w:right="0"/>
                    <w:rPr>
                      <w:rFonts w:hint="eastAsia"/>
                      <w:szCs w:val="22"/>
                    </w:rPr>
                  </w:pPr>
                </w:p>
              </w:tc>
              <w:tc>
                <w:tcPr>
                  <w:tcW w:w="469" w:type="pct"/>
                  <w:noWrap w:val="0"/>
                  <w:vAlign w:val="center"/>
                </w:tcPr>
                <w:p w14:paraId="57F993A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大</w:t>
                  </w:r>
                </w:p>
              </w:tc>
              <w:tc>
                <w:tcPr>
                  <w:tcW w:w="442" w:type="pct"/>
                  <w:noWrap w:val="0"/>
                  <w:vAlign w:val="center"/>
                </w:tcPr>
                <w:p w14:paraId="7AB934A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中</w:t>
                  </w:r>
                </w:p>
              </w:tc>
              <w:tc>
                <w:tcPr>
                  <w:tcW w:w="461" w:type="pct"/>
                  <w:noWrap w:val="0"/>
                  <w:vAlign w:val="center"/>
                </w:tcPr>
                <w:p w14:paraId="4CA975F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小</w:t>
                  </w:r>
                </w:p>
              </w:tc>
              <w:tc>
                <w:tcPr>
                  <w:tcW w:w="487" w:type="pct"/>
                  <w:noWrap w:val="0"/>
                  <w:vAlign w:val="center"/>
                </w:tcPr>
                <w:p w14:paraId="562AF39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大</w:t>
                  </w:r>
                </w:p>
              </w:tc>
              <w:tc>
                <w:tcPr>
                  <w:tcW w:w="414" w:type="pct"/>
                  <w:noWrap w:val="0"/>
                  <w:vAlign w:val="center"/>
                </w:tcPr>
                <w:p w14:paraId="6E81841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中</w:t>
                  </w:r>
                </w:p>
              </w:tc>
              <w:tc>
                <w:tcPr>
                  <w:tcW w:w="461" w:type="pct"/>
                  <w:noWrap w:val="0"/>
                  <w:vAlign w:val="center"/>
                </w:tcPr>
                <w:p w14:paraId="753E3960">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小</w:t>
                  </w:r>
                </w:p>
              </w:tc>
              <w:tc>
                <w:tcPr>
                  <w:tcW w:w="438" w:type="pct"/>
                  <w:noWrap w:val="0"/>
                  <w:vAlign w:val="center"/>
                </w:tcPr>
                <w:p w14:paraId="647CBBB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大</w:t>
                  </w:r>
                </w:p>
              </w:tc>
              <w:tc>
                <w:tcPr>
                  <w:tcW w:w="437" w:type="pct"/>
                  <w:noWrap w:val="0"/>
                  <w:vAlign w:val="center"/>
                </w:tcPr>
                <w:p w14:paraId="15C8468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中</w:t>
                  </w:r>
                </w:p>
              </w:tc>
              <w:tc>
                <w:tcPr>
                  <w:tcW w:w="453" w:type="pct"/>
                  <w:noWrap w:val="0"/>
                  <w:vAlign w:val="center"/>
                </w:tcPr>
                <w:p w14:paraId="6751EDDC">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小</w:t>
                  </w:r>
                </w:p>
              </w:tc>
            </w:tr>
            <w:tr w14:paraId="62E23C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934" w:type="pct"/>
                  <w:noWrap w:val="0"/>
                  <w:vAlign w:val="center"/>
                </w:tcPr>
                <w:p w14:paraId="6FC3F65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敏感</w:t>
                  </w:r>
                </w:p>
              </w:tc>
              <w:tc>
                <w:tcPr>
                  <w:tcW w:w="469" w:type="pct"/>
                  <w:noWrap w:val="0"/>
                  <w:vAlign w:val="center"/>
                </w:tcPr>
                <w:p w14:paraId="35966C5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一级</w:t>
                  </w:r>
                </w:p>
              </w:tc>
              <w:tc>
                <w:tcPr>
                  <w:tcW w:w="442" w:type="pct"/>
                  <w:noWrap w:val="0"/>
                  <w:vAlign w:val="center"/>
                </w:tcPr>
                <w:p w14:paraId="0542ECB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一级</w:t>
                  </w:r>
                </w:p>
              </w:tc>
              <w:tc>
                <w:tcPr>
                  <w:tcW w:w="461" w:type="pct"/>
                  <w:noWrap w:val="0"/>
                  <w:vAlign w:val="center"/>
                </w:tcPr>
                <w:p w14:paraId="57A5203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一级</w:t>
                  </w:r>
                </w:p>
              </w:tc>
              <w:tc>
                <w:tcPr>
                  <w:tcW w:w="487" w:type="pct"/>
                  <w:noWrap w:val="0"/>
                  <w:vAlign w:val="center"/>
                </w:tcPr>
                <w:p w14:paraId="245A2F1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二级</w:t>
                  </w:r>
                </w:p>
              </w:tc>
              <w:tc>
                <w:tcPr>
                  <w:tcW w:w="414" w:type="pct"/>
                  <w:noWrap w:val="0"/>
                  <w:vAlign w:val="center"/>
                </w:tcPr>
                <w:p w14:paraId="4B83CB3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二级</w:t>
                  </w:r>
                </w:p>
              </w:tc>
              <w:tc>
                <w:tcPr>
                  <w:tcW w:w="461" w:type="pct"/>
                  <w:noWrap w:val="0"/>
                  <w:vAlign w:val="center"/>
                </w:tcPr>
                <w:p w14:paraId="0093956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二级</w:t>
                  </w:r>
                </w:p>
              </w:tc>
              <w:tc>
                <w:tcPr>
                  <w:tcW w:w="438" w:type="pct"/>
                  <w:noWrap w:val="0"/>
                  <w:vAlign w:val="center"/>
                </w:tcPr>
                <w:p w14:paraId="624341A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三级</w:t>
                  </w:r>
                </w:p>
              </w:tc>
              <w:tc>
                <w:tcPr>
                  <w:tcW w:w="437" w:type="pct"/>
                  <w:noWrap w:val="0"/>
                  <w:vAlign w:val="center"/>
                </w:tcPr>
                <w:p w14:paraId="46C3D2D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三级</w:t>
                  </w:r>
                </w:p>
              </w:tc>
              <w:tc>
                <w:tcPr>
                  <w:tcW w:w="453" w:type="pct"/>
                  <w:noWrap w:val="0"/>
                  <w:vAlign w:val="center"/>
                </w:tcPr>
                <w:p w14:paraId="49C0A8A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三级</w:t>
                  </w:r>
                </w:p>
              </w:tc>
            </w:tr>
            <w:tr w14:paraId="021D53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934" w:type="pct"/>
                  <w:noWrap w:val="0"/>
                  <w:vAlign w:val="center"/>
                </w:tcPr>
                <w:p w14:paraId="1EA9B90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较敏感</w:t>
                  </w:r>
                </w:p>
              </w:tc>
              <w:tc>
                <w:tcPr>
                  <w:tcW w:w="469" w:type="pct"/>
                  <w:noWrap w:val="0"/>
                  <w:vAlign w:val="center"/>
                </w:tcPr>
                <w:p w14:paraId="05C48F5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一级</w:t>
                  </w:r>
                </w:p>
              </w:tc>
              <w:tc>
                <w:tcPr>
                  <w:tcW w:w="442" w:type="pct"/>
                  <w:noWrap w:val="0"/>
                  <w:vAlign w:val="center"/>
                </w:tcPr>
                <w:p w14:paraId="7399C43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一级</w:t>
                  </w:r>
                </w:p>
              </w:tc>
              <w:tc>
                <w:tcPr>
                  <w:tcW w:w="461" w:type="pct"/>
                  <w:noWrap w:val="0"/>
                  <w:vAlign w:val="center"/>
                </w:tcPr>
                <w:p w14:paraId="7B8F313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二级</w:t>
                  </w:r>
                </w:p>
              </w:tc>
              <w:tc>
                <w:tcPr>
                  <w:tcW w:w="487" w:type="pct"/>
                  <w:noWrap w:val="0"/>
                  <w:vAlign w:val="center"/>
                </w:tcPr>
                <w:p w14:paraId="4F1B14F8">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二级</w:t>
                  </w:r>
                </w:p>
              </w:tc>
              <w:tc>
                <w:tcPr>
                  <w:tcW w:w="414" w:type="pct"/>
                  <w:noWrap w:val="0"/>
                  <w:vAlign w:val="center"/>
                </w:tcPr>
                <w:p w14:paraId="1F45469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二级</w:t>
                  </w:r>
                </w:p>
              </w:tc>
              <w:tc>
                <w:tcPr>
                  <w:tcW w:w="461" w:type="pct"/>
                  <w:noWrap w:val="0"/>
                  <w:vAlign w:val="center"/>
                </w:tcPr>
                <w:p w14:paraId="4187E751">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三级</w:t>
                  </w:r>
                </w:p>
              </w:tc>
              <w:tc>
                <w:tcPr>
                  <w:tcW w:w="438" w:type="pct"/>
                  <w:noWrap w:val="0"/>
                  <w:vAlign w:val="center"/>
                </w:tcPr>
                <w:p w14:paraId="06F85646">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三级</w:t>
                  </w:r>
                </w:p>
              </w:tc>
              <w:tc>
                <w:tcPr>
                  <w:tcW w:w="437" w:type="pct"/>
                  <w:noWrap w:val="0"/>
                  <w:vAlign w:val="center"/>
                </w:tcPr>
                <w:p w14:paraId="543F370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三级</w:t>
                  </w:r>
                </w:p>
              </w:tc>
              <w:tc>
                <w:tcPr>
                  <w:tcW w:w="453" w:type="pct"/>
                  <w:tcBorders>
                    <w:bottom w:val="single" w:color="auto" w:sz="4" w:space="0"/>
                  </w:tcBorders>
                  <w:noWrap w:val="0"/>
                  <w:vAlign w:val="center"/>
                </w:tcPr>
                <w:p w14:paraId="4FF3DC24">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w:t>
                  </w:r>
                </w:p>
              </w:tc>
            </w:tr>
            <w:tr w14:paraId="765927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934" w:type="pct"/>
                  <w:shd w:val="clear" w:color="auto" w:fill="auto"/>
                  <w:noWrap w:val="0"/>
                  <w:vAlign w:val="center"/>
                </w:tcPr>
                <w:p w14:paraId="7C1759C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不敏感</w:t>
                  </w:r>
                </w:p>
              </w:tc>
              <w:tc>
                <w:tcPr>
                  <w:tcW w:w="469" w:type="pct"/>
                  <w:shd w:val="clear" w:color="auto" w:fill="auto"/>
                  <w:noWrap w:val="0"/>
                  <w:vAlign w:val="center"/>
                </w:tcPr>
                <w:p w14:paraId="54DCA63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一级</w:t>
                  </w:r>
                </w:p>
              </w:tc>
              <w:tc>
                <w:tcPr>
                  <w:tcW w:w="442" w:type="pct"/>
                  <w:shd w:val="clear" w:color="auto" w:fill="auto"/>
                  <w:noWrap w:val="0"/>
                  <w:vAlign w:val="center"/>
                </w:tcPr>
                <w:p w14:paraId="69A4681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二级</w:t>
                  </w:r>
                </w:p>
              </w:tc>
              <w:tc>
                <w:tcPr>
                  <w:tcW w:w="461" w:type="pct"/>
                  <w:shd w:val="clear" w:color="auto" w:fill="auto"/>
                  <w:noWrap w:val="0"/>
                  <w:vAlign w:val="center"/>
                </w:tcPr>
                <w:p w14:paraId="5C618B95">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二级</w:t>
                  </w:r>
                </w:p>
              </w:tc>
              <w:tc>
                <w:tcPr>
                  <w:tcW w:w="487" w:type="pct"/>
                  <w:shd w:val="clear" w:color="auto" w:fill="auto"/>
                  <w:noWrap w:val="0"/>
                  <w:vAlign w:val="center"/>
                </w:tcPr>
                <w:p w14:paraId="0DDD866E">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二级</w:t>
                  </w:r>
                </w:p>
              </w:tc>
              <w:tc>
                <w:tcPr>
                  <w:tcW w:w="414" w:type="pct"/>
                  <w:shd w:val="clear" w:color="auto" w:fill="auto"/>
                  <w:noWrap w:val="0"/>
                  <w:vAlign w:val="center"/>
                </w:tcPr>
                <w:p w14:paraId="02C59E0B">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三级</w:t>
                  </w:r>
                </w:p>
              </w:tc>
              <w:tc>
                <w:tcPr>
                  <w:tcW w:w="461" w:type="pct"/>
                  <w:shd w:val="clear" w:color="auto" w:fill="auto"/>
                  <w:noWrap w:val="0"/>
                  <w:vAlign w:val="center"/>
                </w:tcPr>
                <w:p w14:paraId="0B585A4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三级</w:t>
                  </w:r>
                </w:p>
              </w:tc>
              <w:tc>
                <w:tcPr>
                  <w:tcW w:w="438" w:type="pct"/>
                  <w:shd w:val="clear" w:color="auto" w:fill="auto"/>
                  <w:noWrap w:val="0"/>
                  <w:vAlign w:val="center"/>
                </w:tcPr>
                <w:p w14:paraId="6A53B0D7">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三级</w:t>
                  </w:r>
                </w:p>
              </w:tc>
              <w:tc>
                <w:tcPr>
                  <w:tcW w:w="437" w:type="pct"/>
                  <w:shd w:val="clear" w:color="auto" w:fill="auto"/>
                  <w:noWrap w:val="0"/>
                  <w:vAlign w:val="center"/>
                </w:tcPr>
                <w:p w14:paraId="12653A62">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w:t>
                  </w:r>
                </w:p>
              </w:tc>
              <w:tc>
                <w:tcPr>
                  <w:tcW w:w="453" w:type="pct"/>
                  <w:tcBorders>
                    <w:top w:val="single" w:color="auto" w:sz="4" w:space="0"/>
                    <w:bottom w:val="single" w:color="auto" w:sz="4" w:space="0"/>
                  </w:tcBorders>
                  <w:shd w:val="clear" w:color="auto" w:fill="C0C0C0"/>
                  <w:noWrap w:val="0"/>
                  <w:vAlign w:val="center"/>
                </w:tcPr>
                <w:p w14:paraId="438D50DF">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w:t>
                  </w:r>
                </w:p>
              </w:tc>
            </w:tr>
            <w:tr w14:paraId="243F85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5000" w:type="pct"/>
                  <w:gridSpan w:val="10"/>
                  <w:noWrap w:val="0"/>
                  <w:vAlign w:val="center"/>
                </w:tcPr>
                <w:p w14:paraId="604CC2A9">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rPr>
                    <w:t>注：</w:t>
                  </w:r>
                  <w:r>
                    <w:rPr>
                      <w:rFonts w:hint="eastAsia"/>
                      <w:szCs w:val="22"/>
                      <w:lang w:eastAsia="zh-CN"/>
                    </w:rPr>
                    <w:t>“</w:t>
                  </w:r>
                  <w:r>
                    <w:rPr>
                      <w:rFonts w:hint="eastAsia"/>
                      <w:szCs w:val="22"/>
                    </w:rPr>
                    <w:t>-</w:t>
                  </w:r>
                  <w:r>
                    <w:rPr>
                      <w:rFonts w:hint="eastAsia"/>
                      <w:szCs w:val="22"/>
                      <w:lang w:eastAsia="zh-CN"/>
                    </w:rPr>
                    <w:t>”</w:t>
                  </w:r>
                  <w:r>
                    <w:rPr>
                      <w:rFonts w:hint="eastAsia"/>
                      <w:szCs w:val="22"/>
                    </w:rPr>
                    <w:t>表示可不开展土壤环境影响评价工作。</w:t>
                  </w:r>
                </w:p>
              </w:tc>
            </w:tr>
          </w:tbl>
          <w:p w14:paraId="4BB2B52C">
            <w:pPr>
              <w:pStyle w:val="4"/>
              <w:suppressLineNumbers w:val="0"/>
              <w:bidi w:val="0"/>
              <w:spacing w:before="0" w:beforeAutospacing="0" w:after="0" w:afterAutospacing="0"/>
              <w:ind w:left="0" w:right="0"/>
              <w:rPr>
                <w:rFonts w:hint="eastAsia"/>
                <w:lang w:val="en-US" w:eastAsia="zh-CN"/>
              </w:rPr>
            </w:pPr>
            <w:r>
              <w:rPr>
                <w:rFonts w:hint="default"/>
                <w:lang w:val="en-US" w:eastAsia="zh-CN"/>
              </w:rPr>
              <w:t>4.</w:t>
            </w:r>
            <w:r>
              <w:rPr>
                <w:rFonts w:hint="eastAsia"/>
                <w:lang w:val="en-US" w:eastAsia="zh-CN"/>
              </w:rPr>
              <w:t>5</w:t>
            </w:r>
            <w:r>
              <w:rPr>
                <w:rFonts w:hint="default"/>
                <w:lang w:val="en-US" w:eastAsia="zh-CN"/>
              </w:rPr>
              <w:t>.2地下水、土壤环境防控措施</w:t>
            </w:r>
          </w:p>
          <w:p w14:paraId="5580C456">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eastAsia="zh-CN"/>
              </w:rPr>
            </w:pPr>
            <w:r>
              <w:rPr>
                <w:rFonts w:hint="eastAsia"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1</w:t>
            </w:r>
            <w:r>
              <w:rPr>
                <w:rFonts w:hint="eastAsia"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防渗措施</w:t>
            </w:r>
          </w:p>
          <w:p w14:paraId="48448AE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①合理进行防渗区域划分</w:t>
            </w:r>
          </w:p>
          <w:p w14:paraId="6230AE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根据本项目厂区可能泄漏至地面区域污染物的性质和生产单元的构筑方式，将厂区划分为重点污染防治区、一般污染防治区，针对不同的区域提出相应的防渗要求。结合项目的特点，项目防渗防治分区见表4.</w:t>
            </w:r>
            <w:r>
              <w:rPr>
                <w:rFonts w:hint="eastAsia" w:ascii="Times New Roman" w:hAnsi="Times New Roman" w:eastAsia="宋体" w:cs="Times New Roman"/>
                <w:bCs/>
                <w:color w:val="auto"/>
                <w:sz w:val="24"/>
                <w:highlight w:val="none"/>
                <w:lang w:val="en-US" w:eastAsia="zh-CN"/>
              </w:rPr>
              <w:t>5</w:t>
            </w:r>
            <w:r>
              <w:rPr>
                <w:rFonts w:hint="default" w:ascii="Times New Roman" w:hAnsi="Times New Roman" w:eastAsia="宋体" w:cs="Times New Roman"/>
                <w:bCs/>
                <w:color w:val="auto"/>
                <w:sz w:val="24"/>
                <w:highlight w:val="none"/>
                <w:lang w:val="en-US" w:eastAsia="zh-CN"/>
              </w:rPr>
              <w:t>-</w:t>
            </w:r>
            <w:r>
              <w:rPr>
                <w:rFonts w:hint="eastAsia" w:ascii="Times New Roman" w:hAnsi="Times New Roman" w:eastAsia="宋体" w:cs="Times New Roman"/>
                <w:bCs/>
                <w:color w:val="auto"/>
                <w:sz w:val="24"/>
                <w:highlight w:val="none"/>
                <w:lang w:val="en-US" w:eastAsia="zh-CN"/>
              </w:rPr>
              <w:t>2</w:t>
            </w:r>
            <w:r>
              <w:rPr>
                <w:rFonts w:hint="default" w:ascii="Times New Roman" w:hAnsi="Times New Roman" w:eastAsia="宋体" w:cs="Times New Roman"/>
                <w:bCs/>
                <w:color w:val="auto"/>
                <w:sz w:val="24"/>
                <w:highlight w:val="none"/>
                <w:lang w:val="en-US" w:eastAsia="zh-CN"/>
              </w:rPr>
              <w:t>。</w:t>
            </w:r>
          </w:p>
          <w:p w14:paraId="4BC581F8">
            <w:pPr>
              <w:pStyle w:val="39"/>
              <w:keepNext w:val="0"/>
              <w:keepLines w:val="0"/>
              <w:suppressLineNumbers w:val="0"/>
              <w:bidi w:val="0"/>
              <w:spacing w:before="0" w:beforeAutospacing="0" w:after="0" w:afterAutospacing="0"/>
              <w:ind w:left="0" w:right="0"/>
              <w:rPr>
                <w:rFonts w:hint="default"/>
              </w:rPr>
            </w:pPr>
            <w:r>
              <w:rPr>
                <w:rFonts w:hint="default"/>
              </w:rPr>
              <w:t>表</w:t>
            </w:r>
            <w:r>
              <w:rPr>
                <w:rFonts w:hint="default"/>
                <w:lang w:val="en-US" w:eastAsia="zh-CN"/>
              </w:rPr>
              <w:t>4.</w:t>
            </w:r>
            <w:r>
              <w:rPr>
                <w:rFonts w:hint="eastAsia"/>
                <w:lang w:val="en-US" w:eastAsia="zh-CN"/>
              </w:rPr>
              <w:t>5</w:t>
            </w:r>
            <w:r>
              <w:rPr>
                <w:rFonts w:hint="default"/>
                <w:lang w:val="en-US" w:eastAsia="zh-CN"/>
              </w:rPr>
              <w:t>-</w:t>
            </w:r>
            <w:r>
              <w:rPr>
                <w:rFonts w:hint="eastAsia"/>
                <w:lang w:val="en-US" w:eastAsia="zh-CN"/>
              </w:rPr>
              <w:t>2</w:t>
            </w:r>
            <w:r>
              <w:rPr>
                <w:rFonts w:hint="default"/>
                <w:lang w:val="en-US" w:eastAsia="zh-CN"/>
              </w:rPr>
              <w:t xml:space="preserve"> </w:t>
            </w:r>
            <w:r>
              <w:rPr>
                <w:rFonts w:hint="default"/>
              </w:rPr>
              <w:t xml:space="preserve"> </w:t>
            </w:r>
            <w:r>
              <w:rPr>
                <w:rFonts w:hint="default"/>
                <w:lang w:eastAsia="zh-CN"/>
              </w:rPr>
              <w:t>土壤</w:t>
            </w:r>
            <w:r>
              <w:rPr>
                <w:rFonts w:hint="default"/>
              </w:rPr>
              <w:t>污染防治分区一览表</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49"/>
              <w:gridCol w:w="1079"/>
              <w:gridCol w:w="3910"/>
              <w:gridCol w:w="1738"/>
            </w:tblGrid>
            <w:tr w14:paraId="2A5F2A8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84" w:type="pct"/>
                  <w:tcBorders>
                    <w:top w:val="single" w:color="auto" w:sz="12" w:space="0"/>
                  </w:tcBorders>
                  <w:noWrap w:val="0"/>
                  <w:vAlign w:val="center"/>
                </w:tcPr>
                <w:p w14:paraId="50AA15F7">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防治分区</w:t>
                  </w:r>
                </w:p>
              </w:tc>
              <w:tc>
                <w:tcPr>
                  <w:tcW w:w="644" w:type="pct"/>
                  <w:tcBorders>
                    <w:top w:val="single" w:color="auto" w:sz="12" w:space="0"/>
                  </w:tcBorders>
                  <w:noWrap w:val="0"/>
                  <w:vAlign w:val="center"/>
                </w:tcPr>
                <w:p w14:paraId="2C32B23E">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序号</w:t>
                  </w:r>
                </w:p>
              </w:tc>
              <w:tc>
                <w:tcPr>
                  <w:tcW w:w="2333" w:type="pct"/>
                  <w:tcBorders>
                    <w:top w:val="single" w:color="auto" w:sz="12" w:space="0"/>
                  </w:tcBorders>
                  <w:noWrap w:val="0"/>
                  <w:vAlign w:val="center"/>
                </w:tcPr>
                <w:p w14:paraId="5851C089">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装置或者构筑物名称</w:t>
                  </w:r>
                </w:p>
              </w:tc>
              <w:tc>
                <w:tcPr>
                  <w:tcW w:w="1037" w:type="pct"/>
                  <w:tcBorders>
                    <w:top w:val="single" w:color="auto" w:sz="12" w:space="0"/>
                  </w:tcBorders>
                  <w:noWrap w:val="0"/>
                  <w:vAlign w:val="center"/>
                </w:tcPr>
                <w:p w14:paraId="3C92398B">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防渗区域</w:t>
                  </w:r>
                </w:p>
              </w:tc>
            </w:tr>
            <w:tr w14:paraId="035498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84" w:type="pct"/>
                  <w:noWrap w:val="0"/>
                  <w:vAlign w:val="center"/>
                </w:tcPr>
                <w:p w14:paraId="02781F16">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重点污染防</w:t>
                  </w:r>
                </w:p>
                <w:p w14:paraId="5AEEE549">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治区</w:t>
                  </w:r>
                </w:p>
              </w:tc>
              <w:tc>
                <w:tcPr>
                  <w:tcW w:w="644" w:type="pct"/>
                  <w:noWrap w:val="0"/>
                  <w:vAlign w:val="center"/>
                </w:tcPr>
                <w:p w14:paraId="147D8CE4">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1</w:t>
                  </w:r>
                </w:p>
              </w:tc>
              <w:tc>
                <w:tcPr>
                  <w:tcW w:w="2333" w:type="pct"/>
                  <w:noWrap w:val="0"/>
                  <w:vAlign w:val="center"/>
                </w:tcPr>
                <w:p w14:paraId="2921D6B7">
                  <w:pPr>
                    <w:pStyle w:val="38"/>
                    <w:keepNext w:val="0"/>
                    <w:keepLines w:val="0"/>
                    <w:widowControl/>
                    <w:suppressLineNumbers w:val="0"/>
                    <w:bidi w:val="0"/>
                    <w:spacing w:before="0" w:beforeAutospacing="0" w:after="0" w:afterAutospacing="0"/>
                    <w:ind w:left="0" w:right="0"/>
                    <w:rPr>
                      <w:rFonts w:hint="eastAsia" w:eastAsia="宋体"/>
                      <w:szCs w:val="22"/>
                      <w:lang w:val="en-US" w:eastAsia="zh-CN"/>
                    </w:rPr>
                  </w:pPr>
                  <w:r>
                    <w:rPr>
                      <w:rFonts w:hint="eastAsia"/>
                      <w:szCs w:val="22"/>
                      <w:lang w:eastAsia="zh-CN"/>
                    </w:rPr>
                    <w:t>危废贮存库</w:t>
                  </w:r>
                </w:p>
              </w:tc>
              <w:tc>
                <w:tcPr>
                  <w:tcW w:w="1037" w:type="pct"/>
                  <w:noWrap w:val="0"/>
                  <w:vAlign w:val="center"/>
                </w:tcPr>
                <w:p w14:paraId="43035BB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rPr>
                    <w:t>地面</w:t>
                  </w:r>
                </w:p>
              </w:tc>
            </w:tr>
            <w:tr w14:paraId="6C05B6F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84" w:type="pct"/>
                  <w:tcBorders>
                    <w:bottom w:val="single" w:color="auto" w:sz="12" w:space="0"/>
                  </w:tcBorders>
                  <w:noWrap w:val="0"/>
                  <w:vAlign w:val="center"/>
                </w:tcPr>
                <w:p w14:paraId="4B8D3C06">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一般污染防</w:t>
                  </w:r>
                </w:p>
                <w:p w14:paraId="2E22EEB6">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治区</w:t>
                  </w:r>
                </w:p>
              </w:tc>
              <w:tc>
                <w:tcPr>
                  <w:tcW w:w="644" w:type="pct"/>
                  <w:tcBorders>
                    <w:bottom w:val="single" w:color="auto" w:sz="12" w:space="0"/>
                  </w:tcBorders>
                  <w:noWrap w:val="0"/>
                  <w:vAlign w:val="center"/>
                </w:tcPr>
                <w:p w14:paraId="6322B845">
                  <w:pPr>
                    <w:pStyle w:val="38"/>
                    <w:keepNext w:val="0"/>
                    <w:keepLines w:val="0"/>
                    <w:widowControl/>
                    <w:suppressLineNumbers w:val="0"/>
                    <w:bidi w:val="0"/>
                    <w:spacing w:before="0" w:beforeAutospacing="0" w:after="0" w:afterAutospacing="0"/>
                    <w:ind w:left="0" w:right="0"/>
                    <w:rPr>
                      <w:rFonts w:hint="default"/>
                      <w:szCs w:val="22"/>
                      <w:lang w:eastAsia="zh-CN"/>
                    </w:rPr>
                  </w:pPr>
                  <w:r>
                    <w:rPr>
                      <w:rFonts w:hint="eastAsia"/>
                      <w:szCs w:val="22"/>
                      <w:lang w:val="en-US" w:eastAsia="zh-CN"/>
                    </w:rPr>
                    <w:t>2</w:t>
                  </w:r>
                </w:p>
              </w:tc>
              <w:tc>
                <w:tcPr>
                  <w:tcW w:w="2333" w:type="pct"/>
                  <w:tcBorders>
                    <w:bottom w:val="single" w:color="auto" w:sz="12" w:space="0"/>
                  </w:tcBorders>
                  <w:noWrap w:val="0"/>
                  <w:vAlign w:val="center"/>
                </w:tcPr>
                <w:p w14:paraId="1C1DC5B4">
                  <w:pPr>
                    <w:pStyle w:val="38"/>
                    <w:keepNext w:val="0"/>
                    <w:keepLines w:val="0"/>
                    <w:widowControl/>
                    <w:suppressLineNumbers w:val="0"/>
                    <w:bidi w:val="0"/>
                    <w:spacing w:before="0" w:beforeAutospacing="0" w:after="0" w:afterAutospacing="0"/>
                    <w:ind w:left="0" w:right="0"/>
                    <w:rPr>
                      <w:rFonts w:hint="default"/>
                      <w:szCs w:val="22"/>
                      <w:lang w:eastAsia="zh-CN"/>
                    </w:rPr>
                  </w:pPr>
                  <w:r>
                    <w:rPr>
                      <w:rFonts w:hint="default"/>
                      <w:szCs w:val="22"/>
                      <w:lang w:eastAsia="zh-CN"/>
                    </w:rPr>
                    <w:t>一般工业固废</w:t>
                  </w:r>
                  <w:r>
                    <w:rPr>
                      <w:rFonts w:hint="eastAsia"/>
                      <w:szCs w:val="22"/>
                      <w:lang w:val="en-US" w:eastAsia="zh-CN"/>
                    </w:rPr>
                    <w:t>区</w:t>
                  </w:r>
                  <w:r>
                    <w:rPr>
                      <w:rFonts w:hint="default"/>
                      <w:szCs w:val="22"/>
                      <w:lang w:eastAsia="zh-CN"/>
                    </w:rPr>
                    <w:t>、项目生产车间</w:t>
                  </w:r>
                </w:p>
              </w:tc>
              <w:tc>
                <w:tcPr>
                  <w:tcW w:w="1037" w:type="pct"/>
                  <w:tcBorders>
                    <w:bottom w:val="single" w:color="auto" w:sz="12" w:space="0"/>
                  </w:tcBorders>
                  <w:noWrap w:val="0"/>
                  <w:vAlign w:val="center"/>
                </w:tcPr>
                <w:p w14:paraId="5DA91A51">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地面</w:t>
                  </w:r>
                </w:p>
              </w:tc>
            </w:tr>
          </w:tbl>
          <w:p w14:paraId="318235FA">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②防渗要求</w:t>
            </w:r>
          </w:p>
          <w:p w14:paraId="7D49E9FD">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重点污染区防渗要求：根据《环境影响评价技术导则地下水环境》</w:t>
            </w:r>
            <w:r>
              <w:rPr>
                <w:rFonts w:hint="eastAsia"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HJ610-2016</w:t>
            </w:r>
            <w:r>
              <w:rPr>
                <w:rFonts w:hint="eastAsia"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的要求，重点防渗区的防渗性能应等效黏土防渗层≥6.0m，渗透系数≤1.0×10-7cm/s。危险废物暂存场重点防渗区应按照《危险废物污染防治技术政策》及《危险废物贮存污染控制标准》</w:t>
            </w:r>
            <w:r>
              <w:rPr>
                <w:rFonts w:hint="eastAsia"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GB18597-20</w:t>
            </w:r>
            <w:r>
              <w:rPr>
                <w:rFonts w:hint="eastAsia" w:ascii="Times New Roman" w:hAnsi="Times New Roman" w:eastAsia="宋体" w:cs="Times New Roman"/>
                <w:bCs/>
                <w:color w:val="auto"/>
                <w:sz w:val="24"/>
                <w:highlight w:val="none"/>
                <w:lang w:val="en-US" w:eastAsia="zh-CN"/>
              </w:rPr>
              <w:t>23</w:t>
            </w:r>
            <w:r>
              <w:rPr>
                <w:rFonts w:hint="eastAsia"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等危险废物处理的相关标准、法律法规的要求；一般污染区防渗要求：根据《环境影响评价技术导则地下水环境》</w:t>
            </w:r>
            <w:r>
              <w:rPr>
                <w:rFonts w:hint="eastAsia"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HJ610-2016</w:t>
            </w:r>
            <w:r>
              <w:rPr>
                <w:rFonts w:hint="eastAsia"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，一般防渗区的防渗性能等效黏土防渗层≥1.5m，渗透系数≤1.0×10-7cm/s。一般工业固体废物暂存场一般防渗区应按照《一般工业固体废物贮存处置场污染控制标准》</w:t>
            </w:r>
            <w:r>
              <w:rPr>
                <w:rFonts w:hint="eastAsia" w:cs="Times New Roman"/>
                <w:bCs/>
                <w:color w:val="auto"/>
                <w:sz w:val="24"/>
                <w:highlight w:val="none"/>
                <w:lang w:val="en-US" w:eastAsia="zh-CN"/>
              </w:rPr>
              <w:t>（</w:t>
            </w:r>
            <w:r>
              <w:rPr>
                <w:rFonts w:hint="eastAsia" w:ascii="Times New Roman" w:hAnsi="Times New Roman" w:eastAsia="宋体" w:cs="Times New Roman"/>
                <w:bCs/>
                <w:color w:val="auto"/>
                <w:sz w:val="24"/>
                <w:highlight w:val="none"/>
                <w:lang w:val="en-US" w:eastAsia="zh-CN"/>
              </w:rPr>
              <w:t>GB18599-2020</w:t>
            </w:r>
            <w:r>
              <w:rPr>
                <w:rFonts w:hint="eastAsia"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 xml:space="preserve"> Ⅱ类场进行设计</w:t>
            </w:r>
            <w:r>
              <w:rPr>
                <w:rFonts w:hint="eastAsia" w:cs="Times New Roman"/>
                <w:bCs/>
                <w:color w:val="auto"/>
                <w:sz w:val="24"/>
                <w:highlight w:val="none"/>
                <w:lang w:val="en-US" w:eastAsia="zh-CN"/>
              </w:rPr>
              <w:t>且</w:t>
            </w:r>
            <w:r>
              <w:rPr>
                <w:rFonts w:hint="default" w:ascii="Times New Roman" w:hAnsi="Times New Roman" w:eastAsia="宋体" w:cs="Times New Roman"/>
                <w:bCs/>
                <w:color w:val="auto"/>
                <w:sz w:val="24"/>
                <w:highlight w:val="none"/>
                <w:lang w:val="en-US" w:eastAsia="zh-CN"/>
              </w:rPr>
              <w:t>具有防雨、防渗、防风、防日晒的功能。</w:t>
            </w:r>
          </w:p>
          <w:p w14:paraId="12857D5A">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（2）</w:t>
            </w:r>
            <w:r>
              <w:rPr>
                <w:rFonts w:hint="default" w:ascii="Times New Roman" w:hAnsi="Times New Roman" w:eastAsia="宋体" w:cs="Times New Roman"/>
                <w:bCs/>
                <w:color w:val="auto"/>
                <w:sz w:val="24"/>
                <w:highlight w:val="none"/>
                <w:lang w:val="en-US" w:eastAsia="zh-CN"/>
              </w:rPr>
              <w:t>监控措施</w:t>
            </w:r>
          </w:p>
          <w:p w14:paraId="4F3313D0">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①项目</w:t>
            </w:r>
            <w:r>
              <w:rPr>
                <w:rFonts w:hint="eastAsia" w:cs="Times New Roman"/>
                <w:bCs/>
                <w:color w:val="auto"/>
                <w:sz w:val="24"/>
                <w:highlight w:val="none"/>
                <w:lang w:val="en-US" w:eastAsia="zh-CN"/>
              </w:rPr>
              <w:t>危废贮存库</w:t>
            </w:r>
            <w:r>
              <w:rPr>
                <w:rFonts w:hint="default" w:ascii="Times New Roman" w:hAnsi="Times New Roman" w:eastAsia="宋体" w:cs="Times New Roman"/>
                <w:bCs/>
                <w:color w:val="auto"/>
                <w:sz w:val="24"/>
                <w:highlight w:val="none"/>
                <w:lang w:val="en-US" w:eastAsia="zh-CN"/>
              </w:rPr>
              <w:t>四周建设导流沟装置，防止危险废物等泄漏时四处扩散，并可及时移除或者清理污染源；</w:t>
            </w:r>
          </w:p>
          <w:p w14:paraId="1D977A0E">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②建立健全环境管理和监测制度，保证各环保设施正常运转，同时强化风险防范意识，如遇环保设施不能正常运转，应立即停产检修；</w:t>
            </w:r>
          </w:p>
          <w:p w14:paraId="4AD91E9E">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③若发生危险废物泄漏等，必要时委托有资质的单位对厂址周边地下水、土壤等进行跟踪监测，掌握厂址周边污染变化趋势。</w:t>
            </w:r>
          </w:p>
          <w:p w14:paraId="453F160E">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④在今后的生产活动中，做好设备的维护、检修，杜绝跑、冒、滴、漏现象。同时，加强污染物产生主要环节的收集治理，加强厂区的安全防护、环境风险防范措施，以便及时发现事故隐患，及时采取有效的应对措施。</w:t>
            </w:r>
          </w:p>
          <w:p w14:paraId="075B5F72">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⑤项目生产经营用地的用途变更或者在其土地使用权收回、转让前，应当由土地使用权人按照规定进行土壤污染状况调查。</w:t>
            </w:r>
          </w:p>
          <w:p w14:paraId="295530F9">
            <w:pPr>
              <w:pStyle w:val="4"/>
              <w:suppressLineNumbers w:val="0"/>
              <w:bidi w:val="0"/>
              <w:spacing w:before="0" w:beforeAutospacing="0" w:after="0" w:afterAutospacing="0"/>
              <w:ind w:left="0" w:right="0"/>
              <w:rPr>
                <w:rFonts w:hint="default"/>
                <w:lang w:val="en-US" w:eastAsia="zh-CN"/>
              </w:rPr>
            </w:pPr>
            <w:r>
              <w:rPr>
                <w:rFonts w:hint="default"/>
                <w:lang w:val="en-US" w:eastAsia="zh-CN"/>
              </w:rPr>
              <w:t>跟踪监测要求</w:t>
            </w:r>
          </w:p>
          <w:p w14:paraId="27ED3A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本项目选址于</w:t>
            </w:r>
            <w:r>
              <w:rPr>
                <w:rFonts w:hint="eastAsia"/>
                <w:lang w:val="en-US" w:eastAsia="zh-CN"/>
              </w:rPr>
              <w:t>福建省福州市福清融侨经济技术开发区内（</w:t>
            </w:r>
            <w:r>
              <w:rPr>
                <w:rFonts w:hint="eastAsia"/>
                <w:color w:val="auto"/>
                <w:lang w:eastAsia="zh-CN"/>
              </w:rPr>
              <w:t>福建省福州市福清市阳下街道玉岭村147号车间2三楼</w:t>
            </w:r>
            <w:r>
              <w:rPr>
                <w:rFonts w:hint="eastAsia"/>
                <w:lang w:val="en-US" w:eastAsia="zh-CN"/>
              </w:rPr>
              <w:t>）</w:t>
            </w:r>
            <w:r>
              <w:rPr>
                <w:rFonts w:hint="default" w:ascii="Times New Roman" w:hAnsi="Times New Roman" w:eastAsia="宋体" w:cs="Times New Roman"/>
                <w:bCs/>
                <w:color w:val="auto"/>
                <w:kern w:val="2"/>
                <w:sz w:val="24"/>
                <w:szCs w:val="24"/>
                <w:highlight w:val="none"/>
                <w:lang w:val="en-US" w:eastAsia="zh-CN" w:bidi="ar-SA"/>
              </w:rPr>
              <w:t>，周边以工业企业为主，项目周边地下水、土壤环境相对不敏感，采取有效的防渗措施后，项目对地下水、土壤环境影响很小，本评价不对项目地下水、土壤环境进行跟踪监测。</w:t>
            </w:r>
          </w:p>
          <w:p w14:paraId="57F911A9">
            <w:pPr>
              <w:pStyle w:val="3"/>
              <w:keepNext w:val="0"/>
              <w:keepLines w:val="0"/>
              <w:suppressLineNumbers w:val="0"/>
              <w:tabs>
                <w:tab w:val="left" w:pos="420"/>
                <w:tab w:val="clear" w:pos="0"/>
              </w:tabs>
              <w:bidi w:val="0"/>
              <w:spacing w:before="0" w:beforeAutospacing="0" w:after="0" w:afterAutospacing="0"/>
              <w:ind w:left="0" w:right="0"/>
              <w:rPr>
                <w:rFonts w:hint="eastAsia"/>
              </w:rPr>
            </w:pPr>
            <w:bookmarkStart w:id="35" w:name="_Toc2618"/>
            <w:bookmarkStart w:id="36" w:name="_Toc14009"/>
            <w:bookmarkStart w:id="37" w:name="_Toc4247_WPSOffice_Level2"/>
            <w:r>
              <w:rPr>
                <w:rFonts w:hint="eastAsia"/>
              </w:rPr>
              <w:t>运营期环境风险影响和保护措施</w:t>
            </w:r>
            <w:bookmarkEnd w:id="35"/>
          </w:p>
          <w:bookmarkEnd w:id="36"/>
          <w:bookmarkEnd w:id="37"/>
          <w:p w14:paraId="46E2B447">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项目原辅材料存在的危险物质主要为</w:t>
            </w:r>
            <w:r>
              <w:rPr>
                <w:rFonts w:hint="eastAsia" w:ascii="Times New Roman" w:hAnsi="Times New Roman" w:cs="Times New Roman"/>
                <w:b w:val="0"/>
                <w:bCs w:val="0"/>
                <w:iCs w:val="0"/>
                <w:color w:val="auto"/>
                <w:sz w:val="24"/>
                <w:lang w:eastAsia="zh-CN"/>
              </w:rPr>
              <w:t>生产过程中设备进行保养维修</w:t>
            </w:r>
            <w:r>
              <w:rPr>
                <w:rFonts w:hint="eastAsia" w:cs="Times New Roman"/>
                <w:b w:val="0"/>
                <w:bCs w:val="0"/>
                <w:iCs w:val="0"/>
                <w:color w:val="auto"/>
                <w:sz w:val="24"/>
                <w:lang w:eastAsia="zh-CN"/>
              </w:rPr>
              <w:t>使用</w:t>
            </w:r>
            <w:r>
              <w:rPr>
                <w:rFonts w:hint="eastAsia" w:cs="Times New Roman"/>
                <w:b w:val="0"/>
                <w:bCs w:val="0"/>
                <w:iCs w:val="0"/>
                <w:color w:val="auto"/>
                <w:sz w:val="24"/>
                <w:lang w:val="en-US" w:eastAsia="zh-CN"/>
              </w:rPr>
              <w:t>后产生</w:t>
            </w:r>
            <w:r>
              <w:rPr>
                <w:rFonts w:hint="eastAsia" w:ascii="Times New Roman" w:hAnsi="Times New Roman" w:cs="Times New Roman"/>
                <w:b w:val="0"/>
                <w:bCs w:val="0"/>
                <w:iCs w:val="0"/>
                <w:color w:val="auto"/>
                <w:sz w:val="24"/>
                <w:lang w:eastAsia="zh-CN"/>
              </w:rPr>
              <w:t>的</w:t>
            </w:r>
            <w:r>
              <w:rPr>
                <w:rFonts w:hint="eastAsia" w:ascii="Times New Roman" w:hAnsi="Times New Roman" w:cs="Times New Roman"/>
                <w:b w:val="0"/>
                <w:bCs w:val="0"/>
                <w:iCs w:val="0"/>
                <w:color w:val="auto"/>
                <w:sz w:val="24"/>
                <w:lang w:val="en-US" w:eastAsia="zh-CN"/>
              </w:rPr>
              <w:t>废机油。原辅材料</w:t>
            </w:r>
            <w:r>
              <w:rPr>
                <w:rFonts w:hint="eastAsia" w:cs="宋体"/>
                <w:b w:val="0"/>
                <w:bCs w:val="0"/>
                <w:iCs w:val="0"/>
                <w:color w:val="auto"/>
              </w:rPr>
              <w:t>存放于原材料仓库</w:t>
            </w:r>
            <w:r>
              <w:rPr>
                <w:rFonts w:hint="eastAsia" w:cs="宋体"/>
                <w:b w:val="0"/>
                <w:bCs w:val="0"/>
                <w:iCs w:val="0"/>
                <w:color w:val="auto"/>
                <w:lang w:eastAsia="zh-CN"/>
              </w:rPr>
              <w:t>且</w:t>
            </w:r>
            <w:r>
              <w:rPr>
                <w:rFonts w:hint="eastAsia" w:cs="宋体"/>
                <w:b w:val="0"/>
                <w:bCs w:val="0"/>
                <w:iCs w:val="0"/>
                <w:color w:val="auto"/>
              </w:rPr>
              <w:t>该部分原料在非取用时为密闭包装状态。项目产生的危险废物暂存于</w:t>
            </w:r>
            <w:r>
              <w:rPr>
                <w:rFonts w:hint="eastAsia" w:cs="宋体"/>
                <w:b w:val="0"/>
                <w:bCs w:val="0"/>
                <w:iCs w:val="0"/>
                <w:color w:val="auto"/>
                <w:lang w:eastAsia="zh-CN"/>
              </w:rPr>
              <w:t>危废贮存库</w:t>
            </w:r>
            <w:r>
              <w:rPr>
                <w:rFonts w:hint="eastAsia" w:cs="宋体"/>
                <w:b w:val="0"/>
                <w:bCs w:val="0"/>
                <w:iCs w:val="0"/>
                <w:color w:val="auto"/>
              </w:rPr>
              <w:t>。</w:t>
            </w:r>
          </w:p>
          <w:p w14:paraId="022AE2D6">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lang w:val="zh-CN"/>
              </w:rPr>
              <w:t>根据</w:t>
            </w:r>
            <w:r>
              <w:rPr>
                <w:rFonts w:hint="eastAsia" w:cs="宋体"/>
                <w:b w:val="0"/>
                <w:bCs w:val="0"/>
                <w:iCs w:val="0"/>
                <w:color w:val="auto"/>
              </w:rPr>
              <w:t>《建设项目环境风险评价技术导则》（HJ169-2018）附录C，计算所涉及的每种危险物质在厂界内的最大存在总量与其在《建设项目环境风险评价技术导则》（HJ169-2018）附录B中对应临界量的比值Q。在不同厂区的同一种物质，按其在厂界内的最大存在总量计算。当企业只涉及一种风险物质时，该物质的数量与其临界量的比值，即为Q。当企业存在多种化学物质时，则按下式计算物质总量与其临界量比值（Q）：</w:t>
            </w:r>
          </w:p>
          <w:p w14:paraId="424CD374">
            <w:pPr>
              <w:pStyle w:val="15"/>
              <w:keepNext w:val="0"/>
              <w:keepLines w:val="0"/>
              <w:suppressLineNumbers w:val="0"/>
              <w:bidi w:val="0"/>
              <w:spacing w:before="0" w:beforeAutospacing="0" w:after="0" w:afterAutospacing="0"/>
              <w:ind w:left="0" w:right="0"/>
            </w:pPr>
            <w:r>
              <w:drawing>
                <wp:inline distT="0" distB="0" distL="114300" distR="114300">
                  <wp:extent cx="1903730" cy="464185"/>
                  <wp:effectExtent l="0" t="0" r="1270" b="12065"/>
                  <wp:docPr id="128" name="图片 3" descr="C:\Users\admin\AppData\Roaming\Tencent\Users\506048567\QQ\WinTemp\RichOle\`_O{@QX45~6E2EU4~BK~(Z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 descr="C:\Users\admin\AppData\Roaming\Tencent\Users\506048567\QQ\WinTemp\RichOle\`_O{@QX45~6E2EU4~BK~(ZR.png"/>
                          <pic:cNvPicPr>
                            <a:picLocks noChangeAspect="1"/>
                          </pic:cNvPicPr>
                        </pic:nvPicPr>
                        <pic:blipFill>
                          <a:blip r:embed="rId52" cstate="email"/>
                          <a:stretch>
                            <a:fillRect/>
                          </a:stretch>
                        </pic:blipFill>
                        <pic:spPr>
                          <a:xfrm>
                            <a:off x="0" y="0"/>
                            <a:ext cx="1903730" cy="464185"/>
                          </a:xfrm>
                          <a:prstGeom prst="rect">
                            <a:avLst/>
                          </a:prstGeom>
                          <a:noFill/>
                          <a:ln>
                            <a:noFill/>
                          </a:ln>
                        </pic:spPr>
                      </pic:pic>
                    </a:graphicData>
                  </a:graphic>
                </wp:inline>
              </w:drawing>
            </w:r>
          </w:p>
          <w:p w14:paraId="1858ED53">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式中：q</w:t>
            </w:r>
            <w:r>
              <w:rPr>
                <w:rFonts w:hint="eastAsia" w:cs="宋体"/>
                <w:b w:val="0"/>
                <w:bCs w:val="0"/>
                <w:iCs w:val="0"/>
                <w:color w:val="auto"/>
                <w:vertAlign w:val="subscript"/>
              </w:rPr>
              <w:t>1</w:t>
            </w:r>
            <w:r>
              <w:rPr>
                <w:rFonts w:hint="eastAsia" w:cs="宋体"/>
                <w:b w:val="0"/>
                <w:bCs w:val="0"/>
                <w:iCs w:val="0"/>
                <w:color w:val="auto"/>
              </w:rPr>
              <w:t>，q</w:t>
            </w:r>
            <w:r>
              <w:rPr>
                <w:rFonts w:hint="eastAsia" w:cs="宋体"/>
                <w:b w:val="0"/>
                <w:bCs w:val="0"/>
                <w:iCs w:val="0"/>
                <w:color w:val="auto"/>
                <w:vertAlign w:val="subscript"/>
              </w:rPr>
              <w:t>2</w:t>
            </w:r>
            <w:r>
              <w:rPr>
                <w:rFonts w:hint="eastAsia" w:cs="宋体"/>
                <w:b w:val="0"/>
                <w:bCs w:val="0"/>
                <w:iCs w:val="0"/>
                <w:color w:val="auto"/>
              </w:rPr>
              <w:t>，...，q</w:t>
            </w:r>
            <w:r>
              <w:rPr>
                <w:rFonts w:hint="eastAsia" w:cs="宋体"/>
                <w:b w:val="0"/>
                <w:bCs w:val="0"/>
                <w:iCs w:val="0"/>
                <w:color w:val="auto"/>
                <w:vertAlign w:val="subscript"/>
              </w:rPr>
              <w:t>n</w:t>
            </w:r>
            <w:r>
              <w:rPr>
                <w:rFonts w:hint="eastAsia" w:cs="宋体"/>
                <w:b w:val="0"/>
                <w:bCs w:val="0"/>
                <w:iCs w:val="0"/>
                <w:color w:val="auto"/>
              </w:rPr>
              <w:t>——每种风险物质的存在量，t；</w:t>
            </w:r>
          </w:p>
          <w:p w14:paraId="26954E03">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Q</w:t>
            </w:r>
            <w:r>
              <w:rPr>
                <w:rFonts w:hint="eastAsia" w:cs="宋体"/>
                <w:b w:val="0"/>
                <w:bCs w:val="0"/>
                <w:iCs w:val="0"/>
                <w:color w:val="auto"/>
                <w:vertAlign w:val="subscript"/>
              </w:rPr>
              <w:t>1</w:t>
            </w:r>
            <w:r>
              <w:rPr>
                <w:rFonts w:hint="eastAsia" w:cs="宋体"/>
                <w:b w:val="0"/>
                <w:bCs w:val="0"/>
                <w:iCs w:val="0"/>
                <w:color w:val="auto"/>
              </w:rPr>
              <w:t>，Q</w:t>
            </w:r>
            <w:r>
              <w:rPr>
                <w:rFonts w:hint="eastAsia" w:cs="宋体"/>
                <w:b w:val="0"/>
                <w:bCs w:val="0"/>
                <w:iCs w:val="0"/>
                <w:color w:val="auto"/>
                <w:vertAlign w:val="subscript"/>
              </w:rPr>
              <w:t>2</w:t>
            </w:r>
            <w:r>
              <w:rPr>
                <w:rFonts w:hint="eastAsia" w:cs="宋体"/>
                <w:b w:val="0"/>
                <w:bCs w:val="0"/>
                <w:iCs w:val="0"/>
                <w:color w:val="auto"/>
              </w:rPr>
              <w:t>，...，Q</w:t>
            </w:r>
            <w:r>
              <w:rPr>
                <w:rFonts w:hint="eastAsia" w:cs="宋体"/>
                <w:b w:val="0"/>
                <w:bCs w:val="0"/>
                <w:iCs w:val="0"/>
                <w:color w:val="auto"/>
                <w:vertAlign w:val="subscript"/>
              </w:rPr>
              <w:t>n</w:t>
            </w:r>
            <w:r>
              <w:rPr>
                <w:rFonts w:hint="eastAsia" w:cs="宋体"/>
                <w:b w:val="0"/>
                <w:bCs w:val="0"/>
                <w:iCs w:val="0"/>
                <w:color w:val="auto"/>
              </w:rPr>
              <w:t>——每种风险物质的临界量，t。</w:t>
            </w:r>
          </w:p>
          <w:p w14:paraId="48DEA028">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当Q＜1时，该项目环境风险潜势为</w:t>
            </w:r>
            <w:r>
              <w:rPr>
                <w:rFonts w:hint="eastAsia" w:cs="宋体"/>
                <w:b w:val="0"/>
                <w:bCs w:val="0"/>
                <w:iCs w:val="0"/>
                <w:color w:val="auto"/>
              </w:rPr>
              <w:fldChar w:fldCharType="begin"/>
            </w:r>
            <w:r>
              <w:rPr>
                <w:rFonts w:hint="eastAsia" w:cs="宋体"/>
                <w:b w:val="0"/>
                <w:bCs w:val="0"/>
                <w:iCs w:val="0"/>
                <w:color w:val="auto"/>
              </w:rPr>
              <w:instrText xml:space="preserve"> = 1 \* ROMAN </w:instrText>
            </w:r>
            <w:r>
              <w:rPr>
                <w:rFonts w:hint="eastAsia" w:cs="宋体"/>
                <w:b w:val="0"/>
                <w:bCs w:val="0"/>
                <w:iCs w:val="0"/>
                <w:color w:val="auto"/>
              </w:rPr>
              <w:fldChar w:fldCharType="separate"/>
            </w:r>
            <w:r>
              <w:rPr>
                <w:rFonts w:hint="eastAsia" w:cs="宋体"/>
                <w:b w:val="0"/>
                <w:bCs w:val="0"/>
                <w:iCs w:val="0"/>
                <w:color w:val="auto"/>
              </w:rPr>
              <w:t>I</w:t>
            </w:r>
            <w:r>
              <w:rPr>
                <w:rFonts w:hint="eastAsia" w:cs="宋体"/>
                <w:b w:val="0"/>
                <w:bCs w:val="0"/>
                <w:iCs w:val="0"/>
                <w:color w:val="auto"/>
              </w:rPr>
              <w:fldChar w:fldCharType="end"/>
            </w:r>
            <w:r>
              <w:rPr>
                <w:rFonts w:hint="eastAsia" w:cs="宋体"/>
                <w:b w:val="0"/>
                <w:bCs w:val="0"/>
                <w:iCs w:val="0"/>
                <w:color w:val="auto"/>
              </w:rPr>
              <w:t>。</w:t>
            </w:r>
          </w:p>
          <w:p w14:paraId="1FB2FAEC">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当Q≥1时，将Q值划分为：（1）1≤Q＜10；（2）10≤Q＜100；（3）Q≥100。</w:t>
            </w:r>
          </w:p>
          <w:p w14:paraId="3050E1CA">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lang w:val="zh-CN"/>
              </w:rPr>
              <w:t>本项目涉及的危险物质情况及临界量比值详见表</w:t>
            </w:r>
            <w:r>
              <w:rPr>
                <w:rFonts w:hint="eastAsia" w:cs="宋体"/>
                <w:b w:val="0"/>
                <w:bCs w:val="0"/>
                <w:iCs w:val="0"/>
                <w:color w:val="auto"/>
              </w:rPr>
              <w:t>4.6-2</w:t>
            </w:r>
            <w:r>
              <w:rPr>
                <w:rFonts w:hint="eastAsia" w:cs="宋体"/>
                <w:b w:val="0"/>
                <w:bCs w:val="0"/>
                <w:iCs w:val="0"/>
                <w:color w:val="auto"/>
                <w:lang w:val="zh-CN"/>
              </w:rPr>
              <w:t>。</w:t>
            </w:r>
          </w:p>
          <w:p w14:paraId="29F2C2BF">
            <w:pPr>
              <w:pStyle w:val="39"/>
              <w:keepNext w:val="0"/>
              <w:keepLines w:val="0"/>
              <w:suppressLineNumbers w:val="0"/>
              <w:bidi w:val="0"/>
              <w:spacing w:before="0" w:beforeAutospacing="0" w:after="0" w:afterAutospacing="0"/>
              <w:ind w:left="0" w:right="0"/>
              <w:rPr>
                <w:rFonts w:hint="eastAsia"/>
              </w:rPr>
            </w:pPr>
            <w:r>
              <w:rPr>
                <w:rFonts w:hint="eastAsia"/>
              </w:rPr>
              <w:t>表4.6-2  危险物质储存情况及临界量比值</w:t>
            </w:r>
          </w:p>
          <w:tbl>
            <w:tblPr>
              <w:tblStyle w:val="30"/>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8"/>
              <w:gridCol w:w="1429"/>
              <w:gridCol w:w="784"/>
              <w:gridCol w:w="1091"/>
              <w:gridCol w:w="1491"/>
              <w:gridCol w:w="712"/>
              <w:gridCol w:w="910"/>
              <w:gridCol w:w="1093"/>
            </w:tblGrid>
            <w:tr w14:paraId="57686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98" w:type="dxa"/>
                  <w:tcBorders>
                    <w:top w:val="single" w:color="000000" w:sz="12" w:space="0"/>
                    <w:left w:val="nil"/>
                    <w:bottom w:val="single" w:color="auto" w:sz="4" w:space="0"/>
                    <w:right w:val="single" w:color="auto" w:sz="4" w:space="0"/>
                    <w:tl2br w:val="nil"/>
                  </w:tcBorders>
                  <w:shd w:val="clear" w:color="auto" w:fill="auto"/>
                  <w:vAlign w:val="center"/>
                </w:tcPr>
                <w:p w14:paraId="7D866542">
                  <w:pPr>
                    <w:pStyle w:val="38"/>
                    <w:keepNext w:val="0"/>
                    <w:keepLines w:val="0"/>
                    <w:widowControl/>
                    <w:suppressLineNumbers w:val="0"/>
                    <w:bidi w:val="0"/>
                    <w:spacing w:before="0" w:beforeAutospacing="0" w:after="0" w:afterAutospacing="0"/>
                    <w:ind w:left="0" w:right="0"/>
                    <w:rPr>
                      <w:rFonts w:hint="eastAsia" w:cs="宋体"/>
                      <w:b w:val="0"/>
                      <w:bCs w:val="0"/>
                      <w:iCs w:val="0"/>
                      <w:color w:val="000000"/>
                      <w:szCs w:val="22"/>
                      <w:vertAlign w:val="baseline"/>
                    </w:rPr>
                  </w:pPr>
                  <w:r>
                    <w:rPr>
                      <w:rFonts w:hint="eastAsia"/>
                      <w:b w:val="0"/>
                      <w:color w:val="000000"/>
                      <w:szCs w:val="22"/>
                      <w:lang w:val="en-US" w:eastAsia="zh-CN"/>
                    </w:rPr>
                    <w:t>序号</w:t>
                  </w:r>
                </w:p>
              </w:tc>
              <w:tc>
                <w:tcPr>
                  <w:tcW w:w="1429" w:type="dxa"/>
                  <w:tcBorders>
                    <w:top w:val="single" w:color="000000" w:sz="12" w:space="0"/>
                    <w:left w:val="single" w:color="auto" w:sz="4" w:space="0"/>
                    <w:bottom w:val="single" w:color="auto" w:sz="4" w:space="0"/>
                    <w:right w:val="single" w:color="auto" w:sz="4" w:space="0"/>
                  </w:tcBorders>
                  <w:shd w:val="clear" w:color="auto" w:fill="auto"/>
                  <w:vAlign w:val="center"/>
                </w:tcPr>
                <w:p w14:paraId="6334F28A">
                  <w:pPr>
                    <w:pStyle w:val="38"/>
                    <w:keepNext w:val="0"/>
                    <w:keepLines w:val="0"/>
                    <w:widowControl/>
                    <w:suppressLineNumbers w:val="0"/>
                    <w:bidi w:val="0"/>
                    <w:spacing w:before="0" w:beforeAutospacing="0" w:after="0" w:afterAutospacing="0"/>
                    <w:ind w:left="0" w:right="0"/>
                    <w:rPr>
                      <w:rFonts w:hint="eastAsia" w:cs="宋体"/>
                      <w:b w:val="0"/>
                      <w:bCs w:val="0"/>
                      <w:iCs w:val="0"/>
                      <w:color w:val="000000"/>
                      <w:szCs w:val="22"/>
                      <w:vertAlign w:val="baseline"/>
                    </w:rPr>
                  </w:pPr>
                  <w:r>
                    <w:rPr>
                      <w:rFonts w:hint="eastAsia"/>
                      <w:b w:val="0"/>
                      <w:color w:val="000000"/>
                      <w:szCs w:val="22"/>
                      <w:lang w:val="en-US" w:eastAsia="zh-CN"/>
                    </w:rPr>
                    <w:t>风险物质</w:t>
                  </w:r>
                </w:p>
              </w:tc>
              <w:tc>
                <w:tcPr>
                  <w:tcW w:w="784" w:type="dxa"/>
                  <w:tcBorders>
                    <w:top w:val="single" w:color="000000" w:sz="12" w:space="0"/>
                    <w:left w:val="single" w:color="auto" w:sz="4" w:space="0"/>
                    <w:bottom w:val="single" w:color="auto" w:sz="4" w:space="0"/>
                    <w:right w:val="single" w:color="auto" w:sz="4" w:space="0"/>
                  </w:tcBorders>
                  <w:shd w:val="clear" w:color="auto" w:fill="auto"/>
                  <w:vAlign w:val="center"/>
                </w:tcPr>
                <w:p w14:paraId="4D1B108E">
                  <w:pPr>
                    <w:pStyle w:val="38"/>
                    <w:keepNext w:val="0"/>
                    <w:keepLines w:val="0"/>
                    <w:widowControl/>
                    <w:suppressLineNumbers w:val="0"/>
                    <w:bidi w:val="0"/>
                    <w:spacing w:before="0" w:beforeAutospacing="0" w:after="0" w:afterAutospacing="0"/>
                    <w:ind w:left="0" w:right="0"/>
                    <w:rPr>
                      <w:rFonts w:hint="eastAsia" w:cs="宋体"/>
                      <w:b w:val="0"/>
                      <w:bCs w:val="0"/>
                      <w:iCs w:val="0"/>
                      <w:color w:val="000000"/>
                      <w:szCs w:val="22"/>
                      <w:vertAlign w:val="baseline"/>
                    </w:rPr>
                  </w:pPr>
                  <w:r>
                    <w:rPr>
                      <w:rFonts w:hint="eastAsia"/>
                      <w:b w:val="0"/>
                      <w:color w:val="000000"/>
                      <w:szCs w:val="22"/>
                      <w:lang w:val="en-US" w:eastAsia="zh-CN"/>
                    </w:rPr>
                    <w:t>危险物质成分</w:t>
                  </w:r>
                </w:p>
              </w:tc>
              <w:tc>
                <w:tcPr>
                  <w:tcW w:w="1091" w:type="dxa"/>
                  <w:tcBorders>
                    <w:top w:val="single" w:color="000000" w:sz="12" w:space="0"/>
                    <w:left w:val="single" w:color="auto" w:sz="4" w:space="0"/>
                    <w:bottom w:val="single" w:color="auto" w:sz="4" w:space="0"/>
                    <w:right w:val="single" w:color="auto" w:sz="4" w:space="0"/>
                  </w:tcBorders>
                  <w:shd w:val="clear" w:color="auto" w:fill="auto"/>
                  <w:vAlign w:val="center"/>
                </w:tcPr>
                <w:p w14:paraId="2853BA8D">
                  <w:pPr>
                    <w:pStyle w:val="38"/>
                    <w:keepNext w:val="0"/>
                    <w:keepLines w:val="0"/>
                    <w:widowControl/>
                    <w:suppressLineNumbers w:val="0"/>
                    <w:bidi w:val="0"/>
                    <w:spacing w:before="0" w:beforeAutospacing="0" w:after="0" w:afterAutospacing="0"/>
                    <w:ind w:left="0" w:right="0"/>
                    <w:rPr>
                      <w:rFonts w:hint="eastAsia" w:cs="宋体"/>
                      <w:b w:val="0"/>
                      <w:bCs w:val="0"/>
                      <w:iCs w:val="0"/>
                      <w:color w:val="000000"/>
                      <w:szCs w:val="22"/>
                      <w:vertAlign w:val="baseline"/>
                    </w:rPr>
                  </w:pPr>
                  <w:r>
                    <w:rPr>
                      <w:rFonts w:hint="eastAsia"/>
                      <w:b w:val="0"/>
                      <w:color w:val="000000"/>
                      <w:szCs w:val="22"/>
                      <w:lang w:val="en-US" w:eastAsia="zh-CN"/>
                    </w:rPr>
                    <w:t>成分含量</w:t>
                  </w:r>
                </w:p>
              </w:tc>
              <w:tc>
                <w:tcPr>
                  <w:tcW w:w="1491" w:type="dxa"/>
                  <w:tcBorders>
                    <w:top w:val="single" w:color="000000" w:sz="12" w:space="0"/>
                    <w:left w:val="single" w:color="auto" w:sz="4" w:space="0"/>
                    <w:bottom w:val="single" w:color="auto" w:sz="4" w:space="0"/>
                    <w:right w:val="single" w:color="auto" w:sz="4" w:space="0"/>
                  </w:tcBorders>
                  <w:shd w:val="clear" w:color="auto" w:fill="auto"/>
                  <w:vAlign w:val="center"/>
                </w:tcPr>
                <w:p w14:paraId="11E1490E">
                  <w:pPr>
                    <w:pStyle w:val="38"/>
                    <w:keepNext w:val="0"/>
                    <w:keepLines w:val="0"/>
                    <w:widowControl/>
                    <w:suppressLineNumbers w:val="0"/>
                    <w:bidi w:val="0"/>
                    <w:spacing w:before="0" w:beforeAutospacing="0" w:after="0" w:afterAutospacing="0"/>
                    <w:ind w:left="0" w:right="0"/>
                    <w:rPr>
                      <w:rFonts w:hint="eastAsia" w:cs="宋体"/>
                      <w:b w:val="0"/>
                      <w:bCs w:val="0"/>
                      <w:iCs w:val="0"/>
                      <w:color w:val="000000"/>
                      <w:szCs w:val="22"/>
                      <w:vertAlign w:val="baseline"/>
                    </w:rPr>
                  </w:pPr>
                  <w:r>
                    <w:rPr>
                      <w:rFonts w:hint="eastAsia"/>
                      <w:b w:val="0"/>
                      <w:color w:val="000000"/>
                      <w:szCs w:val="22"/>
                      <w:lang w:val="en-US" w:eastAsia="zh-CN"/>
                    </w:rPr>
                    <w:t>最大贮存量</w:t>
                  </w:r>
                  <w:r>
                    <w:rPr>
                      <w:rFonts w:hint="default"/>
                      <w:b w:val="0"/>
                      <w:color w:val="000000"/>
                      <w:szCs w:val="22"/>
                      <w:lang w:val="en-US" w:eastAsia="zh-CN"/>
                    </w:rPr>
                    <w:t>/</w:t>
                  </w:r>
                  <w:r>
                    <w:rPr>
                      <w:rFonts w:hint="eastAsia"/>
                      <w:b w:val="0"/>
                      <w:color w:val="000000"/>
                      <w:szCs w:val="22"/>
                      <w:lang w:val="en-US" w:eastAsia="zh-CN"/>
                    </w:rPr>
                    <w:t>最大在线量（</w:t>
                  </w:r>
                  <w:r>
                    <w:rPr>
                      <w:rFonts w:hint="default"/>
                      <w:b w:val="0"/>
                      <w:color w:val="000000"/>
                      <w:szCs w:val="22"/>
                      <w:lang w:val="en-US" w:eastAsia="zh-CN"/>
                    </w:rPr>
                    <w:t>t</w:t>
                  </w:r>
                  <w:r>
                    <w:rPr>
                      <w:rFonts w:hint="eastAsia"/>
                      <w:b w:val="0"/>
                      <w:color w:val="000000"/>
                      <w:szCs w:val="22"/>
                      <w:lang w:val="en-US" w:eastAsia="zh-CN"/>
                    </w:rPr>
                    <w:t>）</w:t>
                  </w:r>
                </w:p>
              </w:tc>
              <w:tc>
                <w:tcPr>
                  <w:tcW w:w="712" w:type="dxa"/>
                  <w:tcBorders>
                    <w:top w:val="single" w:color="000000" w:sz="12" w:space="0"/>
                    <w:left w:val="single" w:color="auto" w:sz="4" w:space="0"/>
                    <w:bottom w:val="single" w:color="auto" w:sz="4" w:space="0"/>
                    <w:right w:val="single" w:color="auto" w:sz="4" w:space="0"/>
                  </w:tcBorders>
                  <w:shd w:val="clear" w:color="auto" w:fill="auto"/>
                  <w:vAlign w:val="center"/>
                </w:tcPr>
                <w:p w14:paraId="082A433B">
                  <w:pPr>
                    <w:pStyle w:val="38"/>
                    <w:keepNext w:val="0"/>
                    <w:keepLines w:val="0"/>
                    <w:widowControl/>
                    <w:suppressLineNumbers w:val="0"/>
                    <w:bidi w:val="0"/>
                    <w:spacing w:before="0" w:beforeAutospacing="0" w:after="0" w:afterAutospacing="0"/>
                    <w:ind w:left="0" w:right="0"/>
                    <w:rPr>
                      <w:rFonts w:hint="eastAsia" w:cs="宋体"/>
                      <w:b w:val="0"/>
                      <w:bCs w:val="0"/>
                      <w:iCs w:val="0"/>
                      <w:color w:val="000000"/>
                      <w:szCs w:val="22"/>
                      <w:vertAlign w:val="baseline"/>
                    </w:rPr>
                  </w:pPr>
                  <w:r>
                    <w:rPr>
                      <w:rFonts w:hint="eastAsia"/>
                      <w:b w:val="0"/>
                      <w:color w:val="000000"/>
                      <w:szCs w:val="22"/>
                      <w:lang w:val="en-US" w:eastAsia="zh-CN"/>
                    </w:rPr>
                    <w:t>贮存位置</w:t>
                  </w:r>
                </w:p>
              </w:tc>
              <w:tc>
                <w:tcPr>
                  <w:tcW w:w="910" w:type="dxa"/>
                  <w:tcBorders>
                    <w:top w:val="single" w:color="000000" w:sz="12" w:space="0"/>
                    <w:left w:val="single" w:color="auto" w:sz="4" w:space="0"/>
                    <w:bottom w:val="single" w:color="auto" w:sz="4" w:space="0"/>
                    <w:right w:val="single" w:color="auto" w:sz="4" w:space="0"/>
                  </w:tcBorders>
                  <w:shd w:val="clear" w:color="auto" w:fill="auto"/>
                  <w:vAlign w:val="center"/>
                </w:tcPr>
                <w:p w14:paraId="4849DC77">
                  <w:pPr>
                    <w:pStyle w:val="38"/>
                    <w:keepNext w:val="0"/>
                    <w:keepLines w:val="0"/>
                    <w:widowControl/>
                    <w:suppressLineNumbers w:val="0"/>
                    <w:bidi w:val="0"/>
                    <w:spacing w:before="0" w:beforeAutospacing="0" w:after="0" w:afterAutospacing="0"/>
                    <w:ind w:left="0" w:right="0"/>
                    <w:rPr>
                      <w:rFonts w:hint="eastAsia" w:cs="宋体"/>
                      <w:b w:val="0"/>
                      <w:bCs w:val="0"/>
                      <w:iCs w:val="0"/>
                      <w:color w:val="000000"/>
                      <w:szCs w:val="22"/>
                      <w:vertAlign w:val="baseline"/>
                    </w:rPr>
                  </w:pPr>
                  <w:r>
                    <w:rPr>
                      <w:rFonts w:hint="eastAsia"/>
                      <w:b w:val="0"/>
                      <w:color w:val="000000"/>
                      <w:szCs w:val="22"/>
                      <w:lang w:val="en-US" w:eastAsia="zh-CN"/>
                    </w:rPr>
                    <w:t>临界量（</w:t>
                  </w:r>
                  <w:r>
                    <w:rPr>
                      <w:rFonts w:hint="default"/>
                      <w:b w:val="0"/>
                      <w:color w:val="000000"/>
                      <w:szCs w:val="22"/>
                      <w:lang w:val="en-US" w:eastAsia="zh-CN"/>
                    </w:rPr>
                    <w:t>t</w:t>
                  </w:r>
                  <w:r>
                    <w:rPr>
                      <w:rFonts w:hint="eastAsia"/>
                      <w:b w:val="0"/>
                      <w:color w:val="000000"/>
                      <w:szCs w:val="22"/>
                      <w:lang w:val="en-US" w:eastAsia="zh-CN"/>
                    </w:rPr>
                    <w:t>）</w:t>
                  </w:r>
                </w:p>
              </w:tc>
              <w:tc>
                <w:tcPr>
                  <w:tcW w:w="1093" w:type="dxa"/>
                  <w:tcBorders>
                    <w:top w:val="single" w:color="000000" w:sz="12" w:space="0"/>
                    <w:left w:val="single" w:color="auto" w:sz="4" w:space="0"/>
                    <w:bottom w:val="single" w:color="auto" w:sz="4" w:space="0"/>
                    <w:right w:val="nil"/>
                  </w:tcBorders>
                  <w:shd w:val="clear" w:color="auto" w:fill="auto"/>
                  <w:vAlign w:val="center"/>
                </w:tcPr>
                <w:p w14:paraId="319A2408">
                  <w:pPr>
                    <w:pStyle w:val="38"/>
                    <w:keepNext w:val="0"/>
                    <w:keepLines w:val="0"/>
                    <w:widowControl/>
                    <w:suppressLineNumbers w:val="0"/>
                    <w:bidi w:val="0"/>
                    <w:spacing w:before="0" w:beforeAutospacing="0" w:after="0" w:afterAutospacing="0"/>
                    <w:ind w:left="0" w:right="0"/>
                    <w:rPr>
                      <w:rFonts w:hint="eastAsia" w:cs="宋体"/>
                      <w:b w:val="0"/>
                      <w:bCs w:val="0"/>
                      <w:iCs w:val="0"/>
                      <w:color w:val="000000"/>
                      <w:szCs w:val="22"/>
                      <w:vertAlign w:val="baseline"/>
                    </w:rPr>
                  </w:pPr>
                  <w:r>
                    <w:rPr>
                      <w:rFonts w:hint="eastAsia"/>
                      <w:b w:val="0"/>
                      <w:color w:val="000000"/>
                      <w:szCs w:val="22"/>
                      <w:lang w:val="en-US" w:eastAsia="zh-CN"/>
                    </w:rPr>
                    <w:t>临界量比值</w:t>
                  </w:r>
                </w:p>
              </w:tc>
            </w:tr>
            <w:tr w14:paraId="70B6B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 w:type="dxa"/>
                  <w:tcBorders>
                    <w:top w:val="single" w:color="auto" w:sz="4" w:space="0"/>
                    <w:left w:val="nil"/>
                    <w:bottom w:val="single" w:color="auto" w:sz="4" w:space="0"/>
                    <w:right w:val="single" w:color="auto" w:sz="4" w:space="0"/>
                  </w:tcBorders>
                  <w:shd w:val="clear" w:color="auto" w:fill="auto"/>
                  <w:vAlign w:val="center"/>
                </w:tcPr>
                <w:p w14:paraId="43E9F79E">
                  <w:pPr>
                    <w:pStyle w:val="38"/>
                    <w:keepNext w:val="0"/>
                    <w:keepLines w:val="0"/>
                    <w:widowControl/>
                    <w:suppressLineNumbers w:val="0"/>
                    <w:bidi w:val="0"/>
                    <w:spacing w:before="0" w:beforeAutospacing="0" w:after="0" w:afterAutospacing="0"/>
                    <w:ind w:left="0" w:right="0"/>
                    <w:rPr>
                      <w:rFonts w:hint="eastAsia" w:cs="宋体"/>
                      <w:b w:val="0"/>
                      <w:bCs w:val="0"/>
                      <w:iCs w:val="0"/>
                      <w:color w:val="000000"/>
                      <w:szCs w:val="22"/>
                      <w:vertAlign w:val="baseline"/>
                    </w:rPr>
                  </w:pPr>
                  <w:r>
                    <w:rPr>
                      <w:rFonts w:hint="eastAsia"/>
                      <w:b w:val="0"/>
                      <w:color w:val="000000"/>
                      <w:szCs w:val="22"/>
                      <w:lang w:val="en-US" w:eastAsia="zh-CN"/>
                    </w:rPr>
                    <w:t>1</w:t>
                  </w:r>
                </w:p>
              </w:tc>
              <w:tc>
                <w:tcPr>
                  <w:tcW w:w="1429" w:type="dxa"/>
                  <w:tcBorders>
                    <w:top w:val="single" w:color="auto" w:sz="4" w:space="0"/>
                    <w:left w:val="single" w:color="auto" w:sz="4" w:space="0"/>
                    <w:bottom w:val="single" w:color="auto" w:sz="4" w:space="0"/>
                    <w:right w:val="single" w:color="auto" w:sz="4" w:space="0"/>
                  </w:tcBorders>
                  <w:shd w:val="clear" w:color="auto" w:fill="auto"/>
                  <w:vAlign w:val="center"/>
                </w:tcPr>
                <w:p w14:paraId="7D847E9D">
                  <w:pPr>
                    <w:pStyle w:val="38"/>
                    <w:keepNext w:val="0"/>
                    <w:keepLines w:val="0"/>
                    <w:widowControl/>
                    <w:suppressLineNumbers w:val="0"/>
                    <w:bidi w:val="0"/>
                    <w:spacing w:before="0" w:beforeAutospacing="0" w:after="0" w:afterAutospacing="0"/>
                    <w:ind w:left="0" w:right="0"/>
                    <w:rPr>
                      <w:rFonts w:hint="eastAsia" w:cs="宋体"/>
                      <w:b w:val="0"/>
                      <w:bCs w:val="0"/>
                      <w:iCs w:val="0"/>
                      <w:color w:val="000000"/>
                      <w:szCs w:val="22"/>
                      <w:vertAlign w:val="baseline"/>
                    </w:rPr>
                  </w:pPr>
                  <w:r>
                    <w:rPr>
                      <w:rFonts w:hint="eastAsia"/>
                      <w:b w:val="0"/>
                      <w:color w:val="000000"/>
                      <w:szCs w:val="22"/>
                      <w:lang w:val="en-US" w:eastAsia="zh-CN"/>
                    </w:rPr>
                    <w:t>废机油</w:t>
                  </w:r>
                </w:p>
              </w:tc>
              <w:tc>
                <w:tcPr>
                  <w:tcW w:w="784" w:type="dxa"/>
                  <w:tcBorders>
                    <w:top w:val="single" w:color="auto" w:sz="4" w:space="0"/>
                    <w:left w:val="single" w:color="auto" w:sz="4" w:space="0"/>
                    <w:bottom w:val="single" w:color="auto" w:sz="4" w:space="0"/>
                    <w:right w:val="single" w:color="auto" w:sz="4" w:space="0"/>
                  </w:tcBorders>
                  <w:shd w:val="clear" w:color="auto" w:fill="auto"/>
                  <w:vAlign w:val="center"/>
                </w:tcPr>
                <w:p w14:paraId="71602227">
                  <w:pPr>
                    <w:pStyle w:val="38"/>
                    <w:keepNext w:val="0"/>
                    <w:keepLines w:val="0"/>
                    <w:widowControl/>
                    <w:suppressLineNumbers w:val="0"/>
                    <w:bidi w:val="0"/>
                    <w:spacing w:before="0" w:beforeAutospacing="0" w:after="0" w:afterAutospacing="0"/>
                    <w:ind w:left="0" w:right="0"/>
                    <w:rPr>
                      <w:rFonts w:hint="eastAsia" w:cs="宋体"/>
                      <w:b w:val="0"/>
                      <w:bCs w:val="0"/>
                      <w:iCs w:val="0"/>
                      <w:color w:val="000000"/>
                      <w:szCs w:val="22"/>
                      <w:vertAlign w:val="baseline"/>
                    </w:rPr>
                  </w:pPr>
                  <w:r>
                    <w:rPr>
                      <w:rFonts w:hint="eastAsia"/>
                      <w:b w:val="0"/>
                      <w:color w:val="000000"/>
                      <w:szCs w:val="22"/>
                      <w:lang w:val="en-US" w:eastAsia="zh-CN"/>
                    </w:rPr>
                    <w:t>油类物质</w:t>
                  </w:r>
                </w:p>
              </w:tc>
              <w:tc>
                <w:tcPr>
                  <w:tcW w:w="1091" w:type="dxa"/>
                  <w:tcBorders>
                    <w:top w:val="single" w:color="auto" w:sz="4" w:space="0"/>
                    <w:left w:val="single" w:color="auto" w:sz="4" w:space="0"/>
                    <w:bottom w:val="single" w:color="auto" w:sz="4" w:space="0"/>
                    <w:right w:val="single" w:color="auto" w:sz="4" w:space="0"/>
                  </w:tcBorders>
                  <w:shd w:val="clear" w:color="auto" w:fill="auto"/>
                  <w:vAlign w:val="center"/>
                </w:tcPr>
                <w:p w14:paraId="0E0C3D04">
                  <w:pPr>
                    <w:pStyle w:val="38"/>
                    <w:keepNext w:val="0"/>
                    <w:keepLines w:val="0"/>
                    <w:widowControl/>
                    <w:suppressLineNumbers w:val="0"/>
                    <w:bidi w:val="0"/>
                    <w:spacing w:before="0" w:beforeAutospacing="0" w:after="0" w:afterAutospacing="0"/>
                    <w:ind w:left="0" w:right="0"/>
                    <w:rPr>
                      <w:rFonts w:hint="eastAsia" w:cs="宋体"/>
                      <w:b w:val="0"/>
                      <w:bCs w:val="0"/>
                      <w:iCs w:val="0"/>
                      <w:color w:val="000000"/>
                      <w:szCs w:val="22"/>
                      <w:vertAlign w:val="baseline"/>
                    </w:rPr>
                  </w:pPr>
                  <w:r>
                    <w:rPr>
                      <w:rFonts w:hint="default"/>
                      <w:b w:val="0"/>
                      <w:color w:val="000000"/>
                      <w:szCs w:val="22"/>
                      <w:lang w:val="en-US" w:eastAsia="zh-CN"/>
                    </w:rPr>
                    <w:t>/</w:t>
                  </w:r>
                </w:p>
              </w:tc>
              <w:tc>
                <w:tcPr>
                  <w:tcW w:w="1491" w:type="dxa"/>
                  <w:tcBorders>
                    <w:top w:val="single" w:color="auto" w:sz="4" w:space="0"/>
                    <w:left w:val="single" w:color="auto" w:sz="4" w:space="0"/>
                    <w:bottom w:val="single" w:color="auto" w:sz="4" w:space="0"/>
                    <w:right w:val="single" w:color="auto" w:sz="4" w:space="0"/>
                  </w:tcBorders>
                  <w:shd w:val="clear" w:color="auto" w:fill="auto"/>
                  <w:vAlign w:val="center"/>
                </w:tcPr>
                <w:p w14:paraId="304E814C">
                  <w:pPr>
                    <w:pStyle w:val="38"/>
                    <w:keepNext w:val="0"/>
                    <w:keepLines w:val="0"/>
                    <w:widowControl/>
                    <w:suppressLineNumbers w:val="0"/>
                    <w:bidi w:val="0"/>
                    <w:spacing w:before="0" w:beforeAutospacing="0" w:after="0" w:afterAutospacing="0"/>
                    <w:ind w:left="0" w:right="0"/>
                    <w:rPr>
                      <w:rFonts w:hint="eastAsia" w:cs="宋体"/>
                      <w:b w:val="0"/>
                      <w:bCs w:val="0"/>
                      <w:iCs w:val="0"/>
                      <w:color w:val="000000"/>
                      <w:szCs w:val="22"/>
                      <w:vertAlign w:val="baseline"/>
                    </w:rPr>
                  </w:pPr>
                  <w:r>
                    <w:rPr>
                      <w:rFonts w:hint="default"/>
                      <w:b w:val="0"/>
                      <w:color w:val="000000"/>
                      <w:szCs w:val="22"/>
                      <w:lang w:val="en-US" w:eastAsia="zh-CN"/>
                    </w:rPr>
                    <w:t>0.01</w:t>
                  </w:r>
                </w:p>
              </w:tc>
              <w:tc>
                <w:tcPr>
                  <w:tcW w:w="712" w:type="dxa"/>
                  <w:tcBorders>
                    <w:top w:val="single" w:color="auto" w:sz="4" w:space="0"/>
                    <w:left w:val="single" w:color="auto" w:sz="4" w:space="0"/>
                    <w:bottom w:val="single" w:color="auto" w:sz="4" w:space="0"/>
                    <w:right w:val="single" w:color="auto" w:sz="4" w:space="0"/>
                  </w:tcBorders>
                  <w:shd w:val="clear" w:color="auto" w:fill="auto"/>
                  <w:vAlign w:val="center"/>
                </w:tcPr>
                <w:p w14:paraId="0905FB64">
                  <w:pPr>
                    <w:pStyle w:val="38"/>
                    <w:keepNext w:val="0"/>
                    <w:keepLines w:val="0"/>
                    <w:widowControl/>
                    <w:suppressLineNumbers w:val="0"/>
                    <w:bidi w:val="0"/>
                    <w:spacing w:before="0" w:beforeAutospacing="0" w:after="0" w:afterAutospacing="0"/>
                    <w:ind w:left="0" w:right="0"/>
                    <w:rPr>
                      <w:rFonts w:hint="eastAsia" w:cs="宋体"/>
                      <w:b w:val="0"/>
                      <w:bCs w:val="0"/>
                      <w:iCs w:val="0"/>
                      <w:color w:val="000000"/>
                      <w:szCs w:val="22"/>
                      <w:vertAlign w:val="baseline"/>
                    </w:rPr>
                  </w:pPr>
                  <w:r>
                    <w:rPr>
                      <w:rFonts w:hint="eastAsia"/>
                      <w:b w:val="0"/>
                      <w:color w:val="000000"/>
                      <w:szCs w:val="22"/>
                      <w:lang w:val="en-US" w:eastAsia="zh-CN"/>
                    </w:rPr>
                    <w:t>危废贮存库</w:t>
                  </w:r>
                </w:p>
              </w:tc>
              <w:tc>
                <w:tcPr>
                  <w:tcW w:w="910" w:type="dxa"/>
                  <w:tcBorders>
                    <w:top w:val="single" w:color="auto" w:sz="4" w:space="0"/>
                    <w:left w:val="single" w:color="auto" w:sz="4" w:space="0"/>
                    <w:bottom w:val="single" w:color="auto" w:sz="4" w:space="0"/>
                    <w:right w:val="single" w:color="auto" w:sz="4" w:space="0"/>
                  </w:tcBorders>
                  <w:shd w:val="clear" w:color="auto" w:fill="auto"/>
                  <w:vAlign w:val="center"/>
                </w:tcPr>
                <w:p w14:paraId="5D2EAA0A">
                  <w:pPr>
                    <w:pStyle w:val="38"/>
                    <w:keepNext w:val="0"/>
                    <w:keepLines w:val="0"/>
                    <w:widowControl/>
                    <w:suppressLineNumbers w:val="0"/>
                    <w:bidi w:val="0"/>
                    <w:spacing w:before="0" w:beforeAutospacing="0" w:after="0" w:afterAutospacing="0"/>
                    <w:ind w:left="0" w:right="0"/>
                    <w:rPr>
                      <w:rFonts w:hint="eastAsia" w:cs="宋体"/>
                      <w:b w:val="0"/>
                      <w:bCs w:val="0"/>
                      <w:iCs w:val="0"/>
                      <w:color w:val="000000"/>
                      <w:szCs w:val="22"/>
                      <w:vertAlign w:val="baseline"/>
                    </w:rPr>
                  </w:pPr>
                  <w:r>
                    <w:rPr>
                      <w:rFonts w:hint="default"/>
                      <w:b w:val="0"/>
                      <w:color w:val="000000"/>
                      <w:szCs w:val="22"/>
                      <w:lang w:val="en-US" w:eastAsia="zh-CN"/>
                    </w:rPr>
                    <w:t>2500</w:t>
                  </w:r>
                </w:p>
              </w:tc>
              <w:tc>
                <w:tcPr>
                  <w:tcW w:w="1093" w:type="dxa"/>
                  <w:tcBorders>
                    <w:top w:val="single" w:color="auto" w:sz="4" w:space="0"/>
                    <w:left w:val="single" w:color="auto" w:sz="4" w:space="0"/>
                    <w:bottom w:val="single" w:color="auto" w:sz="4" w:space="0"/>
                    <w:right w:val="nil"/>
                  </w:tcBorders>
                  <w:shd w:val="clear" w:color="auto" w:fill="auto"/>
                  <w:vAlign w:val="center"/>
                </w:tcPr>
                <w:p w14:paraId="7BE6273A">
                  <w:pPr>
                    <w:pStyle w:val="38"/>
                    <w:keepNext w:val="0"/>
                    <w:keepLines w:val="0"/>
                    <w:widowControl/>
                    <w:suppressLineNumbers w:val="0"/>
                    <w:bidi w:val="0"/>
                    <w:spacing w:before="0" w:beforeAutospacing="0" w:after="0" w:afterAutospacing="0"/>
                    <w:ind w:left="0" w:right="0"/>
                    <w:rPr>
                      <w:rFonts w:hint="eastAsia" w:cs="宋体"/>
                      <w:b w:val="0"/>
                      <w:bCs w:val="0"/>
                      <w:iCs w:val="0"/>
                      <w:color w:val="000000"/>
                      <w:szCs w:val="22"/>
                      <w:vertAlign w:val="baseline"/>
                    </w:rPr>
                  </w:pPr>
                  <w:r>
                    <w:rPr>
                      <w:rFonts w:hint="default"/>
                      <w:b w:val="0"/>
                      <w:color w:val="000000"/>
                      <w:szCs w:val="22"/>
                      <w:lang w:val="en-US" w:eastAsia="zh-CN"/>
                    </w:rPr>
                    <w:t>0.000004</w:t>
                  </w:r>
                </w:p>
              </w:tc>
            </w:tr>
            <w:tr w14:paraId="562CF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15" w:type="dxa"/>
                  <w:gridSpan w:val="7"/>
                  <w:tcBorders>
                    <w:top w:val="single" w:color="auto" w:sz="4" w:space="0"/>
                    <w:left w:val="nil"/>
                    <w:bottom w:val="single" w:color="000000" w:sz="12" w:space="0"/>
                    <w:right w:val="single" w:color="auto" w:sz="4" w:space="0"/>
                  </w:tcBorders>
                  <w:shd w:val="clear" w:color="auto" w:fill="auto"/>
                  <w:vAlign w:val="center"/>
                </w:tcPr>
                <w:p w14:paraId="49CC9A07">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eastAsia"/>
                      <w:b w:val="0"/>
                      <w:color w:val="000000"/>
                      <w:szCs w:val="22"/>
                      <w:lang w:val="en-US" w:eastAsia="zh-CN"/>
                    </w:rPr>
                    <w:t>总计</w:t>
                  </w:r>
                </w:p>
              </w:tc>
              <w:tc>
                <w:tcPr>
                  <w:tcW w:w="1093" w:type="dxa"/>
                  <w:tcBorders>
                    <w:top w:val="single" w:color="auto" w:sz="4" w:space="0"/>
                    <w:left w:val="single" w:color="auto" w:sz="4" w:space="0"/>
                    <w:bottom w:val="single" w:color="000000" w:sz="12" w:space="0"/>
                    <w:right w:val="nil"/>
                  </w:tcBorders>
                  <w:shd w:val="clear" w:color="auto" w:fill="auto"/>
                  <w:vAlign w:val="center"/>
                </w:tcPr>
                <w:p w14:paraId="12536580">
                  <w:pPr>
                    <w:pStyle w:val="38"/>
                    <w:keepNext w:val="0"/>
                    <w:keepLines w:val="0"/>
                    <w:widowControl/>
                    <w:suppressLineNumbers w:val="0"/>
                    <w:bidi w:val="0"/>
                    <w:spacing w:before="0" w:beforeAutospacing="0" w:after="0" w:afterAutospacing="0"/>
                    <w:ind w:left="0" w:right="0"/>
                    <w:rPr>
                      <w:rFonts w:hint="default"/>
                      <w:b w:val="0"/>
                      <w:color w:val="000000"/>
                      <w:szCs w:val="22"/>
                      <w:lang w:val="en-US" w:eastAsia="zh-CN"/>
                    </w:rPr>
                  </w:pPr>
                  <w:r>
                    <w:rPr>
                      <w:rFonts w:hint="default"/>
                      <w:b w:val="0"/>
                      <w:color w:val="000000"/>
                      <w:szCs w:val="22"/>
                      <w:lang w:val="en-US" w:eastAsia="zh-CN"/>
                    </w:rPr>
                    <w:t>0.000004</w:t>
                  </w:r>
                </w:p>
              </w:tc>
            </w:tr>
          </w:tbl>
          <w:p w14:paraId="068E1FC1">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由表可知项目危险物质的临界量比值Q=</w:t>
            </w:r>
            <w:r>
              <w:rPr>
                <w:rFonts w:hint="default"/>
                <w:b w:val="0"/>
                <w:color w:val="000000"/>
                <w:lang w:val="en-US" w:eastAsia="zh-CN"/>
              </w:rPr>
              <w:t>0.000004</w:t>
            </w:r>
            <w:r>
              <w:rPr>
                <w:rFonts w:hint="eastAsia" w:cs="宋体"/>
                <w:b w:val="0"/>
                <w:bCs w:val="0"/>
                <w:iCs w:val="0"/>
                <w:color w:val="auto"/>
              </w:rPr>
              <w:t>＜1，项目环境风险潜势为</w:t>
            </w:r>
            <w:r>
              <w:rPr>
                <w:rFonts w:hint="eastAsia"/>
                <w:b w:val="0"/>
                <w:bCs w:val="0"/>
                <w:iCs w:val="0"/>
                <w:color w:val="auto"/>
              </w:rPr>
              <w:t>Ⅰ</w:t>
            </w:r>
            <w:r>
              <w:rPr>
                <w:rFonts w:hint="eastAsia" w:cs="宋体"/>
                <w:b w:val="0"/>
                <w:bCs w:val="0"/>
                <w:iCs w:val="0"/>
                <w:color w:val="auto"/>
              </w:rPr>
              <w:t>。</w:t>
            </w:r>
          </w:p>
          <w:p w14:paraId="1564EF41">
            <w:pPr>
              <w:pStyle w:val="4"/>
              <w:suppressLineNumbers w:val="0"/>
              <w:tabs>
                <w:tab w:val="left" w:pos="420"/>
                <w:tab w:val="clear" w:pos="0"/>
              </w:tabs>
              <w:bidi w:val="0"/>
              <w:spacing w:before="0" w:beforeAutospacing="0" w:after="0" w:afterAutospacing="0"/>
              <w:ind w:left="0" w:right="0"/>
              <w:rPr>
                <w:rFonts w:hint="eastAsia"/>
              </w:rPr>
            </w:pPr>
            <w:r>
              <w:rPr>
                <w:rFonts w:hint="eastAsia"/>
              </w:rPr>
              <w:t>环境风险潜势初判</w:t>
            </w:r>
          </w:p>
          <w:p w14:paraId="5C3B56AB">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根据《建设项目环境风险评价技术导则》（HJ 169-2018），环境风险评价工作等级划分详见下表4.6-3。</w:t>
            </w:r>
          </w:p>
          <w:p w14:paraId="674FA9DB">
            <w:pPr>
              <w:pStyle w:val="39"/>
              <w:keepNext w:val="0"/>
              <w:keepLines w:val="0"/>
              <w:suppressLineNumbers w:val="0"/>
              <w:bidi w:val="0"/>
              <w:spacing w:before="0" w:beforeAutospacing="0" w:after="0" w:afterAutospacing="0"/>
              <w:ind w:left="0" w:right="0"/>
              <w:rPr>
                <w:rFonts w:hint="eastAsia"/>
              </w:rPr>
            </w:pPr>
            <w:r>
              <w:rPr>
                <w:rFonts w:hint="eastAsia"/>
              </w:rPr>
              <w:t>表4.6-3  评价工作等级划分</w:t>
            </w:r>
          </w:p>
          <w:tbl>
            <w:tblPr>
              <w:tblStyle w:val="29"/>
              <w:tblW w:w="7902" w:type="dxa"/>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063"/>
              <w:gridCol w:w="1303"/>
              <w:gridCol w:w="1653"/>
              <w:gridCol w:w="1654"/>
              <w:gridCol w:w="1229"/>
            </w:tblGrid>
            <w:tr w14:paraId="1CA29420">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3" w:hRule="atLeast"/>
                <w:jc w:val="center"/>
              </w:trPr>
              <w:tc>
                <w:tcPr>
                  <w:tcW w:w="2063" w:type="dxa"/>
                  <w:vAlign w:val="center"/>
                </w:tcPr>
                <w:p w14:paraId="76341CFC">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环境风险潜势</w:t>
                  </w:r>
                </w:p>
              </w:tc>
              <w:tc>
                <w:tcPr>
                  <w:tcW w:w="1303" w:type="dxa"/>
                  <w:vAlign w:val="center"/>
                </w:tcPr>
                <w:p w14:paraId="4848D500">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Ⅳ、Ⅳ+</w:t>
                  </w:r>
                </w:p>
              </w:tc>
              <w:tc>
                <w:tcPr>
                  <w:tcW w:w="1653" w:type="dxa"/>
                  <w:vAlign w:val="center"/>
                </w:tcPr>
                <w:p w14:paraId="2D2038BE">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Ⅲ</w:t>
                  </w:r>
                </w:p>
              </w:tc>
              <w:tc>
                <w:tcPr>
                  <w:tcW w:w="1654" w:type="dxa"/>
                  <w:vAlign w:val="center"/>
                </w:tcPr>
                <w:p w14:paraId="482D9F66">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Ⅱ</w:t>
                  </w:r>
                </w:p>
              </w:tc>
              <w:tc>
                <w:tcPr>
                  <w:tcW w:w="1229" w:type="dxa"/>
                  <w:vAlign w:val="center"/>
                </w:tcPr>
                <w:p w14:paraId="1948E5BF">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Ⅰ</w:t>
                  </w:r>
                </w:p>
              </w:tc>
            </w:tr>
            <w:tr w14:paraId="6383C43C">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3" w:hRule="atLeast"/>
                <w:jc w:val="center"/>
              </w:trPr>
              <w:tc>
                <w:tcPr>
                  <w:tcW w:w="2063" w:type="dxa"/>
                  <w:vAlign w:val="center"/>
                </w:tcPr>
                <w:p w14:paraId="24194AE5">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评价工作等级</w:t>
                  </w:r>
                </w:p>
              </w:tc>
              <w:tc>
                <w:tcPr>
                  <w:tcW w:w="1303" w:type="dxa"/>
                  <w:vAlign w:val="center"/>
                </w:tcPr>
                <w:p w14:paraId="795B00AA">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一</w:t>
                  </w:r>
                </w:p>
              </w:tc>
              <w:tc>
                <w:tcPr>
                  <w:tcW w:w="1653" w:type="dxa"/>
                  <w:vAlign w:val="center"/>
                </w:tcPr>
                <w:p w14:paraId="333572EB">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二</w:t>
                  </w:r>
                </w:p>
              </w:tc>
              <w:tc>
                <w:tcPr>
                  <w:tcW w:w="1654" w:type="dxa"/>
                  <w:vAlign w:val="center"/>
                </w:tcPr>
                <w:p w14:paraId="24867046">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三</w:t>
                  </w:r>
                </w:p>
              </w:tc>
              <w:tc>
                <w:tcPr>
                  <w:tcW w:w="1229" w:type="dxa"/>
                  <w:vAlign w:val="center"/>
                </w:tcPr>
                <w:p w14:paraId="548DEB2B">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简单分析a</w:t>
                  </w:r>
                </w:p>
              </w:tc>
            </w:tr>
            <w:tr w14:paraId="57B6CBE9">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3" w:hRule="atLeast"/>
                <w:jc w:val="center"/>
              </w:trPr>
              <w:tc>
                <w:tcPr>
                  <w:tcW w:w="7902" w:type="dxa"/>
                  <w:gridSpan w:val="5"/>
                  <w:vAlign w:val="center"/>
                </w:tcPr>
                <w:p w14:paraId="510C160D">
                  <w:pPr>
                    <w:pStyle w:val="38"/>
                    <w:keepNext w:val="0"/>
                    <w:keepLines w:val="0"/>
                    <w:widowControl/>
                    <w:suppressLineNumbers w:val="0"/>
                    <w:bidi w:val="0"/>
                    <w:spacing w:before="0" w:beforeAutospacing="0" w:after="0" w:afterAutospacing="0"/>
                    <w:ind w:left="0" w:right="0"/>
                    <w:rPr>
                      <w:rFonts w:hint="eastAsia"/>
                      <w:b w:val="0"/>
                      <w:bCs w:val="0"/>
                      <w:szCs w:val="22"/>
                    </w:rPr>
                  </w:pPr>
                  <w:r>
                    <w:rPr>
                      <w:rFonts w:hint="eastAsia"/>
                      <w:b w:val="0"/>
                      <w:bCs w:val="0"/>
                      <w:szCs w:val="22"/>
                    </w:rPr>
                    <w:t>a</w:t>
                  </w:r>
                  <w:r>
                    <w:rPr>
                      <w:rFonts w:hint="eastAsia"/>
                      <w:b w:val="0"/>
                      <w:bCs w:val="0"/>
                      <w:szCs w:val="22"/>
                      <w:lang w:eastAsia="zh-CN"/>
                    </w:rPr>
                    <w:t>.</w:t>
                  </w:r>
                  <w:r>
                    <w:rPr>
                      <w:rFonts w:hint="eastAsia"/>
                      <w:b w:val="0"/>
                      <w:bCs w:val="0"/>
                      <w:szCs w:val="22"/>
                    </w:rPr>
                    <w:t>相对于详细评价工作内容而言，在描述危险物质、环境影响途径、环境危害后果、风险防范措施等方面给出定性的说明。</w:t>
                  </w:r>
                </w:p>
              </w:tc>
            </w:tr>
          </w:tbl>
          <w:p w14:paraId="1AB985A9">
            <w:pPr>
              <w:pStyle w:val="4"/>
              <w:suppressLineNumbers w:val="0"/>
              <w:tabs>
                <w:tab w:val="left" w:pos="420"/>
                <w:tab w:val="clear" w:pos="0"/>
              </w:tabs>
              <w:bidi w:val="0"/>
              <w:spacing w:before="0" w:beforeAutospacing="0" w:after="0" w:afterAutospacing="0"/>
              <w:ind w:left="0" w:right="0"/>
              <w:rPr>
                <w:rFonts w:hint="eastAsia"/>
              </w:rPr>
            </w:pPr>
            <w:r>
              <w:rPr>
                <w:rFonts w:hint="eastAsia"/>
              </w:rPr>
              <w:t>环境风险识别</w:t>
            </w:r>
          </w:p>
          <w:p w14:paraId="5A4959F8">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本项目可能发生的事故主要有：火灾爆炸事故、废水事故性排放等。根据风险识别，本项目主要存在的事故类型见表4.6-4。</w:t>
            </w:r>
          </w:p>
          <w:p w14:paraId="4B0D5410">
            <w:pPr>
              <w:pStyle w:val="39"/>
              <w:keepNext w:val="0"/>
              <w:keepLines w:val="0"/>
              <w:suppressLineNumbers w:val="0"/>
              <w:bidi w:val="0"/>
              <w:spacing w:before="0" w:beforeAutospacing="0" w:after="0" w:afterAutospacing="0"/>
              <w:ind w:left="0" w:right="0"/>
              <w:rPr>
                <w:rFonts w:hint="eastAsia"/>
              </w:rPr>
            </w:pPr>
            <w:r>
              <w:rPr>
                <w:rFonts w:hint="eastAsia"/>
              </w:rPr>
              <w:t>表4.6-4  环境风险因素识别一览表</w:t>
            </w:r>
          </w:p>
          <w:tbl>
            <w:tblPr>
              <w:tblStyle w:val="30"/>
              <w:tblW w:w="7946"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4"/>
              <w:gridCol w:w="1105"/>
              <w:gridCol w:w="3137"/>
              <w:gridCol w:w="2170"/>
            </w:tblGrid>
            <w:tr w14:paraId="6581D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tcBorders>
                    <w:top w:val="single" w:color="auto" w:sz="12" w:space="0"/>
                    <w:left w:val="nil"/>
                  </w:tcBorders>
                  <w:vAlign w:val="center"/>
                </w:tcPr>
                <w:p w14:paraId="595EC2E7">
                  <w:pPr>
                    <w:pStyle w:val="38"/>
                    <w:keepNext w:val="0"/>
                    <w:keepLines w:val="0"/>
                    <w:widowControl/>
                    <w:suppressLineNumbers w:val="0"/>
                    <w:bidi w:val="0"/>
                    <w:spacing w:before="0" w:beforeAutospacing="0" w:after="0" w:afterAutospacing="0"/>
                    <w:ind w:left="0" w:right="0"/>
                    <w:jc w:val="center"/>
                    <w:rPr>
                      <w:rFonts w:hint="eastAsia"/>
                      <w:b w:val="0"/>
                      <w:bCs w:val="0"/>
                      <w:szCs w:val="22"/>
                    </w:rPr>
                  </w:pPr>
                  <w:r>
                    <w:rPr>
                      <w:rFonts w:hint="eastAsia"/>
                      <w:b w:val="0"/>
                      <w:bCs w:val="0"/>
                      <w:szCs w:val="22"/>
                    </w:rPr>
                    <w:t>危险目标</w:t>
                  </w:r>
                </w:p>
              </w:tc>
              <w:tc>
                <w:tcPr>
                  <w:tcW w:w="1105" w:type="dxa"/>
                  <w:tcBorders>
                    <w:top w:val="single" w:color="auto" w:sz="12" w:space="0"/>
                  </w:tcBorders>
                  <w:vAlign w:val="center"/>
                </w:tcPr>
                <w:p w14:paraId="2367F0A3">
                  <w:pPr>
                    <w:pStyle w:val="38"/>
                    <w:keepNext w:val="0"/>
                    <w:keepLines w:val="0"/>
                    <w:widowControl/>
                    <w:suppressLineNumbers w:val="0"/>
                    <w:bidi w:val="0"/>
                    <w:spacing w:before="0" w:beforeAutospacing="0" w:after="0" w:afterAutospacing="0"/>
                    <w:ind w:left="0" w:right="0"/>
                    <w:jc w:val="center"/>
                    <w:rPr>
                      <w:rFonts w:hint="eastAsia"/>
                      <w:b w:val="0"/>
                      <w:bCs w:val="0"/>
                      <w:szCs w:val="22"/>
                    </w:rPr>
                  </w:pPr>
                  <w:r>
                    <w:rPr>
                      <w:rFonts w:hint="eastAsia"/>
                      <w:b w:val="0"/>
                      <w:bCs w:val="0"/>
                      <w:szCs w:val="22"/>
                    </w:rPr>
                    <w:t>事故类型</w:t>
                  </w:r>
                </w:p>
              </w:tc>
              <w:tc>
                <w:tcPr>
                  <w:tcW w:w="3137" w:type="dxa"/>
                  <w:tcBorders>
                    <w:top w:val="single" w:color="auto" w:sz="12" w:space="0"/>
                  </w:tcBorders>
                  <w:vAlign w:val="center"/>
                </w:tcPr>
                <w:p w14:paraId="65875316">
                  <w:pPr>
                    <w:pStyle w:val="38"/>
                    <w:keepNext w:val="0"/>
                    <w:keepLines w:val="0"/>
                    <w:widowControl/>
                    <w:suppressLineNumbers w:val="0"/>
                    <w:bidi w:val="0"/>
                    <w:spacing w:before="0" w:beforeAutospacing="0" w:after="0" w:afterAutospacing="0"/>
                    <w:ind w:left="0" w:right="0"/>
                    <w:jc w:val="center"/>
                    <w:rPr>
                      <w:rFonts w:hint="eastAsia"/>
                      <w:b w:val="0"/>
                      <w:bCs w:val="0"/>
                      <w:szCs w:val="22"/>
                    </w:rPr>
                  </w:pPr>
                  <w:r>
                    <w:rPr>
                      <w:rFonts w:hint="eastAsia"/>
                      <w:b w:val="0"/>
                      <w:bCs w:val="0"/>
                      <w:szCs w:val="22"/>
                    </w:rPr>
                    <w:t>事故引发原因</w:t>
                  </w:r>
                </w:p>
              </w:tc>
              <w:tc>
                <w:tcPr>
                  <w:tcW w:w="2170" w:type="dxa"/>
                  <w:tcBorders>
                    <w:top w:val="single" w:color="auto" w:sz="12" w:space="0"/>
                    <w:right w:val="nil"/>
                  </w:tcBorders>
                  <w:vAlign w:val="center"/>
                </w:tcPr>
                <w:p w14:paraId="138B63D6">
                  <w:pPr>
                    <w:pStyle w:val="38"/>
                    <w:keepNext w:val="0"/>
                    <w:keepLines w:val="0"/>
                    <w:widowControl/>
                    <w:suppressLineNumbers w:val="0"/>
                    <w:bidi w:val="0"/>
                    <w:spacing w:before="0" w:beforeAutospacing="0" w:after="0" w:afterAutospacing="0"/>
                    <w:ind w:left="0" w:right="0"/>
                    <w:jc w:val="center"/>
                    <w:rPr>
                      <w:rFonts w:hint="eastAsia"/>
                      <w:b w:val="0"/>
                      <w:bCs w:val="0"/>
                      <w:szCs w:val="22"/>
                    </w:rPr>
                  </w:pPr>
                  <w:r>
                    <w:rPr>
                      <w:rFonts w:hint="eastAsia"/>
                      <w:b w:val="0"/>
                      <w:bCs w:val="0"/>
                      <w:szCs w:val="22"/>
                    </w:rPr>
                    <w:t>环境事故后果</w:t>
                  </w:r>
                </w:p>
              </w:tc>
            </w:tr>
            <w:tr w14:paraId="03660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tcBorders>
                    <w:left w:val="nil"/>
                  </w:tcBorders>
                  <w:vAlign w:val="center"/>
                </w:tcPr>
                <w:p w14:paraId="40491D8C">
                  <w:pPr>
                    <w:pStyle w:val="38"/>
                    <w:keepNext w:val="0"/>
                    <w:keepLines w:val="0"/>
                    <w:widowControl/>
                    <w:suppressLineNumbers w:val="0"/>
                    <w:bidi w:val="0"/>
                    <w:spacing w:before="0" w:beforeAutospacing="0" w:after="0" w:afterAutospacing="0"/>
                    <w:ind w:left="0" w:right="0"/>
                    <w:jc w:val="center"/>
                    <w:rPr>
                      <w:rFonts w:hint="eastAsia"/>
                      <w:b w:val="0"/>
                      <w:bCs w:val="0"/>
                      <w:szCs w:val="22"/>
                    </w:rPr>
                  </w:pPr>
                  <w:r>
                    <w:rPr>
                      <w:rFonts w:hint="eastAsia"/>
                      <w:b w:val="0"/>
                      <w:bCs w:val="0"/>
                      <w:szCs w:val="22"/>
                    </w:rPr>
                    <w:t>废气处理措施</w:t>
                  </w:r>
                </w:p>
              </w:tc>
              <w:tc>
                <w:tcPr>
                  <w:tcW w:w="1105" w:type="dxa"/>
                  <w:vAlign w:val="center"/>
                </w:tcPr>
                <w:p w14:paraId="4FFF5202">
                  <w:pPr>
                    <w:pStyle w:val="38"/>
                    <w:keepNext w:val="0"/>
                    <w:keepLines w:val="0"/>
                    <w:widowControl/>
                    <w:suppressLineNumbers w:val="0"/>
                    <w:bidi w:val="0"/>
                    <w:spacing w:before="0" w:beforeAutospacing="0" w:after="0" w:afterAutospacing="0"/>
                    <w:ind w:left="0" w:right="0"/>
                    <w:jc w:val="center"/>
                    <w:rPr>
                      <w:rFonts w:hint="eastAsia"/>
                      <w:b w:val="0"/>
                      <w:bCs w:val="0"/>
                      <w:szCs w:val="22"/>
                    </w:rPr>
                  </w:pPr>
                  <w:r>
                    <w:rPr>
                      <w:rFonts w:hint="eastAsia"/>
                      <w:b w:val="0"/>
                      <w:bCs w:val="0"/>
                      <w:szCs w:val="22"/>
                    </w:rPr>
                    <w:t>事故排放</w:t>
                  </w:r>
                </w:p>
              </w:tc>
              <w:tc>
                <w:tcPr>
                  <w:tcW w:w="3137" w:type="dxa"/>
                  <w:vAlign w:val="center"/>
                </w:tcPr>
                <w:p w14:paraId="10FA01E1">
                  <w:pPr>
                    <w:pStyle w:val="38"/>
                    <w:keepNext w:val="0"/>
                    <w:keepLines w:val="0"/>
                    <w:widowControl/>
                    <w:suppressLineNumbers w:val="0"/>
                    <w:bidi w:val="0"/>
                    <w:spacing w:before="0" w:beforeAutospacing="0" w:after="0" w:afterAutospacing="0"/>
                    <w:ind w:left="0" w:right="0"/>
                    <w:jc w:val="center"/>
                    <w:rPr>
                      <w:rFonts w:hint="eastAsia"/>
                      <w:b w:val="0"/>
                      <w:bCs w:val="0"/>
                      <w:szCs w:val="22"/>
                    </w:rPr>
                  </w:pPr>
                  <w:r>
                    <w:rPr>
                      <w:rFonts w:hint="eastAsia"/>
                      <w:b w:val="0"/>
                      <w:bCs w:val="0"/>
                      <w:szCs w:val="22"/>
                    </w:rPr>
                    <w:t>废气处理设施发生故障，废气未经处理后排放，会对周围的环境空气带来一定程度的不利影响</w:t>
                  </w:r>
                </w:p>
              </w:tc>
              <w:tc>
                <w:tcPr>
                  <w:tcW w:w="2170" w:type="dxa"/>
                  <w:tcBorders>
                    <w:right w:val="nil"/>
                  </w:tcBorders>
                  <w:vAlign w:val="center"/>
                </w:tcPr>
                <w:p w14:paraId="6226BE79">
                  <w:pPr>
                    <w:pStyle w:val="38"/>
                    <w:keepNext w:val="0"/>
                    <w:keepLines w:val="0"/>
                    <w:widowControl/>
                    <w:suppressLineNumbers w:val="0"/>
                    <w:bidi w:val="0"/>
                    <w:spacing w:before="0" w:beforeAutospacing="0" w:after="0" w:afterAutospacing="0"/>
                    <w:ind w:left="0" w:right="0"/>
                    <w:jc w:val="center"/>
                    <w:rPr>
                      <w:rFonts w:hint="eastAsia"/>
                      <w:b w:val="0"/>
                      <w:bCs w:val="0"/>
                      <w:szCs w:val="22"/>
                    </w:rPr>
                  </w:pPr>
                  <w:r>
                    <w:rPr>
                      <w:rFonts w:hint="eastAsia"/>
                      <w:b w:val="0"/>
                      <w:bCs w:val="0"/>
                      <w:szCs w:val="22"/>
                    </w:rPr>
                    <w:t>污染周边大气环境</w:t>
                  </w:r>
                </w:p>
              </w:tc>
            </w:tr>
            <w:tr w14:paraId="78E26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tcBorders>
                    <w:left w:val="nil"/>
                  </w:tcBorders>
                  <w:vAlign w:val="center"/>
                </w:tcPr>
                <w:p w14:paraId="7C5F9545">
                  <w:pPr>
                    <w:pStyle w:val="38"/>
                    <w:keepNext w:val="0"/>
                    <w:keepLines w:val="0"/>
                    <w:widowControl/>
                    <w:suppressLineNumbers w:val="0"/>
                    <w:bidi w:val="0"/>
                    <w:spacing w:before="0" w:beforeAutospacing="0" w:after="0" w:afterAutospacing="0"/>
                    <w:ind w:left="0" w:right="0"/>
                    <w:jc w:val="center"/>
                    <w:rPr>
                      <w:rFonts w:hint="eastAsia"/>
                      <w:b w:val="0"/>
                      <w:bCs w:val="0"/>
                      <w:szCs w:val="22"/>
                      <w:lang w:eastAsia="zh-CN"/>
                    </w:rPr>
                  </w:pPr>
                  <w:r>
                    <w:rPr>
                      <w:rFonts w:hint="eastAsia"/>
                      <w:b w:val="0"/>
                      <w:bCs w:val="0"/>
                      <w:szCs w:val="22"/>
                      <w:lang w:eastAsia="zh-CN"/>
                    </w:rPr>
                    <w:t>危废贮存库</w:t>
                  </w:r>
                </w:p>
              </w:tc>
              <w:tc>
                <w:tcPr>
                  <w:tcW w:w="1105" w:type="dxa"/>
                  <w:vAlign w:val="center"/>
                </w:tcPr>
                <w:p w14:paraId="79EE6250">
                  <w:pPr>
                    <w:pStyle w:val="38"/>
                    <w:keepNext w:val="0"/>
                    <w:keepLines w:val="0"/>
                    <w:widowControl/>
                    <w:suppressLineNumbers w:val="0"/>
                    <w:bidi w:val="0"/>
                    <w:spacing w:before="0" w:beforeAutospacing="0" w:after="0" w:afterAutospacing="0"/>
                    <w:ind w:left="0" w:right="0"/>
                    <w:jc w:val="center"/>
                    <w:rPr>
                      <w:rFonts w:hint="eastAsia"/>
                      <w:b w:val="0"/>
                      <w:bCs w:val="0"/>
                      <w:szCs w:val="22"/>
                    </w:rPr>
                  </w:pPr>
                  <w:r>
                    <w:rPr>
                      <w:rFonts w:hint="eastAsia"/>
                      <w:b w:val="0"/>
                      <w:bCs w:val="0"/>
                      <w:szCs w:val="22"/>
                    </w:rPr>
                    <w:t>泄漏</w:t>
                  </w:r>
                </w:p>
              </w:tc>
              <w:tc>
                <w:tcPr>
                  <w:tcW w:w="3137" w:type="dxa"/>
                  <w:vAlign w:val="center"/>
                </w:tcPr>
                <w:p w14:paraId="493E86C8">
                  <w:pPr>
                    <w:pStyle w:val="38"/>
                    <w:keepNext w:val="0"/>
                    <w:keepLines w:val="0"/>
                    <w:widowControl/>
                    <w:suppressLineNumbers w:val="0"/>
                    <w:bidi w:val="0"/>
                    <w:spacing w:before="0" w:beforeAutospacing="0" w:after="0" w:afterAutospacing="0"/>
                    <w:ind w:left="0" w:right="0"/>
                    <w:jc w:val="center"/>
                    <w:rPr>
                      <w:rFonts w:hint="eastAsia"/>
                      <w:b w:val="0"/>
                      <w:bCs w:val="0"/>
                      <w:szCs w:val="22"/>
                    </w:rPr>
                  </w:pPr>
                  <w:r>
                    <w:rPr>
                      <w:rFonts w:hint="eastAsia"/>
                      <w:b w:val="0"/>
                      <w:bCs w:val="0"/>
                      <w:szCs w:val="22"/>
                    </w:rPr>
                    <w:t>装卸或存储过程中某些危险废物可能会发生泄漏污染地下水及土壤</w:t>
                  </w:r>
                </w:p>
              </w:tc>
              <w:tc>
                <w:tcPr>
                  <w:tcW w:w="2170" w:type="dxa"/>
                  <w:tcBorders>
                    <w:right w:val="nil"/>
                  </w:tcBorders>
                  <w:vAlign w:val="center"/>
                </w:tcPr>
                <w:p w14:paraId="7EC579E6">
                  <w:pPr>
                    <w:pStyle w:val="38"/>
                    <w:keepNext w:val="0"/>
                    <w:keepLines w:val="0"/>
                    <w:widowControl/>
                    <w:suppressLineNumbers w:val="0"/>
                    <w:bidi w:val="0"/>
                    <w:spacing w:before="0" w:beforeAutospacing="0" w:after="0" w:afterAutospacing="0"/>
                    <w:ind w:left="0" w:right="0"/>
                    <w:jc w:val="center"/>
                    <w:rPr>
                      <w:rFonts w:hint="eastAsia"/>
                      <w:b w:val="0"/>
                      <w:bCs w:val="0"/>
                      <w:szCs w:val="22"/>
                    </w:rPr>
                  </w:pPr>
                  <w:r>
                    <w:rPr>
                      <w:rFonts w:hint="eastAsia"/>
                      <w:b w:val="0"/>
                      <w:bCs w:val="0"/>
                      <w:szCs w:val="22"/>
                    </w:rPr>
                    <w:t>污染地下水及土壤</w:t>
                  </w:r>
                </w:p>
              </w:tc>
            </w:tr>
            <w:tr w14:paraId="3CEAB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0" w:hRule="atLeast"/>
              </w:trPr>
              <w:tc>
                <w:tcPr>
                  <w:tcW w:w="1534" w:type="dxa"/>
                  <w:tcBorders>
                    <w:left w:val="nil"/>
                  </w:tcBorders>
                  <w:vAlign w:val="center"/>
                </w:tcPr>
                <w:p w14:paraId="2050CD5D">
                  <w:pPr>
                    <w:pStyle w:val="38"/>
                    <w:keepNext w:val="0"/>
                    <w:keepLines w:val="0"/>
                    <w:widowControl/>
                    <w:suppressLineNumbers w:val="0"/>
                    <w:bidi w:val="0"/>
                    <w:spacing w:before="0" w:beforeAutospacing="0" w:after="0" w:afterAutospacing="0"/>
                    <w:ind w:left="0" w:right="0"/>
                    <w:jc w:val="center"/>
                    <w:rPr>
                      <w:rFonts w:hint="eastAsia"/>
                      <w:b w:val="0"/>
                      <w:bCs w:val="0"/>
                      <w:szCs w:val="22"/>
                    </w:rPr>
                  </w:pPr>
                  <w:r>
                    <w:rPr>
                      <w:rFonts w:hint="eastAsia"/>
                      <w:b w:val="0"/>
                      <w:bCs w:val="0"/>
                      <w:szCs w:val="22"/>
                    </w:rPr>
                    <w:t>生产车间、原材料仓库</w:t>
                  </w:r>
                </w:p>
              </w:tc>
              <w:tc>
                <w:tcPr>
                  <w:tcW w:w="1105" w:type="dxa"/>
                  <w:vAlign w:val="center"/>
                </w:tcPr>
                <w:p w14:paraId="56E3240D">
                  <w:pPr>
                    <w:pStyle w:val="38"/>
                    <w:keepNext w:val="0"/>
                    <w:keepLines w:val="0"/>
                    <w:widowControl/>
                    <w:suppressLineNumbers w:val="0"/>
                    <w:bidi w:val="0"/>
                    <w:spacing w:before="0" w:beforeAutospacing="0" w:after="0" w:afterAutospacing="0"/>
                    <w:ind w:left="0" w:right="0"/>
                    <w:jc w:val="center"/>
                    <w:rPr>
                      <w:rFonts w:hint="eastAsia"/>
                      <w:b w:val="0"/>
                      <w:bCs w:val="0"/>
                      <w:szCs w:val="22"/>
                    </w:rPr>
                  </w:pPr>
                  <w:r>
                    <w:rPr>
                      <w:rFonts w:hint="eastAsia"/>
                      <w:b w:val="0"/>
                      <w:bCs w:val="0"/>
                      <w:szCs w:val="22"/>
                    </w:rPr>
                    <w:t>泄漏</w:t>
                  </w:r>
                </w:p>
              </w:tc>
              <w:tc>
                <w:tcPr>
                  <w:tcW w:w="3137" w:type="dxa"/>
                  <w:vAlign w:val="center"/>
                </w:tcPr>
                <w:p w14:paraId="62EAFA8F">
                  <w:pPr>
                    <w:pStyle w:val="38"/>
                    <w:keepNext w:val="0"/>
                    <w:keepLines w:val="0"/>
                    <w:widowControl/>
                    <w:suppressLineNumbers w:val="0"/>
                    <w:bidi w:val="0"/>
                    <w:spacing w:before="0" w:beforeAutospacing="0" w:after="0" w:afterAutospacing="0"/>
                    <w:ind w:left="0" w:right="0"/>
                    <w:jc w:val="center"/>
                    <w:rPr>
                      <w:rFonts w:hint="eastAsia"/>
                      <w:b w:val="0"/>
                      <w:bCs w:val="0"/>
                      <w:szCs w:val="22"/>
                    </w:rPr>
                  </w:pPr>
                  <w:r>
                    <w:rPr>
                      <w:rFonts w:hint="eastAsia"/>
                      <w:b w:val="0"/>
                      <w:bCs w:val="0"/>
                      <w:szCs w:val="22"/>
                    </w:rPr>
                    <w:t>若原辅材料包装不密，容易引起化学品泄漏</w:t>
                  </w:r>
                </w:p>
              </w:tc>
              <w:tc>
                <w:tcPr>
                  <w:tcW w:w="2170" w:type="dxa"/>
                  <w:tcBorders>
                    <w:right w:val="nil"/>
                  </w:tcBorders>
                  <w:vAlign w:val="center"/>
                </w:tcPr>
                <w:p w14:paraId="6B9B391B">
                  <w:pPr>
                    <w:pStyle w:val="38"/>
                    <w:keepNext w:val="0"/>
                    <w:keepLines w:val="0"/>
                    <w:widowControl/>
                    <w:suppressLineNumbers w:val="0"/>
                    <w:bidi w:val="0"/>
                    <w:spacing w:before="0" w:beforeAutospacing="0" w:after="0" w:afterAutospacing="0"/>
                    <w:ind w:left="0" w:right="0"/>
                    <w:jc w:val="center"/>
                    <w:rPr>
                      <w:rFonts w:hint="eastAsia"/>
                      <w:b w:val="0"/>
                      <w:bCs w:val="0"/>
                      <w:szCs w:val="22"/>
                    </w:rPr>
                  </w:pPr>
                  <w:r>
                    <w:rPr>
                      <w:rFonts w:hint="eastAsia"/>
                      <w:b w:val="0"/>
                      <w:bCs w:val="0"/>
                      <w:szCs w:val="22"/>
                    </w:rPr>
                    <w:t>燃烧产生的烟气逸散到大气对环境造成影响</w:t>
                  </w:r>
                </w:p>
              </w:tc>
            </w:tr>
            <w:tr w14:paraId="08C06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tcBorders>
                    <w:left w:val="nil"/>
                    <w:bottom w:val="single" w:color="auto" w:sz="12" w:space="0"/>
                  </w:tcBorders>
                  <w:vAlign w:val="center"/>
                </w:tcPr>
                <w:p w14:paraId="1354D4C7">
                  <w:pPr>
                    <w:pStyle w:val="38"/>
                    <w:keepNext w:val="0"/>
                    <w:keepLines w:val="0"/>
                    <w:widowControl/>
                    <w:suppressLineNumbers w:val="0"/>
                    <w:bidi w:val="0"/>
                    <w:spacing w:before="0" w:beforeAutospacing="0" w:after="0" w:afterAutospacing="0"/>
                    <w:ind w:left="0" w:right="0"/>
                    <w:jc w:val="center"/>
                    <w:rPr>
                      <w:rFonts w:hint="eastAsia"/>
                      <w:b w:val="0"/>
                      <w:bCs w:val="0"/>
                      <w:szCs w:val="22"/>
                    </w:rPr>
                  </w:pPr>
                  <w:r>
                    <w:rPr>
                      <w:rFonts w:hint="eastAsia"/>
                      <w:b w:val="0"/>
                      <w:bCs w:val="0"/>
                      <w:szCs w:val="22"/>
                    </w:rPr>
                    <w:t>火灾、爆炸次生、伴生影响</w:t>
                  </w:r>
                </w:p>
              </w:tc>
              <w:tc>
                <w:tcPr>
                  <w:tcW w:w="1105" w:type="dxa"/>
                  <w:tcBorders>
                    <w:bottom w:val="single" w:color="auto" w:sz="12" w:space="0"/>
                  </w:tcBorders>
                  <w:vAlign w:val="center"/>
                </w:tcPr>
                <w:p w14:paraId="3873814D">
                  <w:pPr>
                    <w:pStyle w:val="38"/>
                    <w:keepNext w:val="0"/>
                    <w:keepLines w:val="0"/>
                    <w:widowControl/>
                    <w:suppressLineNumbers w:val="0"/>
                    <w:bidi w:val="0"/>
                    <w:spacing w:before="0" w:beforeAutospacing="0" w:after="0" w:afterAutospacing="0"/>
                    <w:ind w:left="0" w:right="0"/>
                    <w:jc w:val="center"/>
                    <w:rPr>
                      <w:rFonts w:hint="eastAsia"/>
                      <w:b w:val="0"/>
                      <w:bCs w:val="0"/>
                      <w:szCs w:val="22"/>
                    </w:rPr>
                  </w:pPr>
                  <w:r>
                    <w:rPr>
                      <w:rFonts w:hint="eastAsia"/>
                      <w:b w:val="0"/>
                      <w:bCs w:val="0"/>
                      <w:szCs w:val="22"/>
                    </w:rPr>
                    <w:t>火灾事故</w:t>
                  </w:r>
                </w:p>
              </w:tc>
              <w:tc>
                <w:tcPr>
                  <w:tcW w:w="3137" w:type="dxa"/>
                  <w:tcBorders>
                    <w:bottom w:val="single" w:color="auto" w:sz="12" w:space="0"/>
                  </w:tcBorders>
                  <w:vAlign w:val="center"/>
                </w:tcPr>
                <w:p w14:paraId="42344ADA">
                  <w:pPr>
                    <w:pStyle w:val="38"/>
                    <w:keepNext w:val="0"/>
                    <w:keepLines w:val="0"/>
                    <w:widowControl/>
                    <w:suppressLineNumbers w:val="0"/>
                    <w:bidi w:val="0"/>
                    <w:spacing w:before="0" w:beforeAutospacing="0" w:after="0" w:afterAutospacing="0"/>
                    <w:ind w:left="0" w:right="0"/>
                    <w:jc w:val="center"/>
                    <w:rPr>
                      <w:rFonts w:hint="eastAsia"/>
                      <w:b w:val="0"/>
                      <w:bCs w:val="0"/>
                      <w:szCs w:val="22"/>
                    </w:rPr>
                  </w:pPr>
                  <w:r>
                    <w:rPr>
                      <w:rFonts w:hint="eastAsia"/>
                      <w:b w:val="0"/>
                      <w:bCs w:val="0"/>
                      <w:szCs w:val="22"/>
                    </w:rPr>
                    <w:t>原辅材料在车间内遇明火或者高热容</w:t>
                  </w:r>
                  <w:r>
                    <w:rPr>
                      <w:rFonts w:hint="eastAsia"/>
                      <w:b w:val="0"/>
                      <w:bCs w:val="0"/>
                      <w:szCs w:val="22"/>
                      <w:lang w:eastAsia="zh-CN"/>
                    </w:rPr>
                    <w:t>易严</w:t>
                  </w:r>
                  <w:r>
                    <w:rPr>
                      <w:rFonts w:hint="eastAsia"/>
                      <w:b w:val="0"/>
                      <w:bCs w:val="0"/>
                      <w:szCs w:val="22"/>
                    </w:rPr>
                    <w:t>重火灾事故</w:t>
                  </w:r>
                </w:p>
              </w:tc>
              <w:tc>
                <w:tcPr>
                  <w:tcW w:w="2170" w:type="dxa"/>
                  <w:tcBorders>
                    <w:bottom w:val="single" w:color="auto" w:sz="12" w:space="0"/>
                    <w:right w:val="nil"/>
                  </w:tcBorders>
                  <w:vAlign w:val="center"/>
                </w:tcPr>
                <w:p w14:paraId="6B286BE7">
                  <w:pPr>
                    <w:pStyle w:val="38"/>
                    <w:keepNext w:val="0"/>
                    <w:keepLines w:val="0"/>
                    <w:widowControl/>
                    <w:suppressLineNumbers w:val="0"/>
                    <w:bidi w:val="0"/>
                    <w:spacing w:before="0" w:beforeAutospacing="0" w:after="0" w:afterAutospacing="0"/>
                    <w:ind w:left="0" w:right="0"/>
                    <w:jc w:val="center"/>
                    <w:rPr>
                      <w:rFonts w:hint="eastAsia"/>
                      <w:b w:val="0"/>
                      <w:bCs w:val="0"/>
                      <w:szCs w:val="22"/>
                    </w:rPr>
                  </w:pPr>
                  <w:r>
                    <w:rPr>
                      <w:rFonts w:hint="eastAsia"/>
                      <w:b w:val="0"/>
                      <w:bCs w:val="0"/>
                      <w:szCs w:val="22"/>
                    </w:rPr>
                    <w:t>消防废水可能污染周边地表水</w:t>
                  </w:r>
                </w:p>
              </w:tc>
            </w:tr>
          </w:tbl>
          <w:p w14:paraId="5936FAE8">
            <w:pPr>
              <w:pStyle w:val="4"/>
              <w:suppressLineNumbers w:val="0"/>
              <w:tabs>
                <w:tab w:val="left" w:pos="420"/>
                <w:tab w:val="clear" w:pos="0"/>
              </w:tabs>
              <w:bidi w:val="0"/>
              <w:spacing w:before="0" w:beforeAutospacing="0" w:after="0" w:afterAutospacing="0"/>
              <w:ind w:left="0" w:right="0"/>
              <w:rPr>
                <w:rFonts w:hint="eastAsia"/>
              </w:rPr>
            </w:pPr>
            <w:r>
              <w:rPr>
                <w:rFonts w:hint="eastAsia"/>
              </w:rPr>
              <w:t>环境风险分析</w:t>
            </w:r>
          </w:p>
          <w:p w14:paraId="2D4483D4">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（1）化学品泄漏后果分析</w:t>
            </w:r>
          </w:p>
          <w:p w14:paraId="388224EC">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由于设备失灵、原辅材料转运操作失误等原因都</w:t>
            </w:r>
            <w:r>
              <w:rPr>
                <w:rFonts w:hint="eastAsia" w:cs="宋体"/>
                <w:b w:val="0"/>
                <w:bCs w:val="0"/>
                <w:iCs w:val="0"/>
                <w:color w:val="auto"/>
                <w:lang w:eastAsia="zh-CN"/>
              </w:rPr>
              <w:t>可能</w:t>
            </w:r>
            <w:r>
              <w:rPr>
                <w:rFonts w:hint="eastAsia" w:cs="宋体"/>
                <w:b w:val="0"/>
                <w:bCs w:val="0"/>
                <w:iCs w:val="0"/>
                <w:color w:val="auto"/>
              </w:rPr>
              <w:t>造成化学品泄漏事故，造成项目周围的大气烃类污染。发生化学品泄漏时，由于味道比较容易发现，若采取必要措施就可将污染控制在泄漏的局部区域，不致形成大面积的区域性污染。</w:t>
            </w:r>
          </w:p>
          <w:p w14:paraId="73CF4175">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（2）火灾、爆炸后果分析</w:t>
            </w:r>
          </w:p>
          <w:p w14:paraId="710F0988">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化学品泄漏后一旦发生火灾、爆炸事故，对生产区域、现场工作人员和过往车辆将产生较为严重的损害。通过类比分析，发生火灾爆炸后，其影响范围相对主要集中在厂内，也可能会危害周围的居民，应制定紧急预案，保证危害半径内的居民、重要设施得到迅速救助、撤离或保护。</w:t>
            </w:r>
          </w:p>
          <w:p w14:paraId="68ED9320">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火灾热辐射影响主要在厂区范围，而火灾燃烧过程中同时会伴生大量的烟尘、CO、SO</w:t>
            </w:r>
            <w:r>
              <w:rPr>
                <w:rFonts w:hint="eastAsia" w:cs="宋体"/>
                <w:b w:val="0"/>
                <w:bCs w:val="0"/>
                <w:iCs w:val="0"/>
                <w:color w:val="auto"/>
                <w:vertAlign w:val="subscript"/>
              </w:rPr>
              <w:t>2</w:t>
            </w:r>
            <w:r>
              <w:rPr>
                <w:rFonts w:hint="eastAsia" w:cs="宋体"/>
                <w:b w:val="0"/>
                <w:bCs w:val="0"/>
                <w:iCs w:val="0"/>
                <w:color w:val="auto"/>
              </w:rPr>
              <w:t>和NO</w:t>
            </w:r>
            <w:r>
              <w:rPr>
                <w:rFonts w:hint="eastAsia" w:cs="宋体"/>
                <w:b w:val="0"/>
                <w:bCs w:val="0"/>
                <w:iCs w:val="0"/>
                <w:color w:val="auto"/>
                <w:vertAlign w:val="subscript"/>
              </w:rPr>
              <w:t>2</w:t>
            </w:r>
            <w:r>
              <w:rPr>
                <w:rFonts w:hint="eastAsia" w:cs="宋体"/>
                <w:b w:val="0"/>
                <w:bCs w:val="0"/>
                <w:iCs w:val="0"/>
                <w:color w:val="auto"/>
              </w:rPr>
              <w:t>等污染物，将对周围大气环境产生影响。由于生产设备发生火灾和爆炸后，急剧燃烧所需的供氧量不足，属于典型的不完全燃烧，燃烧过程中产生的CO量很大。污染物影响范围较大，一般都到了几百米以外，尤其是有风的条件下，污染范围更广。</w:t>
            </w:r>
          </w:p>
          <w:p w14:paraId="7D32220A">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故在发生着火事故的情况下可能出现大面积的严重污染。本厂区的平面设计符合《城镇燃气设计规范》（GB</w:t>
            </w:r>
            <w:r>
              <w:rPr>
                <w:rFonts w:hint="eastAsia" w:cs="宋体"/>
                <w:b w:val="0"/>
                <w:bCs w:val="0"/>
                <w:iCs w:val="0"/>
                <w:color w:val="auto"/>
                <w:lang w:val="en-US" w:eastAsia="zh-CN"/>
              </w:rPr>
              <w:t>50</w:t>
            </w:r>
            <w:r>
              <w:rPr>
                <w:rFonts w:hint="eastAsia" w:cs="宋体"/>
                <w:b w:val="0"/>
                <w:bCs w:val="0"/>
                <w:iCs w:val="0"/>
                <w:color w:val="auto"/>
              </w:rPr>
              <w:t>028-2006）等设计规范中的相关规定，建设方还应该采取严密的防范措施，严防事故的发生，同时应该制定详尽的事故应急预案，确保一旦发生事故可以行之有效的办法进行处理。则项目发生火灾、爆炸的危害程度</w:t>
            </w:r>
            <w:r>
              <w:rPr>
                <w:rFonts w:hint="eastAsia" w:cs="宋体"/>
                <w:b w:val="0"/>
                <w:bCs w:val="0"/>
                <w:iCs w:val="0"/>
                <w:color w:val="auto"/>
                <w:lang w:eastAsia="zh-CN"/>
              </w:rPr>
              <w:t>可以</w:t>
            </w:r>
            <w:r>
              <w:rPr>
                <w:rFonts w:hint="eastAsia" w:cs="宋体"/>
                <w:b w:val="0"/>
                <w:bCs w:val="0"/>
                <w:iCs w:val="0"/>
                <w:color w:val="auto"/>
              </w:rPr>
              <w:t>得到控制。</w:t>
            </w:r>
          </w:p>
          <w:p w14:paraId="0750DDA9">
            <w:pPr>
              <w:pStyle w:val="4"/>
              <w:suppressLineNumbers w:val="0"/>
              <w:tabs>
                <w:tab w:val="left" w:pos="420"/>
                <w:tab w:val="clear" w:pos="0"/>
              </w:tabs>
              <w:bidi w:val="0"/>
              <w:spacing w:before="0" w:beforeAutospacing="0" w:after="0" w:afterAutospacing="0"/>
              <w:ind w:left="0" w:right="0"/>
              <w:rPr>
                <w:rFonts w:hint="eastAsia"/>
              </w:rPr>
            </w:pPr>
            <w:bookmarkStart w:id="38" w:name="_Toc25083"/>
            <w:bookmarkStart w:id="39" w:name="_Toc10994"/>
            <w:bookmarkStart w:id="40" w:name="_Toc9435"/>
            <w:bookmarkStart w:id="41" w:name="_Toc22839"/>
            <w:bookmarkStart w:id="42" w:name="_Toc8122"/>
            <w:r>
              <w:rPr>
                <w:rFonts w:hint="eastAsia"/>
              </w:rPr>
              <w:t>环境风险防范措施和事故应急措施</w:t>
            </w:r>
            <w:bookmarkEnd w:id="38"/>
            <w:bookmarkEnd w:id="39"/>
            <w:bookmarkEnd w:id="40"/>
            <w:bookmarkEnd w:id="41"/>
            <w:bookmarkEnd w:id="42"/>
          </w:p>
          <w:p w14:paraId="445451F8">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（1）火灾、爆炸的防控措施</w:t>
            </w:r>
          </w:p>
          <w:p w14:paraId="71D96C0F">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①设置应急物资准备条件：如消防沙堆、干粉灭火器、灭火毯等消防器具，事故一旦发生可立即利用上述设备，将事故造成的影响降至最低。要定期对消防设施进行检查和维护保养，确保消防设施完好有效。</w:t>
            </w:r>
          </w:p>
          <w:p w14:paraId="3D137AE7">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②加强安全检查，实行以防火为中心的安全管理。危险化学品仓库、生产设备周围要坚决杜绝明火，及时清理厂区内可燃杂物，保持消防通道畅通。特别要注意防止电火花引起火灾及爆炸。同时做好检查记录，发现问题和隐患及时进行整改。</w:t>
            </w:r>
          </w:p>
          <w:p w14:paraId="2F5EC8B6">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③加强预案制定和演练。为加强对事故的有效控制，降低事故危害程度，公司制定完备的应急救援预案。并针对跑冒、泄漏制定</w:t>
            </w:r>
            <w:r>
              <w:rPr>
                <w:rFonts w:hint="eastAsia" w:cs="宋体"/>
                <w:b w:val="0"/>
                <w:bCs w:val="0"/>
                <w:iCs w:val="0"/>
                <w:color w:val="auto"/>
                <w:lang w:eastAsia="zh-CN"/>
              </w:rPr>
              <w:t>“</w:t>
            </w:r>
            <w:r>
              <w:rPr>
                <w:rFonts w:hint="eastAsia" w:cs="宋体"/>
                <w:b w:val="0"/>
                <w:bCs w:val="0"/>
                <w:iCs w:val="0"/>
                <w:color w:val="auto"/>
              </w:rPr>
              <w:t>污染控制应急救援措施</w:t>
            </w:r>
            <w:r>
              <w:rPr>
                <w:rFonts w:hint="eastAsia" w:cs="宋体"/>
                <w:b w:val="0"/>
                <w:bCs w:val="0"/>
                <w:iCs w:val="0"/>
                <w:color w:val="auto"/>
                <w:lang w:eastAsia="zh-CN"/>
              </w:rPr>
              <w:t>”</w:t>
            </w:r>
            <w:r>
              <w:rPr>
                <w:rFonts w:hint="eastAsia" w:cs="宋体"/>
                <w:b w:val="0"/>
                <w:bCs w:val="0"/>
                <w:iCs w:val="0"/>
                <w:color w:val="auto"/>
              </w:rPr>
              <w:t>。</w:t>
            </w:r>
          </w:p>
          <w:p w14:paraId="6246AAF5">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④加强对公司职工的教育培训，实行上岗证制度，增强职工风险意识，提高事故自救能力，制定和强化各种安全管理、安全运营的规程，减少人为风险事故（如误操作）的发生。</w:t>
            </w:r>
          </w:p>
          <w:p w14:paraId="4C1965B9">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（2）危化品储运安全防范措施</w:t>
            </w:r>
          </w:p>
          <w:p w14:paraId="0560598E">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本项目的危险化学品根据用途和类型不同，分别贮存。项目应严格按照《危险化学品安全管理条例》的要求，加强对危险化学品的管理；制定危险化学品安全操作规程，要求操作人员严格按操作规程作业；对从事危险化</w:t>
            </w:r>
            <w:r>
              <w:rPr>
                <w:rFonts w:hint="eastAsia" w:cs="宋体"/>
                <w:b w:val="0"/>
                <w:bCs w:val="0"/>
                <w:iCs w:val="0"/>
                <w:color w:val="auto"/>
                <w:lang w:eastAsia="zh-CN"/>
              </w:rPr>
              <w:t>学品</w:t>
            </w:r>
            <w:r>
              <w:rPr>
                <w:rFonts w:hint="eastAsia" w:cs="宋体"/>
                <w:b w:val="0"/>
                <w:bCs w:val="0"/>
                <w:iCs w:val="0"/>
                <w:color w:val="auto"/>
              </w:rPr>
              <w:t>作业人员定期进行安全培训教育；经常对危险化学品作业场所进行安全检查。</w:t>
            </w:r>
          </w:p>
          <w:p w14:paraId="5C584CEA">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项目原料储存需符合储存危险化学品的相关条件（如防晒、防潮、通风、防雷、防静电等），实施危险化学品的储存和使用。建立健全安全规程及值勤制度设置通讯、报警装置，确保其处于完好状态；对储存危险化学品的容器，应经有关检验部门定期检验合格后，才能使用，并设置明显的标识及警示牌；对使用危险化学品的名称、数量进行严格登记：凡储存、使用危险化学品的岗位，都应配置合格的防毒器材、消防器材，并确保其处于完好状态；所有进入储存、使用危险化学品的人员，都必须严格遵守《危险化学品管理制度》。采购危险化学品时，应到已获得危险化学品经营许可证的企业进行采购，并要求供应商提供技术说明书及相关技术资料；采购人员必须进行专业培训并取证：危险化学品的包装物、容器必须有专业检测机构检验合格才能使用：从事危险化学品运输、押运人员，应经有关培训并取证后才能从事危险化学品运输、押运工作；运输危险化学品的车、船应悬挂危险化学品标志不得在</w:t>
            </w:r>
            <w:r>
              <w:rPr>
                <w:rFonts w:hint="eastAsia" w:cs="宋体"/>
                <w:b w:val="0"/>
                <w:bCs w:val="0"/>
                <w:iCs w:val="0"/>
                <w:color w:val="auto"/>
                <w:lang w:eastAsia="zh-CN"/>
              </w:rPr>
              <w:t>人烟稠密</w:t>
            </w:r>
            <w:r>
              <w:rPr>
                <w:rFonts w:hint="eastAsia" w:cs="宋体"/>
                <w:b w:val="0"/>
                <w:bCs w:val="0"/>
                <w:iCs w:val="0"/>
                <w:color w:val="auto"/>
              </w:rPr>
              <w:t>地区停留；危险化学品的运输、押运人员，应配置合格的防护器材。建设单位在储运过程中应小心谨慎，熟知每种物料的性质和储运注意事项。</w:t>
            </w:r>
          </w:p>
          <w:p w14:paraId="428B8CEB">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（3）原材料仓库建设要求</w:t>
            </w:r>
          </w:p>
          <w:p w14:paraId="131E9EAF">
            <w:pPr>
              <w:keepNext w:val="0"/>
              <w:keepLines w:val="0"/>
              <w:suppressLineNumbers w:val="0"/>
              <w:spacing w:before="0" w:beforeAutospacing="0" w:after="0" w:afterAutospacing="0"/>
              <w:ind w:left="0" w:right="0" w:firstLine="480" w:firstLineChars="200"/>
              <w:rPr>
                <w:rFonts w:hint="eastAsia" w:cs="宋体"/>
                <w:b w:val="0"/>
                <w:bCs w:val="0"/>
                <w:iCs w:val="0"/>
                <w:color w:val="auto"/>
              </w:rPr>
            </w:pPr>
            <w:r>
              <w:rPr>
                <w:rFonts w:hint="eastAsia" w:cs="宋体"/>
                <w:b w:val="0"/>
                <w:bCs w:val="0"/>
                <w:iCs w:val="0"/>
                <w:color w:val="auto"/>
              </w:rPr>
              <w:t>本项目原材料仓库的建设应参考《危险化学品经营企业安全技术基本》（GB18265-2019）和《建筑设计防火规范》的建设要求，原材料仓库应防潮、平整、坚实、易于清扫，采用不发生火花的地面，采用防腐材料，减少火灾隐患。项目采用的有机溶剂，都具有挥发性，因此原材料仓库需设置防液体流散措施和通风设备。</w:t>
            </w:r>
          </w:p>
          <w:p w14:paraId="3FA727F5">
            <w:pPr>
              <w:pStyle w:val="4"/>
              <w:suppressLineNumbers w:val="0"/>
              <w:bidi w:val="0"/>
              <w:spacing w:before="0" w:beforeAutospacing="0" w:after="0" w:afterAutospacing="0"/>
              <w:ind w:left="0" w:right="0"/>
              <w:rPr>
                <w:rFonts w:hint="default"/>
              </w:rPr>
            </w:pPr>
            <w:r>
              <w:rPr>
                <w:rFonts w:hint="default"/>
              </w:rPr>
              <w:t>风险分析结论</w:t>
            </w:r>
          </w:p>
          <w:p w14:paraId="77568E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cs="Times New Roman"/>
                <w:color w:val="auto"/>
                <w:sz w:val="24"/>
                <w:szCs w:val="24"/>
              </w:rPr>
              <w:t>本项目化学品储存量较少，不构成重大危险源。配套相应的应急措施的前提下，在加强厂区防火管理、完善事故应急预案的基础上，事故发生概率很低，经过采取妥善的风险防范措施，本项目环境风险在可接受的范围内。</w:t>
            </w:r>
          </w:p>
          <w:p w14:paraId="193F82A6">
            <w:pPr>
              <w:pStyle w:val="3"/>
              <w:keepNext w:val="0"/>
              <w:keepLines w:val="0"/>
              <w:suppressLineNumbers w:val="0"/>
              <w:bidi w:val="0"/>
              <w:spacing w:before="0" w:beforeAutospacing="0" w:after="0" w:afterAutospacing="0"/>
              <w:ind w:left="0" w:right="0"/>
              <w:rPr>
                <w:rFonts w:hint="default"/>
                <w:lang w:val="en-US" w:eastAsia="zh-CN"/>
              </w:rPr>
            </w:pPr>
            <w:bookmarkStart w:id="43" w:name="_Toc20048"/>
            <w:bookmarkStart w:id="44" w:name="_Toc4526"/>
            <w:bookmarkStart w:id="45" w:name="_Toc17437"/>
            <w:r>
              <w:rPr>
                <w:rFonts w:hint="default"/>
                <w:lang w:val="en-US" w:eastAsia="zh-CN"/>
              </w:rPr>
              <w:t>自行监测计划</w:t>
            </w:r>
            <w:bookmarkEnd w:id="43"/>
            <w:bookmarkEnd w:id="44"/>
            <w:bookmarkEnd w:id="45"/>
          </w:p>
          <w:p w14:paraId="7D0911BA">
            <w:pPr>
              <w:keepNext w:val="0"/>
              <w:keepLines w:val="0"/>
              <w:suppressLineNumbers w:val="0"/>
              <w:bidi w:val="0"/>
              <w:spacing w:before="0" w:beforeAutospacing="0" w:after="0" w:afterAutospacing="0"/>
              <w:ind w:left="0" w:right="0"/>
              <w:rPr>
                <w:rFonts w:hint="eastAsia"/>
                <w:lang w:eastAsia="zh-CN"/>
              </w:rPr>
            </w:pPr>
            <w:r>
              <w:rPr>
                <w:rFonts w:hint="default"/>
                <w:lang w:val="en-US" w:eastAsia="zh-CN"/>
              </w:rPr>
              <w:t>根据《固定污染源排污许可证分类管理名录</w:t>
            </w:r>
            <w:r>
              <w:rPr>
                <w:rFonts w:hint="eastAsia"/>
                <w:lang w:val="en-US" w:eastAsia="zh-CN"/>
              </w:rPr>
              <w:t>（</w:t>
            </w:r>
            <w:r>
              <w:rPr>
                <w:rFonts w:hint="default"/>
                <w:lang w:val="en-US" w:eastAsia="zh-CN"/>
              </w:rPr>
              <w:t>2019年本</w:t>
            </w:r>
            <w:r>
              <w:rPr>
                <w:rFonts w:hint="eastAsia"/>
                <w:lang w:val="en-US" w:eastAsia="zh-CN"/>
              </w:rPr>
              <w:t>）</w:t>
            </w:r>
            <w:r>
              <w:rPr>
                <w:rFonts w:hint="default"/>
                <w:lang w:val="en-US" w:eastAsia="zh-CN"/>
              </w:rPr>
              <w:t>》中，本项目属于</w:t>
            </w:r>
            <w:r>
              <w:rPr>
                <w:rFonts w:hint="eastAsia"/>
                <w:lang w:val="en-US" w:eastAsia="zh-CN"/>
              </w:rPr>
              <w:t>“</w:t>
            </w:r>
            <w:r>
              <w:rPr>
                <w:rFonts w:hint="default"/>
                <w:lang w:val="en-US" w:eastAsia="zh-CN"/>
              </w:rPr>
              <w:t xml:space="preserve"> 二十四、橡胶和塑料制品业 29 塑料制品业 292</w:t>
            </w:r>
            <w:r>
              <w:rPr>
                <w:rFonts w:hint="default"/>
              </w:rPr>
              <w:t>中</w:t>
            </w:r>
            <w:r>
              <w:rPr>
                <w:rFonts w:hint="eastAsia"/>
                <w:lang w:val="en-US" w:eastAsia="zh-CN"/>
              </w:rPr>
              <w:t>的</w:t>
            </w:r>
            <w:r>
              <w:rPr>
                <w:rFonts w:hint="default"/>
              </w:rPr>
              <w:t>其他</w:t>
            </w:r>
            <w:r>
              <w:rPr>
                <w:rFonts w:hint="eastAsia"/>
                <w:lang w:val="en-US" w:eastAsia="zh-CN"/>
              </w:rPr>
              <w:t>”</w:t>
            </w:r>
            <w:r>
              <w:rPr>
                <w:rFonts w:hint="default"/>
              </w:rPr>
              <w:t>类</w:t>
            </w:r>
            <w:r>
              <w:rPr>
                <w:rFonts w:hint="eastAsia"/>
                <w:lang w:val="en-US" w:eastAsia="zh-CN"/>
              </w:rPr>
              <w:t>及“二十八、金属制品业 33 金属表面处理及热处理加工 336中的</w:t>
            </w:r>
            <w:r>
              <w:rPr>
                <w:rFonts w:hint="default"/>
              </w:rPr>
              <w:t>其他</w:t>
            </w:r>
            <w:r>
              <w:rPr>
                <w:rFonts w:hint="eastAsia"/>
                <w:lang w:val="en-US" w:eastAsia="zh-CN"/>
              </w:rPr>
              <w:t>”</w:t>
            </w:r>
            <w:r>
              <w:rPr>
                <w:rFonts w:hint="default"/>
              </w:rPr>
              <w:t>类，应进行</w:t>
            </w:r>
            <w:r>
              <w:rPr>
                <w:rFonts w:hint="eastAsia"/>
                <w:lang w:val="en-US" w:eastAsia="zh-CN"/>
              </w:rPr>
              <w:t>排污</w:t>
            </w:r>
            <w:r>
              <w:rPr>
                <w:rFonts w:hint="default"/>
              </w:rPr>
              <w:t>登记管理</w:t>
            </w:r>
            <w:r>
              <w:rPr>
                <w:rFonts w:hint="eastAsia"/>
                <w:lang w:eastAsia="zh-CN"/>
              </w:rPr>
              <w:t>。</w:t>
            </w:r>
          </w:p>
          <w:p w14:paraId="43FE8FD6">
            <w:pPr>
              <w:keepNext w:val="0"/>
              <w:keepLines w:val="0"/>
              <w:suppressLineNumbers w:val="0"/>
              <w:bidi w:val="0"/>
              <w:spacing w:before="0" w:beforeAutospacing="0" w:after="0" w:afterAutospacing="0"/>
              <w:ind w:left="0" w:right="0"/>
              <w:rPr>
                <w:rFonts w:hint="default"/>
              </w:rPr>
            </w:pPr>
            <w:r>
              <w:rPr>
                <w:rFonts w:hint="eastAsia"/>
                <w:lang w:val="en-US" w:eastAsia="zh-CN"/>
              </w:rPr>
              <w:t>根据生态环境部发布的《排污许可常见问题2020年第7期固定污染源排污许可清理整顿4问（第一批）》中“</w:t>
            </w:r>
            <w:r>
              <w:rPr>
                <w:rFonts w:hint="default"/>
                <w:lang w:val="en-US" w:eastAsia="zh-CN"/>
              </w:rPr>
              <w:t>2、实施登记管理的排污单位，对其台账管理、自行监</w:t>
            </w:r>
            <w:r>
              <w:rPr>
                <w:rFonts w:hint="eastAsia"/>
                <w:lang w:val="en-US" w:eastAsia="zh-CN"/>
              </w:rPr>
              <w:t>测、执行报告等有何要</w:t>
            </w:r>
            <w:r>
              <w:rPr>
                <w:rFonts w:hint="eastAsia"/>
                <w:b w:val="0"/>
                <w:bCs w:val="0"/>
                <w:lang w:val="en-US" w:eastAsia="zh-CN"/>
              </w:rPr>
              <w:t>求？答</w:t>
            </w:r>
            <w:r>
              <w:rPr>
                <w:rFonts w:hint="eastAsia"/>
                <w:lang w:val="en-US" w:eastAsia="zh-CN"/>
              </w:rPr>
              <w:t>：《关于印发&lt;固定污染源排污登记工作指南（试行）&gt; 的通知》已经明确了排污单位登记内容，对登记管理排污单位不做台账管理、自行监测和执行报告等要求。排污单位登记管理不是行政许可，《名录（2019年版）》对登记管理的范围做出了规定</w:t>
            </w:r>
            <w:r>
              <w:rPr>
                <w:rFonts w:hint="eastAsia"/>
                <w:lang w:eastAsia="zh-CN"/>
              </w:rPr>
              <w:t>”。</w:t>
            </w:r>
          </w:p>
          <w:p w14:paraId="02928715">
            <w:pPr>
              <w:keepNext w:val="0"/>
              <w:keepLines w:val="0"/>
              <w:suppressLineNumbers w:val="0"/>
              <w:bidi w:val="0"/>
              <w:spacing w:before="0" w:beforeAutospacing="0" w:after="0" w:afterAutospacing="0"/>
              <w:ind w:left="0" w:right="0"/>
              <w:rPr>
                <w:rFonts w:hint="default" w:eastAsia="宋体"/>
                <w:color w:val="auto"/>
                <w:lang w:val="en-US" w:eastAsia="zh-CN"/>
              </w:rPr>
            </w:pPr>
            <w:r>
              <w:rPr>
                <w:rFonts w:hint="eastAsia"/>
                <w:lang w:val="en-US" w:eastAsia="zh-CN"/>
              </w:rPr>
              <w:t>因此，本项目无需制定自行监测计划。</w:t>
            </w:r>
          </w:p>
        </w:tc>
      </w:tr>
      <w:tr w14:paraId="014EF9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92" w:hRule="atLeast"/>
          <w:jc w:val="center"/>
        </w:trPr>
        <w:tc>
          <w:tcPr>
            <w:tcW w:w="385" w:type="dxa"/>
            <w:noWrap w:val="0"/>
            <w:tcMar>
              <w:left w:w="28" w:type="dxa"/>
              <w:right w:w="28" w:type="dxa"/>
            </w:tcMar>
            <w:vAlign w:val="center"/>
          </w:tcPr>
          <w:p w14:paraId="0DE004AF">
            <w:pPr>
              <w:pStyle w:val="40"/>
              <w:keepNext w:val="0"/>
              <w:keepLines w:val="0"/>
              <w:suppressLineNumbers w:val="0"/>
              <w:bidi w:val="0"/>
              <w:spacing w:before="0" w:beforeAutospacing="0" w:after="0" w:afterAutospacing="0"/>
              <w:ind w:left="0" w:right="0"/>
              <w:rPr>
                <w:rFonts w:hint="eastAsia"/>
              </w:rPr>
            </w:pPr>
            <w:r>
              <w:rPr>
                <w:rFonts w:hint="eastAsia"/>
              </w:rPr>
              <w:t>运营期环境影响和保护措施</w:t>
            </w:r>
          </w:p>
        </w:tc>
        <w:tc>
          <w:tcPr>
            <w:tcW w:w="8595" w:type="dxa"/>
            <w:vMerge w:val="continue"/>
            <w:noWrap w:val="0"/>
            <w:vAlign w:val="top"/>
          </w:tcPr>
          <w:p w14:paraId="36E5236B">
            <w:pPr>
              <w:keepNext w:val="0"/>
              <w:keepLines w:val="0"/>
              <w:suppressLineNumbers w:val="0"/>
              <w:spacing w:before="0" w:beforeAutospacing="0" w:after="0" w:afterAutospacing="0" w:line="360" w:lineRule="auto"/>
              <w:ind w:left="0" w:right="0" w:firstLine="480" w:firstLineChars="200"/>
              <w:rPr>
                <w:rFonts w:hint="default" w:eastAsia="宋体"/>
                <w:color w:val="auto"/>
                <w:sz w:val="24"/>
                <w:lang w:val="en-US" w:eastAsia="zh-CN"/>
              </w:rPr>
            </w:pPr>
          </w:p>
        </w:tc>
      </w:tr>
    </w:tbl>
    <w:p w14:paraId="522C2C86">
      <w:pPr>
        <w:rPr>
          <w:color w:val="auto"/>
        </w:rPr>
      </w:pPr>
      <w:bookmarkStart w:id="46" w:name="_Toc12951"/>
      <w:bookmarkStart w:id="47" w:name="_Toc1654"/>
      <w:r>
        <w:rPr>
          <w:color w:val="auto"/>
        </w:rPr>
        <w:br w:type="page"/>
      </w:r>
    </w:p>
    <w:p w14:paraId="75088E28">
      <w:pPr>
        <w:pStyle w:val="2"/>
        <w:tabs>
          <w:tab w:val="left" w:pos="420"/>
          <w:tab w:val="clear" w:pos="715"/>
        </w:tabs>
        <w:bidi w:val="0"/>
      </w:pPr>
      <w:bookmarkStart w:id="48" w:name="_Hlk54167917"/>
      <w:r>
        <w:t>环境保护措施监督检查清单</w:t>
      </w:r>
      <w:bookmarkEnd w:id="46"/>
      <w:bookmarkEnd w:id="47"/>
      <w:bookmarkEnd w:id="48"/>
    </w:p>
    <w:tbl>
      <w:tblPr>
        <w:tblStyle w:val="29"/>
        <w:tblW w:w="902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02"/>
        <w:gridCol w:w="1477"/>
        <w:gridCol w:w="1459"/>
        <w:gridCol w:w="2141"/>
        <w:gridCol w:w="2746"/>
      </w:tblGrid>
      <w:tr w14:paraId="396760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dxa"/>
            <w:tcBorders>
              <w:tl2br w:val="single" w:color="auto" w:sz="4" w:space="0"/>
            </w:tcBorders>
            <w:noWrap w:val="0"/>
            <w:vAlign w:val="top"/>
          </w:tcPr>
          <w:p w14:paraId="41152081">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内容</w:t>
            </w:r>
          </w:p>
          <w:p w14:paraId="4BD49D3F">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要素</w:t>
            </w:r>
          </w:p>
        </w:tc>
        <w:tc>
          <w:tcPr>
            <w:tcW w:w="1477" w:type="dxa"/>
            <w:noWrap w:val="0"/>
            <w:vAlign w:val="center"/>
          </w:tcPr>
          <w:p w14:paraId="3AF6E83A">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排放口</w:t>
            </w:r>
            <w:r>
              <w:rPr>
                <w:rFonts w:hint="eastAsia"/>
                <w:szCs w:val="22"/>
                <w:lang w:val="en-GB" w:eastAsia="zh-CN"/>
              </w:rPr>
              <w:t>（</w:t>
            </w:r>
            <w:r>
              <w:rPr>
                <w:rFonts w:hint="default"/>
                <w:szCs w:val="22"/>
                <w:lang w:val="en-GB" w:eastAsia="zh-CN"/>
              </w:rPr>
              <w:t>编号、名称</w:t>
            </w:r>
            <w:r>
              <w:rPr>
                <w:rFonts w:hint="eastAsia"/>
                <w:szCs w:val="22"/>
                <w:lang w:val="en-GB" w:eastAsia="zh-CN"/>
              </w:rPr>
              <w:t>）</w:t>
            </w:r>
            <w:r>
              <w:rPr>
                <w:rFonts w:hint="default"/>
                <w:szCs w:val="22"/>
                <w:lang w:val="en-GB" w:eastAsia="zh-CN"/>
              </w:rPr>
              <w:t>/污染源</w:t>
            </w:r>
          </w:p>
        </w:tc>
        <w:tc>
          <w:tcPr>
            <w:tcW w:w="1459" w:type="dxa"/>
            <w:noWrap w:val="0"/>
            <w:vAlign w:val="center"/>
          </w:tcPr>
          <w:p w14:paraId="439F027B">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污染物项目</w:t>
            </w:r>
          </w:p>
        </w:tc>
        <w:tc>
          <w:tcPr>
            <w:tcW w:w="2141" w:type="dxa"/>
            <w:noWrap w:val="0"/>
            <w:vAlign w:val="center"/>
          </w:tcPr>
          <w:p w14:paraId="326D2A5F">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环境保护措施</w:t>
            </w:r>
          </w:p>
        </w:tc>
        <w:tc>
          <w:tcPr>
            <w:tcW w:w="2746" w:type="dxa"/>
            <w:noWrap w:val="0"/>
            <w:vAlign w:val="center"/>
          </w:tcPr>
          <w:p w14:paraId="7721F357">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执行标准</w:t>
            </w:r>
          </w:p>
        </w:tc>
      </w:tr>
      <w:tr w14:paraId="013B7A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202" w:type="dxa"/>
            <w:vMerge w:val="restart"/>
            <w:noWrap w:val="0"/>
            <w:vAlign w:val="center"/>
          </w:tcPr>
          <w:p w14:paraId="28761A16">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大气环境</w:t>
            </w:r>
          </w:p>
        </w:tc>
        <w:tc>
          <w:tcPr>
            <w:tcW w:w="1477" w:type="dxa"/>
            <w:vMerge w:val="restart"/>
            <w:noWrap w:val="0"/>
            <w:vAlign w:val="center"/>
          </w:tcPr>
          <w:p w14:paraId="24810439">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生产线1#喷漆、烘干、加烤工序（DA001）</w:t>
            </w:r>
          </w:p>
        </w:tc>
        <w:tc>
          <w:tcPr>
            <w:tcW w:w="1459" w:type="dxa"/>
            <w:noWrap w:val="0"/>
            <w:vAlign w:val="center"/>
          </w:tcPr>
          <w:p w14:paraId="2F01381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eastAsia="zh-CN"/>
              </w:rPr>
              <w:t>颗粒物</w:t>
            </w:r>
          </w:p>
        </w:tc>
        <w:tc>
          <w:tcPr>
            <w:tcW w:w="2141" w:type="dxa"/>
            <w:vMerge w:val="restart"/>
            <w:noWrap w:val="0"/>
            <w:vAlign w:val="center"/>
          </w:tcPr>
          <w:p w14:paraId="679ACFC1">
            <w:pPr>
              <w:pStyle w:val="38"/>
              <w:keepNext w:val="0"/>
              <w:keepLines w:val="0"/>
              <w:widowControl/>
              <w:suppressLineNumbers w:val="0"/>
              <w:bidi w:val="0"/>
              <w:spacing w:before="0" w:beforeAutospacing="0" w:after="0" w:afterAutospacing="0"/>
              <w:ind w:left="0" w:right="0"/>
              <w:jc w:val="both"/>
              <w:rPr>
                <w:rFonts w:hint="default"/>
                <w:szCs w:val="22"/>
                <w:lang w:val="en-US" w:eastAsia="zh-CN"/>
              </w:rPr>
            </w:pPr>
            <w:r>
              <w:rPr>
                <w:rFonts w:hint="eastAsia"/>
                <w:szCs w:val="22"/>
                <w:lang w:val="en-US" w:eastAsia="zh-CN"/>
              </w:rPr>
              <w:t>生产线1#：</w:t>
            </w:r>
            <w:r>
              <w:rPr>
                <w:rFonts w:hint="eastAsia"/>
                <w:szCs w:val="22"/>
              </w:rPr>
              <w:t>烘干</w:t>
            </w:r>
            <w:r>
              <w:rPr>
                <w:rFonts w:hint="eastAsia"/>
                <w:szCs w:val="22"/>
                <w:lang w:val="en-US" w:eastAsia="zh-CN"/>
              </w:rPr>
              <w:t>废气及加烤废气各自经密闭管道集气收集，然后与经水帘柜净化后的喷漆废气一起并入</w:t>
            </w:r>
            <w:r>
              <w:rPr>
                <w:rFonts w:hint="eastAsia"/>
                <w:szCs w:val="22"/>
                <w:lang w:eastAsia="zh-CN"/>
              </w:rPr>
              <w:t>“</w:t>
            </w:r>
            <w:r>
              <w:rPr>
                <w:rFonts w:hint="eastAsia"/>
                <w:szCs w:val="22"/>
              </w:rPr>
              <w:t>过滤棉+活性炭吸附装置</w:t>
            </w:r>
            <w:r>
              <w:rPr>
                <w:rFonts w:hint="eastAsia"/>
                <w:szCs w:val="22"/>
                <w:lang w:val="en-US" w:eastAsia="zh-CN"/>
              </w:rPr>
              <w:t>”1#处理达标后通过一根</w:t>
            </w:r>
            <w:r>
              <w:rPr>
                <w:rFonts w:hint="default"/>
                <w:szCs w:val="22"/>
                <w:lang w:val="en-US" w:eastAsia="zh-CN"/>
              </w:rPr>
              <w:t>15m高排气筒</w:t>
            </w:r>
            <w:r>
              <w:rPr>
                <w:rFonts w:hint="eastAsia"/>
                <w:szCs w:val="22"/>
                <w:lang w:val="en-US" w:eastAsia="zh-CN"/>
              </w:rPr>
              <w:t>（DA001）排放；</w:t>
            </w:r>
          </w:p>
        </w:tc>
        <w:tc>
          <w:tcPr>
            <w:tcW w:w="2746" w:type="dxa"/>
            <w:tcBorders>
              <w:bottom w:val="single" w:color="000000" w:sz="4" w:space="0"/>
            </w:tcBorders>
            <w:noWrap w:val="0"/>
            <w:vAlign w:val="center"/>
          </w:tcPr>
          <w:p w14:paraId="0B60E601">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GB" w:eastAsia="zh-CN"/>
              </w:rPr>
              <w:t>执行</w:t>
            </w:r>
            <w:r>
              <w:rPr>
                <w:rFonts w:hint="default"/>
                <w:szCs w:val="22"/>
                <w:lang w:val="en-US" w:eastAsia="zh-CN"/>
              </w:rPr>
              <w:t>GB16297-1996《大气污染物综合排放标准》表2中二级标准</w:t>
            </w:r>
            <w:r>
              <w:rPr>
                <w:rFonts w:hint="eastAsia"/>
                <w:szCs w:val="22"/>
                <w:lang w:val="en-US" w:eastAsia="zh-CN"/>
              </w:rPr>
              <w:t>（颗粒物</w:t>
            </w:r>
            <w:r>
              <w:rPr>
                <w:rFonts w:hint="default"/>
                <w:szCs w:val="22"/>
                <w:lang w:val="en-US" w:eastAsia="zh-CN"/>
              </w:rPr>
              <w:t>≤</w:t>
            </w:r>
            <w:r>
              <w:rPr>
                <w:rFonts w:hint="eastAsia"/>
                <w:szCs w:val="22"/>
                <w:lang w:val="en-US" w:eastAsia="zh-CN"/>
              </w:rPr>
              <w:t>120</w:t>
            </w:r>
            <w:r>
              <w:rPr>
                <w:rFonts w:hint="default"/>
                <w:szCs w:val="22"/>
                <w:lang w:val="en-US" w:eastAsia="zh-CN"/>
              </w:rPr>
              <w:t>mg/m</w:t>
            </w:r>
            <w:r>
              <w:rPr>
                <w:rFonts w:hint="default"/>
                <w:szCs w:val="22"/>
                <w:vertAlign w:val="superscript"/>
                <w:lang w:val="en-US" w:eastAsia="zh-CN"/>
              </w:rPr>
              <w:t>3</w:t>
            </w:r>
            <w:r>
              <w:rPr>
                <w:rFonts w:hint="eastAsia"/>
                <w:szCs w:val="22"/>
                <w:lang w:val="en-US" w:eastAsia="zh-CN"/>
              </w:rPr>
              <w:t>）</w:t>
            </w:r>
          </w:p>
        </w:tc>
      </w:tr>
      <w:tr w14:paraId="3B8FA6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202" w:type="dxa"/>
            <w:vMerge w:val="continue"/>
            <w:noWrap w:val="0"/>
            <w:vAlign w:val="center"/>
          </w:tcPr>
          <w:p w14:paraId="161A45CC">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77" w:type="dxa"/>
            <w:vMerge w:val="continue"/>
            <w:noWrap w:val="0"/>
            <w:vAlign w:val="center"/>
          </w:tcPr>
          <w:p w14:paraId="57B4B9E3">
            <w:pPr>
              <w:pStyle w:val="38"/>
              <w:keepNext w:val="0"/>
              <w:keepLines w:val="0"/>
              <w:widowControl/>
              <w:suppressLineNumbers w:val="0"/>
              <w:bidi w:val="0"/>
              <w:spacing w:before="0" w:beforeAutospacing="0" w:after="0" w:afterAutospacing="0"/>
              <w:ind w:left="0" w:right="0"/>
              <w:rPr>
                <w:rFonts w:hint="eastAsia"/>
                <w:szCs w:val="22"/>
                <w:lang w:val="en-US" w:eastAsia="zh-CN"/>
              </w:rPr>
            </w:pPr>
          </w:p>
        </w:tc>
        <w:tc>
          <w:tcPr>
            <w:tcW w:w="1459" w:type="dxa"/>
            <w:noWrap w:val="0"/>
            <w:vAlign w:val="center"/>
          </w:tcPr>
          <w:p w14:paraId="298CD15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非甲烷总烃</w:t>
            </w:r>
          </w:p>
        </w:tc>
        <w:tc>
          <w:tcPr>
            <w:tcW w:w="2141" w:type="dxa"/>
            <w:vMerge w:val="continue"/>
            <w:noWrap w:val="0"/>
            <w:vAlign w:val="center"/>
          </w:tcPr>
          <w:p w14:paraId="1DAF2244">
            <w:pPr>
              <w:pStyle w:val="38"/>
              <w:keepNext w:val="0"/>
              <w:keepLines w:val="0"/>
              <w:widowControl/>
              <w:suppressLineNumbers w:val="0"/>
              <w:bidi w:val="0"/>
              <w:spacing w:before="0" w:beforeAutospacing="0" w:after="0" w:afterAutospacing="0"/>
              <w:ind w:left="0" w:right="0"/>
              <w:rPr>
                <w:rFonts w:hint="default"/>
                <w:szCs w:val="22"/>
                <w:lang w:val="en-US" w:eastAsia="zh-CN"/>
              </w:rPr>
            </w:pPr>
          </w:p>
        </w:tc>
        <w:tc>
          <w:tcPr>
            <w:tcW w:w="2746" w:type="dxa"/>
            <w:noWrap w:val="0"/>
            <w:vAlign w:val="center"/>
          </w:tcPr>
          <w:p w14:paraId="213266EA">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执行《工业涂装工序挥发性有机物排放标准》（DB35/1783-2018）表1标准中的涉涂装工序的其它行业的标准限值</w:t>
            </w:r>
            <w:r>
              <w:rPr>
                <w:rFonts w:hint="eastAsia"/>
                <w:szCs w:val="22"/>
                <w:lang w:val="en-GB" w:eastAsia="zh-CN"/>
              </w:rPr>
              <w:t>（</w:t>
            </w:r>
            <w:r>
              <w:rPr>
                <w:rFonts w:hint="default"/>
                <w:szCs w:val="22"/>
                <w:lang w:val="en-US" w:eastAsia="zh-CN"/>
              </w:rPr>
              <w:t>非甲烷总烃≤</w:t>
            </w:r>
            <w:r>
              <w:rPr>
                <w:rFonts w:hint="eastAsia"/>
                <w:szCs w:val="22"/>
                <w:lang w:val="en-US" w:eastAsia="zh-CN"/>
              </w:rPr>
              <w:t>60</w:t>
            </w:r>
            <w:r>
              <w:rPr>
                <w:rFonts w:hint="default"/>
                <w:szCs w:val="22"/>
                <w:lang w:val="en-US" w:eastAsia="zh-CN"/>
              </w:rPr>
              <w:t>mg/m</w:t>
            </w:r>
            <w:r>
              <w:rPr>
                <w:rFonts w:hint="default"/>
                <w:szCs w:val="22"/>
                <w:vertAlign w:val="superscript"/>
                <w:lang w:val="en-US" w:eastAsia="zh-CN"/>
              </w:rPr>
              <w:t>3</w:t>
            </w:r>
            <w:r>
              <w:rPr>
                <w:rFonts w:hint="eastAsia"/>
                <w:szCs w:val="22"/>
                <w:lang w:val="en-GB" w:eastAsia="zh-CN"/>
              </w:rPr>
              <w:t>）</w:t>
            </w:r>
          </w:p>
        </w:tc>
      </w:tr>
      <w:tr w14:paraId="7A74DB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202" w:type="dxa"/>
            <w:vMerge w:val="continue"/>
            <w:noWrap w:val="0"/>
            <w:vAlign w:val="center"/>
          </w:tcPr>
          <w:p w14:paraId="4D32C2F0">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77" w:type="dxa"/>
            <w:vMerge w:val="restart"/>
            <w:noWrap w:val="0"/>
            <w:vAlign w:val="center"/>
          </w:tcPr>
          <w:p w14:paraId="32EB192E">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生产线2#喷漆、烘干、加烤工序（DA002）</w:t>
            </w:r>
          </w:p>
        </w:tc>
        <w:tc>
          <w:tcPr>
            <w:tcW w:w="1459" w:type="dxa"/>
            <w:noWrap w:val="0"/>
            <w:vAlign w:val="center"/>
          </w:tcPr>
          <w:p w14:paraId="2CF704BC">
            <w:pPr>
              <w:pStyle w:val="38"/>
              <w:keepNext w:val="0"/>
              <w:keepLines w:val="0"/>
              <w:widowControl/>
              <w:suppressLineNumbers w:val="0"/>
              <w:bidi w:val="0"/>
              <w:spacing w:before="0" w:beforeAutospacing="0" w:after="0" w:afterAutospacing="0"/>
              <w:ind w:left="0" w:leftChars="0" w:right="0" w:rightChars="0"/>
              <w:rPr>
                <w:rFonts w:hint="default"/>
                <w:szCs w:val="22"/>
                <w:lang w:val="en-US" w:eastAsia="zh-CN"/>
              </w:rPr>
            </w:pPr>
            <w:r>
              <w:rPr>
                <w:rFonts w:hint="default"/>
                <w:szCs w:val="22"/>
                <w:lang w:eastAsia="zh-CN"/>
              </w:rPr>
              <w:t>颗粒物</w:t>
            </w:r>
          </w:p>
        </w:tc>
        <w:tc>
          <w:tcPr>
            <w:tcW w:w="2141" w:type="dxa"/>
            <w:vMerge w:val="restart"/>
            <w:noWrap w:val="0"/>
            <w:vAlign w:val="center"/>
          </w:tcPr>
          <w:p w14:paraId="14B4266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生产线2#、生产线3#：</w:t>
            </w:r>
            <w:r>
              <w:rPr>
                <w:rFonts w:hint="eastAsia"/>
                <w:szCs w:val="22"/>
              </w:rPr>
              <w:t>烘干</w:t>
            </w:r>
            <w:r>
              <w:rPr>
                <w:rFonts w:hint="eastAsia"/>
                <w:szCs w:val="22"/>
                <w:lang w:val="en-US" w:eastAsia="zh-CN"/>
              </w:rPr>
              <w:t>废气、加烤废气各自经密闭管道集气收集，然后与经水帘柜净化后的喷漆废气一起并入</w:t>
            </w:r>
            <w:r>
              <w:rPr>
                <w:rFonts w:hint="eastAsia"/>
                <w:szCs w:val="22"/>
                <w:lang w:eastAsia="zh-CN"/>
              </w:rPr>
              <w:t>“</w:t>
            </w:r>
            <w:r>
              <w:rPr>
                <w:rFonts w:hint="eastAsia"/>
                <w:szCs w:val="22"/>
              </w:rPr>
              <w:t>过滤棉+活性炭吸附装置</w:t>
            </w:r>
            <w:r>
              <w:rPr>
                <w:rFonts w:hint="eastAsia"/>
                <w:szCs w:val="22"/>
                <w:lang w:val="en-US" w:eastAsia="zh-CN"/>
              </w:rPr>
              <w:t>”2#处理达标后通过一根</w:t>
            </w:r>
            <w:r>
              <w:rPr>
                <w:rFonts w:hint="default"/>
                <w:szCs w:val="22"/>
                <w:lang w:val="en-US" w:eastAsia="zh-CN"/>
              </w:rPr>
              <w:t>15m高排气筒</w:t>
            </w:r>
            <w:r>
              <w:rPr>
                <w:rFonts w:hint="eastAsia"/>
                <w:szCs w:val="22"/>
                <w:lang w:val="en-US" w:eastAsia="zh-CN"/>
              </w:rPr>
              <w:t>（DA002）排放；</w:t>
            </w:r>
          </w:p>
        </w:tc>
        <w:tc>
          <w:tcPr>
            <w:tcW w:w="2746" w:type="dxa"/>
            <w:noWrap w:val="0"/>
            <w:vAlign w:val="center"/>
          </w:tcPr>
          <w:p w14:paraId="3E740D11">
            <w:pPr>
              <w:pStyle w:val="38"/>
              <w:keepNext w:val="0"/>
              <w:keepLines w:val="0"/>
              <w:widowControl/>
              <w:suppressLineNumbers w:val="0"/>
              <w:bidi w:val="0"/>
              <w:spacing w:before="0" w:beforeAutospacing="0" w:after="0" w:afterAutospacing="0"/>
              <w:ind w:left="0" w:leftChars="0" w:right="0" w:rightChars="0"/>
              <w:rPr>
                <w:rFonts w:hint="default"/>
                <w:szCs w:val="22"/>
                <w:lang w:val="en-GB" w:eastAsia="zh-CN"/>
              </w:rPr>
            </w:pPr>
            <w:r>
              <w:rPr>
                <w:rFonts w:hint="default"/>
                <w:szCs w:val="22"/>
                <w:lang w:val="en-GB" w:eastAsia="zh-CN"/>
              </w:rPr>
              <w:t>执行</w:t>
            </w:r>
            <w:r>
              <w:rPr>
                <w:rFonts w:hint="default"/>
                <w:szCs w:val="22"/>
                <w:lang w:val="en-US" w:eastAsia="zh-CN"/>
              </w:rPr>
              <w:t>GB16297-1996《大气污染物综合排放标准》表2中二级标准</w:t>
            </w:r>
            <w:r>
              <w:rPr>
                <w:rFonts w:hint="eastAsia"/>
                <w:szCs w:val="22"/>
                <w:lang w:val="en-US" w:eastAsia="zh-CN"/>
              </w:rPr>
              <w:t>（颗粒物</w:t>
            </w:r>
            <w:r>
              <w:rPr>
                <w:rFonts w:hint="default"/>
                <w:szCs w:val="22"/>
                <w:lang w:val="en-US" w:eastAsia="zh-CN"/>
              </w:rPr>
              <w:t>≤</w:t>
            </w:r>
            <w:r>
              <w:rPr>
                <w:rFonts w:hint="eastAsia"/>
                <w:szCs w:val="22"/>
                <w:lang w:val="en-US" w:eastAsia="zh-CN"/>
              </w:rPr>
              <w:t>120</w:t>
            </w:r>
            <w:r>
              <w:rPr>
                <w:rFonts w:hint="default"/>
                <w:szCs w:val="22"/>
                <w:lang w:val="en-US" w:eastAsia="zh-CN"/>
              </w:rPr>
              <w:t>mg/m</w:t>
            </w:r>
            <w:r>
              <w:rPr>
                <w:rFonts w:hint="default"/>
                <w:szCs w:val="22"/>
                <w:vertAlign w:val="superscript"/>
                <w:lang w:val="en-US" w:eastAsia="zh-CN"/>
              </w:rPr>
              <w:t>3</w:t>
            </w:r>
            <w:r>
              <w:rPr>
                <w:rFonts w:hint="eastAsia"/>
                <w:szCs w:val="22"/>
                <w:lang w:val="en-US" w:eastAsia="zh-CN"/>
              </w:rPr>
              <w:t>）</w:t>
            </w:r>
          </w:p>
        </w:tc>
      </w:tr>
      <w:tr w14:paraId="538FF1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202" w:type="dxa"/>
            <w:vMerge w:val="continue"/>
            <w:noWrap w:val="0"/>
            <w:vAlign w:val="center"/>
          </w:tcPr>
          <w:p w14:paraId="634FF22E">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77" w:type="dxa"/>
            <w:vMerge w:val="continue"/>
            <w:noWrap w:val="0"/>
            <w:vAlign w:val="center"/>
          </w:tcPr>
          <w:p w14:paraId="342117EE">
            <w:pPr>
              <w:pStyle w:val="38"/>
              <w:keepNext w:val="0"/>
              <w:keepLines w:val="0"/>
              <w:widowControl/>
              <w:suppressLineNumbers w:val="0"/>
              <w:bidi w:val="0"/>
              <w:spacing w:before="0" w:beforeAutospacing="0" w:after="0" w:afterAutospacing="0"/>
              <w:ind w:left="0" w:right="0"/>
              <w:rPr>
                <w:rFonts w:hint="default"/>
                <w:szCs w:val="22"/>
                <w:lang w:val="en-US" w:eastAsia="zh-CN"/>
              </w:rPr>
            </w:pPr>
          </w:p>
        </w:tc>
        <w:tc>
          <w:tcPr>
            <w:tcW w:w="1459" w:type="dxa"/>
            <w:noWrap w:val="0"/>
            <w:vAlign w:val="center"/>
          </w:tcPr>
          <w:p w14:paraId="5ACB93B2">
            <w:pPr>
              <w:pStyle w:val="38"/>
              <w:keepNext w:val="0"/>
              <w:keepLines w:val="0"/>
              <w:widowControl/>
              <w:suppressLineNumbers w:val="0"/>
              <w:bidi w:val="0"/>
              <w:spacing w:before="0" w:beforeAutospacing="0" w:after="0" w:afterAutospacing="0"/>
              <w:ind w:left="0" w:leftChars="0" w:right="0" w:rightChars="0"/>
              <w:rPr>
                <w:rFonts w:hint="eastAsia"/>
                <w:szCs w:val="22"/>
                <w:lang w:val="en-US" w:eastAsia="zh-CN"/>
              </w:rPr>
            </w:pPr>
            <w:r>
              <w:rPr>
                <w:rFonts w:hint="default"/>
                <w:szCs w:val="22"/>
                <w:lang w:val="en-US" w:eastAsia="zh-CN"/>
              </w:rPr>
              <w:t>非甲烷总烃</w:t>
            </w:r>
          </w:p>
        </w:tc>
        <w:tc>
          <w:tcPr>
            <w:tcW w:w="2141" w:type="dxa"/>
            <w:vMerge w:val="continue"/>
            <w:noWrap w:val="0"/>
            <w:vAlign w:val="center"/>
          </w:tcPr>
          <w:p w14:paraId="6439937D">
            <w:pPr>
              <w:pStyle w:val="38"/>
              <w:keepNext w:val="0"/>
              <w:keepLines w:val="0"/>
              <w:widowControl/>
              <w:suppressLineNumbers w:val="0"/>
              <w:bidi w:val="0"/>
              <w:spacing w:before="0" w:beforeAutospacing="0" w:after="0" w:afterAutospacing="0"/>
              <w:ind w:left="0" w:right="0"/>
              <w:rPr>
                <w:rFonts w:hint="default"/>
                <w:szCs w:val="22"/>
                <w:lang w:val="en-US" w:eastAsia="zh-CN"/>
              </w:rPr>
            </w:pPr>
          </w:p>
        </w:tc>
        <w:tc>
          <w:tcPr>
            <w:tcW w:w="2746" w:type="dxa"/>
            <w:noWrap w:val="0"/>
            <w:vAlign w:val="center"/>
          </w:tcPr>
          <w:p w14:paraId="21B3FDDA">
            <w:pPr>
              <w:pStyle w:val="38"/>
              <w:keepNext w:val="0"/>
              <w:keepLines w:val="0"/>
              <w:widowControl/>
              <w:suppressLineNumbers w:val="0"/>
              <w:bidi w:val="0"/>
              <w:spacing w:before="0" w:beforeAutospacing="0" w:after="0" w:afterAutospacing="0"/>
              <w:ind w:left="0" w:leftChars="0" w:right="0" w:rightChars="0"/>
              <w:rPr>
                <w:rFonts w:hint="default"/>
                <w:szCs w:val="22"/>
                <w:lang w:val="en-GB" w:eastAsia="zh-CN"/>
              </w:rPr>
            </w:pPr>
            <w:r>
              <w:rPr>
                <w:rFonts w:hint="default"/>
                <w:szCs w:val="22"/>
                <w:lang w:val="en-GB" w:eastAsia="zh-CN"/>
              </w:rPr>
              <w:t>执行《工业涂装工序挥发性有机物排放标准》（DB35/1783-2018）表1标准中的涉涂装工序的其它行业的标准限值</w:t>
            </w:r>
            <w:r>
              <w:rPr>
                <w:rFonts w:hint="eastAsia"/>
                <w:szCs w:val="22"/>
                <w:lang w:val="en-GB" w:eastAsia="zh-CN"/>
              </w:rPr>
              <w:t>（</w:t>
            </w:r>
            <w:r>
              <w:rPr>
                <w:rFonts w:hint="default"/>
                <w:szCs w:val="22"/>
                <w:lang w:val="en-US" w:eastAsia="zh-CN"/>
              </w:rPr>
              <w:t>非甲烷总烃≤</w:t>
            </w:r>
            <w:r>
              <w:rPr>
                <w:rFonts w:hint="eastAsia"/>
                <w:szCs w:val="22"/>
                <w:lang w:val="en-US" w:eastAsia="zh-CN"/>
              </w:rPr>
              <w:t>60</w:t>
            </w:r>
            <w:r>
              <w:rPr>
                <w:rFonts w:hint="default"/>
                <w:szCs w:val="22"/>
                <w:lang w:val="en-US" w:eastAsia="zh-CN"/>
              </w:rPr>
              <w:t>mg/m</w:t>
            </w:r>
            <w:r>
              <w:rPr>
                <w:rFonts w:hint="default"/>
                <w:szCs w:val="22"/>
                <w:vertAlign w:val="superscript"/>
                <w:lang w:val="en-US" w:eastAsia="zh-CN"/>
              </w:rPr>
              <w:t>3</w:t>
            </w:r>
            <w:r>
              <w:rPr>
                <w:rFonts w:hint="eastAsia"/>
                <w:szCs w:val="22"/>
                <w:lang w:val="en-GB" w:eastAsia="zh-CN"/>
              </w:rPr>
              <w:t>）</w:t>
            </w:r>
          </w:p>
        </w:tc>
      </w:tr>
      <w:tr w14:paraId="0D8C75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202" w:type="dxa"/>
            <w:vMerge w:val="continue"/>
            <w:noWrap w:val="0"/>
            <w:vAlign w:val="center"/>
          </w:tcPr>
          <w:p w14:paraId="26883472">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77" w:type="dxa"/>
            <w:vMerge w:val="restart"/>
            <w:noWrap w:val="0"/>
            <w:vAlign w:val="center"/>
          </w:tcPr>
          <w:p w14:paraId="1267F364">
            <w:pPr>
              <w:pStyle w:val="38"/>
              <w:keepNext w:val="0"/>
              <w:keepLines w:val="0"/>
              <w:widowControl/>
              <w:suppressLineNumbers w:val="0"/>
              <w:bidi w:val="0"/>
              <w:spacing w:before="0" w:beforeAutospacing="0" w:after="0" w:afterAutospacing="0"/>
              <w:ind w:left="0" w:leftChars="0" w:right="0" w:rightChars="0"/>
              <w:rPr>
                <w:rFonts w:hint="default"/>
                <w:szCs w:val="22"/>
                <w:lang w:val="en-US" w:eastAsia="zh-CN"/>
              </w:rPr>
            </w:pPr>
            <w:r>
              <w:rPr>
                <w:rFonts w:hint="eastAsia" w:cs="Times New Roman"/>
                <w:color w:val="auto"/>
                <w:kern w:val="0"/>
                <w:sz w:val="24"/>
                <w:szCs w:val="24"/>
                <w:lang w:val="en-US" w:eastAsia="zh-CN" w:bidi="ar-SA"/>
              </w:rPr>
              <w:t>生产线3#</w:t>
            </w:r>
            <w:r>
              <w:rPr>
                <w:rFonts w:hint="eastAsia"/>
                <w:szCs w:val="22"/>
                <w:lang w:val="en-US" w:eastAsia="zh-CN"/>
              </w:rPr>
              <w:t>喷漆、烘干、加烤工序（DA003）</w:t>
            </w:r>
          </w:p>
        </w:tc>
        <w:tc>
          <w:tcPr>
            <w:tcW w:w="1459" w:type="dxa"/>
            <w:noWrap w:val="0"/>
            <w:vAlign w:val="center"/>
          </w:tcPr>
          <w:p w14:paraId="37D48B7D">
            <w:pPr>
              <w:pStyle w:val="38"/>
              <w:keepNext w:val="0"/>
              <w:keepLines w:val="0"/>
              <w:widowControl/>
              <w:suppressLineNumbers w:val="0"/>
              <w:bidi w:val="0"/>
              <w:spacing w:before="0" w:beforeAutospacing="0" w:after="0" w:afterAutospacing="0"/>
              <w:ind w:left="0" w:leftChars="0" w:right="0" w:rightChars="0"/>
              <w:rPr>
                <w:rFonts w:hint="default"/>
                <w:szCs w:val="22"/>
                <w:lang w:val="en-US" w:eastAsia="zh-CN"/>
              </w:rPr>
            </w:pPr>
            <w:r>
              <w:rPr>
                <w:rFonts w:hint="default"/>
                <w:szCs w:val="22"/>
                <w:lang w:eastAsia="zh-CN"/>
              </w:rPr>
              <w:t>颗粒物</w:t>
            </w:r>
          </w:p>
        </w:tc>
        <w:tc>
          <w:tcPr>
            <w:tcW w:w="2141" w:type="dxa"/>
            <w:vMerge w:val="restart"/>
            <w:noWrap w:val="0"/>
            <w:vAlign w:val="center"/>
          </w:tcPr>
          <w:p w14:paraId="7932B43F">
            <w:pPr>
              <w:pStyle w:val="38"/>
              <w:keepNext w:val="0"/>
              <w:keepLines w:val="0"/>
              <w:widowControl/>
              <w:suppressLineNumbers w:val="0"/>
              <w:bidi w:val="0"/>
              <w:spacing w:before="0" w:beforeAutospacing="0" w:after="0" w:afterAutospacing="0"/>
              <w:ind w:left="0" w:leftChars="0" w:right="0" w:rightChars="0"/>
              <w:rPr>
                <w:rFonts w:hint="default"/>
                <w:szCs w:val="22"/>
                <w:lang w:val="en-US" w:eastAsia="zh-CN"/>
              </w:rPr>
            </w:pPr>
            <w:r>
              <w:rPr>
                <w:rFonts w:hint="eastAsia"/>
                <w:szCs w:val="22"/>
                <w:lang w:val="en-US" w:eastAsia="zh-CN"/>
              </w:rPr>
              <w:t>生产线3#：</w:t>
            </w:r>
            <w:r>
              <w:rPr>
                <w:rFonts w:hint="eastAsia"/>
                <w:szCs w:val="22"/>
              </w:rPr>
              <w:t>烘干</w:t>
            </w:r>
            <w:r>
              <w:rPr>
                <w:rFonts w:hint="eastAsia"/>
                <w:szCs w:val="22"/>
                <w:lang w:val="en-US" w:eastAsia="zh-CN"/>
              </w:rPr>
              <w:t>废气、加烤废气各自经密闭管道集气收集，然后与经水帘柜净化后的喷漆废气一起并入</w:t>
            </w:r>
            <w:r>
              <w:rPr>
                <w:rFonts w:hint="eastAsia"/>
                <w:szCs w:val="22"/>
                <w:lang w:eastAsia="zh-CN"/>
              </w:rPr>
              <w:t>“</w:t>
            </w:r>
            <w:r>
              <w:rPr>
                <w:rFonts w:hint="eastAsia"/>
                <w:szCs w:val="22"/>
              </w:rPr>
              <w:t>过滤棉+活性炭吸附装</w:t>
            </w:r>
            <w:r>
              <w:rPr>
                <w:rFonts w:hint="eastAsia"/>
                <w:szCs w:val="22"/>
                <w:lang w:eastAsia="zh-CN"/>
              </w:rPr>
              <w:t>”</w:t>
            </w:r>
            <w:r>
              <w:rPr>
                <w:rFonts w:hint="eastAsia"/>
                <w:szCs w:val="22"/>
                <w:lang w:val="en-US" w:eastAsia="zh-CN"/>
              </w:rPr>
              <w:t>3#处理达标后通过一根</w:t>
            </w:r>
            <w:r>
              <w:rPr>
                <w:rFonts w:hint="default"/>
                <w:szCs w:val="22"/>
                <w:lang w:val="en-US" w:eastAsia="zh-CN"/>
              </w:rPr>
              <w:t>15m高排气筒</w:t>
            </w:r>
            <w:r>
              <w:rPr>
                <w:rFonts w:hint="eastAsia"/>
                <w:szCs w:val="22"/>
                <w:lang w:val="en-US" w:eastAsia="zh-CN"/>
              </w:rPr>
              <w:t>（DA003）排放；</w:t>
            </w:r>
          </w:p>
        </w:tc>
        <w:tc>
          <w:tcPr>
            <w:tcW w:w="2746" w:type="dxa"/>
            <w:noWrap w:val="0"/>
            <w:vAlign w:val="center"/>
          </w:tcPr>
          <w:p w14:paraId="4C20B719">
            <w:pPr>
              <w:pStyle w:val="38"/>
              <w:keepNext w:val="0"/>
              <w:keepLines w:val="0"/>
              <w:widowControl/>
              <w:suppressLineNumbers w:val="0"/>
              <w:bidi w:val="0"/>
              <w:spacing w:before="0" w:beforeAutospacing="0" w:after="0" w:afterAutospacing="0"/>
              <w:ind w:left="0" w:leftChars="0" w:right="0" w:rightChars="0"/>
              <w:rPr>
                <w:rFonts w:hint="default"/>
                <w:szCs w:val="22"/>
                <w:lang w:val="en-GB" w:eastAsia="zh-CN"/>
              </w:rPr>
            </w:pPr>
            <w:r>
              <w:rPr>
                <w:rFonts w:hint="default"/>
                <w:szCs w:val="22"/>
                <w:lang w:val="en-GB" w:eastAsia="zh-CN"/>
              </w:rPr>
              <w:t>执行</w:t>
            </w:r>
            <w:r>
              <w:rPr>
                <w:rFonts w:hint="default"/>
                <w:szCs w:val="22"/>
                <w:lang w:val="en-US" w:eastAsia="zh-CN"/>
              </w:rPr>
              <w:t>GB16297-1996《大气污染物综合排放标准》表2中二级标准</w:t>
            </w:r>
            <w:r>
              <w:rPr>
                <w:rFonts w:hint="eastAsia"/>
                <w:szCs w:val="22"/>
                <w:lang w:val="en-US" w:eastAsia="zh-CN"/>
              </w:rPr>
              <w:t>（颗粒物</w:t>
            </w:r>
            <w:r>
              <w:rPr>
                <w:rFonts w:hint="default"/>
                <w:szCs w:val="22"/>
                <w:lang w:val="en-US" w:eastAsia="zh-CN"/>
              </w:rPr>
              <w:t>≤</w:t>
            </w:r>
            <w:r>
              <w:rPr>
                <w:rFonts w:hint="eastAsia"/>
                <w:szCs w:val="22"/>
                <w:lang w:val="en-US" w:eastAsia="zh-CN"/>
              </w:rPr>
              <w:t>120</w:t>
            </w:r>
            <w:r>
              <w:rPr>
                <w:rFonts w:hint="default"/>
                <w:szCs w:val="22"/>
                <w:lang w:val="en-US" w:eastAsia="zh-CN"/>
              </w:rPr>
              <w:t>mg/m</w:t>
            </w:r>
            <w:r>
              <w:rPr>
                <w:rFonts w:hint="default"/>
                <w:szCs w:val="22"/>
                <w:vertAlign w:val="superscript"/>
                <w:lang w:val="en-US" w:eastAsia="zh-CN"/>
              </w:rPr>
              <w:t>3</w:t>
            </w:r>
            <w:r>
              <w:rPr>
                <w:rFonts w:hint="eastAsia"/>
                <w:szCs w:val="22"/>
                <w:lang w:val="en-US" w:eastAsia="zh-CN"/>
              </w:rPr>
              <w:t>）</w:t>
            </w:r>
          </w:p>
        </w:tc>
      </w:tr>
      <w:tr w14:paraId="7335DD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202" w:type="dxa"/>
            <w:vMerge w:val="continue"/>
            <w:noWrap w:val="0"/>
            <w:vAlign w:val="center"/>
          </w:tcPr>
          <w:p w14:paraId="7CFB23EB">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77" w:type="dxa"/>
            <w:vMerge w:val="continue"/>
            <w:noWrap w:val="0"/>
            <w:vAlign w:val="center"/>
          </w:tcPr>
          <w:p w14:paraId="5DE0990B">
            <w:pPr>
              <w:pStyle w:val="38"/>
              <w:keepNext w:val="0"/>
              <w:keepLines w:val="0"/>
              <w:widowControl/>
              <w:suppressLineNumbers w:val="0"/>
              <w:bidi w:val="0"/>
              <w:spacing w:before="0" w:beforeAutospacing="0" w:after="0" w:afterAutospacing="0"/>
              <w:ind w:left="0" w:leftChars="0" w:right="0" w:rightChars="0"/>
              <w:rPr>
                <w:rFonts w:hint="default"/>
                <w:szCs w:val="22"/>
                <w:lang w:val="en-US" w:eastAsia="zh-CN"/>
              </w:rPr>
            </w:pPr>
          </w:p>
        </w:tc>
        <w:tc>
          <w:tcPr>
            <w:tcW w:w="1459" w:type="dxa"/>
            <w:noWrap w:val="0"/>
            <w:vAlign w:val="center"/>
          </w:tcPr>
          <w:p w14:paraId="37CEB995">
            <w:pPr>
              <w:pStyle w:val="38"/>
              <w:keepNext w:val="0"/>
              <w:keepLines w:val="0"/>
              <w:widowControl/>
              <w:suppressLineNumbers w:val="0"/>
              <w:bidi w:val="0"/>
              <w:spacing w:before="0" w:beforeAutospacing="0" w:after="0" w:afterAutospacing="0"/>
              <w:ind w:left="0" w:leftChars="0" w:right="0" w:rightChars="0"/>
              <w:rPr>
                <w:rFonts w:hint="default"/>
                <w:szCs w:val="22"/>
                <w:lang w:val="en-US" w:eastAsia="zh-CN"/>
              </w:rPr>
            </w:pPr>
            <w:r>
              <w:rPr>
                <w:rFonts w:hint="default"/>
                <w:szCs w:val="22"/>
                <w:lang w:val="en-US" w:eastAsia="zh-CN"/>
              </w:rPr>
              <w:t>非甲烷总烃</w:t>
            </w:r>
          </w:p>
        </w:tc>
        <w:tc>
          <w:tcPr>
            <w:tcW w:w="2141" w:type="dxa"/>
            <w:vMerge w:val="continue"/>
            <w:noWrap w:val="0"/>
            <w:vAlign w:val="center"/>
          </w:tcPr>
          <w:p w14:paraId="5A557150">
            <w:pPr>
              <w:pStyle w:val="38"/>
              <w:keepNext w:val="0"/>
              <w:keepLines w:val="0"/>
              <w:widowControl/>
              <w:suppressLineNumbers w:val="0"/>
              <w:bidi w:val="0"/>
              <w:spacing w:before="0" w:beforeAutospacing="0" w:after="0" w:afterAutospacing="0"/>
              <w:ind w:left="0" w:leftChars="0" w:right="0" w:rightChars="0"/>
              <w:rPr>
                <w:rFonts w:hint="default"/>
                <w:szCs w:val="22"/>
                <w:lang w:val="en-US" w:eastAsia="zh-CN"/>
              </w:rPr>
            </w:pPr>
          </w:p>
        </w:tc>
        <w:tc>
          <w:tcPr>
            <w:tcW w:w="2746" w:type="dxa"/>
            <w:noWrap w:val="0"/>
            <w:vAlign w:val="center"/>
          </w:tcPr>
          <w:p w14:paraId="6C97921A">
            <w:pPr>
              <w:pStyle w:val="38"/>
              <w:keepNext w:val="0"/>
              <w:keepLines w:val="0"/>
              <w:widowControl/>
              <w:suppressLineNumbers w:val="0"/>
              <w:bidi w:val="0"/>
              <w:spacing w:before="0" w:beforeAutospacing="0" w:after="0" w:afterAutospacing="0"/>
              <w:ind w:left="0" w:leftChars="0" w:right="0" w:rightChars="0"/>
              <w:rPr>
                <w:rFonts w:hint="default"/>
                <w:szCs w:val="22"/>
                <w:lang w:val="en-GB" w:eastAsia="zh-CN"/>
              </w:rPr>
            </w:pPr>
            <w:r>
              <w:rPr>
                <w:rFonts w:hint="default"/>
                <w:szCs w:val="22"/>
                <w:lang w:val="en-GB" w:eastAsia="zh-CN"/>
              </w:rPr>
              <w:t>执行《工业涂装工序挥发性有机物排放标准》（DB35/1783-2018）表1标准中的涉涂装工序的其它行业的标准限值</w:t>
            </w:r>
            <w:r>
              <w:rPr>
                <w:rFonts w:hint="eastAsia"/>
                <w:szCs w:val="22"/>
                <w:lang w:val="en-GB" w:eastAsia="zh-CN"/>
              </w:rPr>
              <w:t>（</w:t>
            </w:r>
            <w:r>
              <w:rPr>
                <w:rFonts w:hint="default"/>
                <w:szCs w:val="22"/>
                <w:lang w:val="en-US" w:eastAsia="zh-CN"/>
              </w:rPr>
              <w:t>非甲烷总烃≤</w:t>
            </w:r>
            <w:r>
              <w:rPr>
                <w:rFonts w:hint="eastAsia"/>
                <w:szCs w:val="22"/>
                <w:lang w:val="en-US" w:eastAsia="zh-CN"/>
              </w:rPr>
              <w:t>60</w:t>
            </w:r>
            <w:r>
              <w:rPr>
                <w:rFonts w:hint="default"/>
                <w:szCs w:val="22"/>
                <w:lang w:val="en-US" w:eastAsia="zh-CN"/>
              </w:rPr>
              <w:t>mg/m</w:t>
            </w:r>
            <w:r>
              <w:rPr>
                <w:rFonts w:hint="default"/>
                <w:szCs w:val="22"/>
                <w:vertAlign w:val="superscript"/>
                <w:lang w:val="en-US" w:eastAsia="zh-CN"/>
              </w:rPr>
              <w:t>3</w:t>
            </w:r>
            <w:r>
              <w:rPr>
                <w:rFonts w:hint="eastAsia"/>
                <w:szCs w:val="22"/>
                <w:lang w:val="en-GB" w:eastAsia="zh-CN"/>
              </w:rPr>
              <w:t>）</w:t>
            </w:r>
          </w:p>
        </w:tc>
      </w:tr>
      <w:tr w14:paraId="070707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dxa"/>
            <w:vMerge w:val="continue"/>
            <w:noWrap w:val="0"/>
            <w:vAlign w:val="center"/>
          </w:tcPr>
          <w:p w14:paraId="7A3ED119">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77" w:type="dxa"/>
            <w:noWrap w:val="0"/>
            <w:vAlign w:val="center"/>
          </w:tcPr>
          <w:p w14:paraId="135AF4AB">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厂区内</w:t>
            </w:r>
          </w:p>
        </w:tc>
        <w:tc>
          <w:tcPr>
            <w:tcW w:w="1459" w:type="dxa"/>
            <w:noWrap w:val="0"/>
            <w:vAlign w:val="center"/>
          </w:tcPr>
          <w:p w14:paraId="47757777">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非甲烷总烃</w:t>
            </w:r>
          </w:p>
        </w:tc>
        <w:tc>
          <w:tcPr>
            <w:tcW w:w="2141" w:type="dxa"/>
            <w:noWrap w:val="0"/>
            <w:vAlign w:val="center"/>
          </w:tcPr>
          <w:p w14:paraId="48831D5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加强废气的收集及活性炭吸附净化装置维护保养，防止废气事故无组织排放；生产过程中门窗关闭，保持一个相对密闭的空间，合理设计送排风系统</w:t>
            </w:r>
          </w:p>
        </w:tc>
        <w:tc>
          <w:tcPr>
            <w:tcW w:w="2746" w:type="dxa"/>
            <w:tcBorders>
              <w:bottom w:val="single" w:color="000000" w:sz="4" w:space="0"/>
            </w:tcBorders>
            <w:noWrap w:val="0"/>
            <w:vAlign w:val="center"/>
          </w:tcPr>
          <w:p w14:paraId="706D5380">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GB" w:eastAsia="zh-CN"/>
              </w:rPr>
              <w:t>执行</w:t>
            </w:r>
            <w:r>
              <w:rPr>
                <w:rFonts w:hint="eastAsia"/>
                <w:szCs w:val="22"/>
              </w:rPr>
              <w:t>《工业涂装工序挥发性有机物排放标准》（DB35/1783-2018）表</w:t>
            </w:r>
            <w:r>
              <w:rPr>
                <w:rFonts w:hint="eastAsia"/>
                <w:szCs w:val="22"/>
                <w:lang w:val="en-US" w:eastAsia="zh-CN"/>
              </w:rPr>
              <w:t>3标准（</w:t>
            </w:r>
            <w:r>
              <w:rPr>
                <w:rFonts w:hint="default"/>
                <w:szCs w:val="22"/>
                <w:lang w:val="en-US" w:eastAsia="zh-CN"/>
              </w:rPr>
              <w:t>非甲烷总烃≤</w:t>
            </w:r>
            <w:r>
              <w:rPr>
                <w:rFonts w:hint="eastAsia"/>
                <w:szCs w:val="22"/>
                <w:lang w:val="en-US" w:eastAsia="zh-CN"/>
              </w:rPr>
              <w:t>8.0</w:t>
            </w:r>
            <w:r>
              <w:rPr>
                <w:rFonts w:hint="default"/>
                <w:szCs w:val="22"/>
                <w:lang w:val="en-US" w:eastAsia="zh-CN"/>
              </w:rPr>
              <w:t>mg/m3</w:t>
            </w:r>
            <w:r>
              <w:rPr>
                <w:rFonts w:hint="eastAsia"/>
                <w:szCs w:val="22"/>
                <w:lang w:val="en-US" w:eastAsia="zh-CN"/>
              </w:rPr>
              <w:t>）及</w:t>
            </w:r>
            <w:r>
              <w:rPr>
                <w:rFonts w:hint="eastAsia"/>
                <w:szCs w:val="22"/>
              </w:rPr>
              <w:t>《挥发性有机物无组织排放控制标准》（GB37822-2019）附录A表A.1</w:t>
            </w:r>
            <w:r>
              <w:rPr>
                <w:rFonts w:hint="eastAsia"/>
                <w:szCs w:val="22"/>
                <w:lang w:val="en-US" w:eastAsia="zh-CN"/>
              </w:rPr>
              <w:t>限值要求（</w:t>
            </w:r>
            <w:r>
              <w:rPr>
                <w:rFonts w:hint="default"/>
                <w:szCs w:val="22"/>
                <w:lang w:val="en-US" w:eastAsia="zh-CN"/>
              </w:rPr>
              <w:t>非甲烷总烃监控点处任意一次浓度值≤</w:t>
            </w:r>
            <w:r>
              <w:rPr>
                <w:rFonts w:hint="eastAsia"/>
                <w:szCs w:val="22"/>
                <w:lang w:val="en-US" w:eastAsia="zh-CN"/>
              </w:rPr>
              <w:t>30</w:t>
            </w:r>
            <w:r>
              <w:rPr>
                <w:rFonts w:hint="default"/>
                <w:szCs w:val="22"/>
                <w:lang w:val="en-US" w:eastAsia="zh-CN"/>
              </w:rPr>
              <w:t>mg/m3</w:t>
            </w:r>
            <w:r>
              <w:rPr>
                <w:rFonts w:hint="eastAsia"/>
                <w:szCs w:val="22"/>
                <w:lang w:val="en-US" w:eastAsia="zh-CN"/>
              </w:rPr>
              <w:t>）</w:t>
            </w:r>
          </w:p>
        </w:tc>
      </w:tr>
      <w:tr w14:paraId="5593C7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1202" w:type="dxa"/>
            <w:vMerge w:val="continue"/>
            <w:noWrap w:val="0"/>
            <w:vAlign w:val="center"/>
          </w:tcPr>
          <w:p w14:paraId="7443BFF1">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77" w:type="dxa"/>
            <w:vMerge w:val="restart"/>
            <w:noWrap w:val="0"/>
            <w:vAlign w:val="center"/>
          </w:tcPr>
          <w:p w14:paraId="49FF323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厂界</w:t>
            </w:r>
          </w:p>
        </w:tc>
        <w:tc>
          <w:tcPr>
            <w:tcW w:w="1459" w:type="dxa"/>
            <w:noWrap w:val="0"/>
            <w:vAlign w:val="center"/>
          </w:tcPr>
          <w:p w14:paraId="347277CA">
            <w:pPr>
              <w:pStyle w:val="38"/>
              <w:keepNext w:val="0"/>
              <w:keepLines w:val="0"/>
              <w:widowControl/>
              <w:suppressLineNumbers w:val="0"/>
              <w:bidi w:val="0"/>
              <w:spacing w:before="0" w:beforeAutospacing="0" w:after="0" w:afterAutospacing="0"/>
              <w:ind w:left="0" w:right="0"/>
              <w:rPr>
                <w:rFonts w:hint="default"/>
                <w:szCs w:val="22"/>
                <w:lang w:eastAsia="zh-CN"/>
              </w:rPr>
            </w:pPr>
            <w:r>
              <w:rPr>
                <w:rFonts w:hint="default"/>
                <w:szCs w:val="22"/>
                <w:lang w:eastAsia="zh-CN"/>
              </w:rPr>
              <w:t>颗粒物</w:t>
            </w:r>
          </w:p>
        </w:tc>
        <w:tc>
          <w:tcPr>
            <w:tcW w:w="2141" w:type="dxa"/>
            <w:vMerge w:val="restart"/>
            <w:noWrap w:val="0"/>
            <w:vAlign w:val="center"/>
          </w:tcPr>
          <w:p w14:paraId="264FD035">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加强废气的收集及活性炭吸附净化装置维护保养，防止废气事故无组织排放；生产过程中门窗关闭，保持一个相对密闭的空间，合理设计送排风系统</w:t>
            </w:r>
          </w:p>
        </w:tc>
        <w:tc>
          <w:tcPr>
            <w:tcW w:w="2746" w:type="dxa"/>
            <w:noWrap w:val="0"/>
            <w:vAlign w:val="center"/>
          </w:tcPr>
          <w:p w14:paraId="26D8DD5D">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执行</w:t>
            </w:r>
            <w:r>
              <w:rPr>
                <w:rFonts w:hint="default"/>
                <w:szCs w:val="22"/>
              </w:rPr>
              <w:t>GB16297-1996《大气污染物综合排放标准》表2无组织排放监控浓度限值</w:t>
            </w:r>
            <w:r>
              <w:rPr>
                <w:rFonts w:hint="eastAsia"/>
                <w:szCs w:val="22"/>
                <w:lang w:eastAsia="zh-CN"/>
              </w:rPr>
              <w:t>（</w:t>
            </w:r>
            <w:r>
              <w:rPr>
                <w:rFonts w:hint="eastAsia"/>
                <w:szCs w:val="22"/>
                <w:lang w:val="en-US" w:eastAsia="zh-CN"/>
              </w:rPr>
              <w:t>颗粒物</w:t>
            </w:r>
            <w:r>
              <w:rPr>
                <w:rFonts w:hint="default"/>
                <w:szCs w:val="22"/>
                <w:lang w:val="en-US" w:eastAsia="zh-CN"/>
              </w:rPr>
              <w:t>≤</w:t>
            </w:r>
            <w:r>
              <w:rPr>
                <w:rFonts w:hint="eastAsia"/>
                <w:szCs w:val="22"/>
                <w:lang w:val="en-US" w:eastAsia="zh-CN"/>
              </w:rPr>
              <w:t>1.0</w:t>
            </w:r>
            <w:r>
              <w:rPr>
                <w:rFonts w:hint="default"/>
                <w:szCs w:val="22"/>
                <w:lang w:val="en-US" w:eastAsia="zh-CN"/>
              </w:rPr>
              <w:t>mg/m3</w:t>
            </w:r>
            <w:r>
              <w:rPr>
                <w:rFonts w:hint="eastAsia"/>
                <w:szCs w:val="22"/>
                <w:lang w:eastAsia="zh-CN"/>
              </w:rPr>
              <w:t>）</w:t>
            </w:r>
          </w:p>
        </w:tc>
      </w:tr>
      <w:tr w14:paraId="6BAEA2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1202" w:type="dxa"/>
            <w:vMerge w:val="continue"/>
            <w:noWrap w:val="0"/>
            <w:vAlign w:val="center"/>
          </w:tcPr>
          <w:p w14:paraId="76043DB5">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77" w:type="dxa"/>
            <w:vMerge w:val="continue"/>
            <w:noWrap w:val="0"/>
            <w:vAlign w:val="center"/>
          </w:tcPr>
          <w:p w14:paraId="348BF82C">
            <w:pPr>
              <w:pStyle w:val="38"/>
              <w:keepNext w:val="0"/>
              <w:keepLines w:val="0"/>
              <w:widowControl/>
              <w:suppressLineNumbers w:val="0"/>
              <w:bidi w:val="0"/>
              <w:spacing w:before="0" w:beforeAutospacing="0" w:after="0" w:afterAutospacing="0"/>
              <w:ind w:left="0" w:right="0"/>
              <w:rPr>
                <w:rFonts w:hint="default"/>
                <w:szCs w:val="22"/>
                <w:lang w:val="en-US" w:eastAsia="zh-CN"/>
              </w:rPr>
            </w:pPr>
          </w:p>
        </w:tc>
        <w:tc>
          <w:tcPr>
            <w:tcW w:w="1459" w:type="dxa"/>
            <w:noWrap w:val="0"/>
            <w:vAlign w:val="center"/>
          </w:tcPr>
          <w:p w14:paraId="05DE8493">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非甲烷总烃</w:t>
            </w:r>
          </w:p>
        </w:tc>
        <w:tc>
          <w:tcPr>
            <w:tcW w:w="2141" w:type="dxa"/>
            <w:vMerge w:val="continue"/>
            <w:noWrap w:val="0"/>
            <w:vAlign w:val="center"/>
          </w:tcPr>
          <w:p w14:paraId="5D40F63D">
            <w:pPr>
              <w:pStyle w:val="38"/>
              <w:keepNext w:val="0"/>
              <w:keepLines w:val="0"/>
              <w:widowControl/>
              <w:suppressLineNumbers w:val="0"/>
              <w:bidi w:val="0"/>
              <w:spacing w:before="0" w:beforeAutospacing="0" w:after="0" w:afterAutospacing="0"/>
              <w:ind w:left="0" w:right="0"/>
              <w:rPr>
                <w:rFonts w:hint="default"/>
                <w:szCs w:val="22"/>
                <w:lang w:eastAsia="zh-CN"/>
              </w:rPr>
            </w:pPr>
          </w:p>
        </w:tc>
        <w:tc>
          <w:tcPr>
            <w:tcW w:w="2746" w:type="dxa"/>
            <w:noWrap w:val="0"/>
            <w:vAlign w:val="center"/>
          </w:tcPr>
          <w:p w14:paraId="2894E32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执行</w:t>
            </w:r>
            <w:r>
              <w:rPr>
                <w:rFonts w:hint="eastAsia"/>
                <w:szCs w:val="22"/>
              </w:rPr>
              <w:t>《工业涂装工序挥发性有机物排放标准》（DB35/1783-2018）表4</w:t>
            </w:r>
            <w:r>
              <w:rPr>
                <w:rFonts w:hint="eastAsia"/>
                <w:szCs w:val="22"/>
                <w:lang w:val="en-US" w:eastAsia="zh-CN"/>
              </w:rPr>
              <w:t>标准限值要求（</w:t>
            </w:r>
            <w:r>
              <w:rPr>
                <w:rFonts w:hint="default"/>
                <w:szCs w:val="22"/>
                <w:lang w:val="en-US" w:eastAsia="zh-CN"/>
              </w:rPr>
              <w:t>非甲烷总烃≤</w:t>
            </w:r>
            <w:r>
              <w:rPr>
                <w:rFonts w:hint="eastAsia"/>
                <w:szCs w:val="22"/>
                <w:lang w:val="en-US" w:eastAsia="zh-CN"/>
              </w:rPr>
              <w:t>2.0</w:t>
            </w:r>
            <w:r>
              <w:rPr>
                <w:rFonts w:hint="default"/>
                <w:szCs w:val="22"/>
                <w:lang w:val="en-US" w:eastAsia="zh-CN"/>
              </w:rPr>
              <w:t>mg/m3</w:t>
            </w:r>
            <w:r>
              <w:rPr>
                <w:rFonts w:hint="eastAsia"/>
                <w:szCs w:val="22"/>
                <w:lang w:val="en-US" w:eastAsia="zh-CN"/>
              </w:rPr>
              <w:t>）</w:t>
            </w:r>
          </w:p>
        </w:tc>
      </w:tr>
      <w:tr w14:paraId="0FC19C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dxa"/>
            <w:vMerge w:val="restart"/>
            <w:noWrap w:val="0"/>
            <w:vAlign w:val="center"/>
          </w:tcPr>
          <w:p w14:paraId="4E2F1511">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地表水</w:t>
            </w:r>
          </w:p>
          <w:p w14:paraId="3EC4766B">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环境</w:t>
            </w:r>
          </w:p>
        </w:tc>
        <w:tc>
          <w:tcPr>
            <w:tcW w:w="1477" w:type="dxa"/>
            <w:noWrap w:val="0"/>
            <w:vAlign w:val="center"/>
          </w:tcPr>
          <w:p w14:paraId="22677C2C">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生活</w:t>
            </w:r>
            <w:r>
              <w:rPr>
                <w:rFonts w:hint="eastAsia"/>
                <w:szCs w:val="22"/>
                <w:lang w:val="en-US" w:eastAsia="zh-CN"/>
              </w:rPr>
              <w:t>污水排放口（DW001）</w:t>
            </w:r>
          </w:p>
        </w:tc>
        <w:tc>
          <w:tcPr>
            <w:tcW w:w="1459" w:type="dxa"/>
            <w:noWrap w:val="0"/>
            <w:vAlign w:val="center"/>
          </w:tcPr>
          <w:p w14:paraId="77361579">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eastAsia"/>
                <w:szCs w:val="22"/>
                <w:lang w:val="en-US" w:eastAsia="zh-CN"/>
              </w:rPr>
              <w:t>pH、</w:t>
            </w:r>
            <w:r>
              <w:rPr>
                <w:rFonts w:hint="default"/>
                <w:szCs w:val="22"/>
              </w:rPr>
              <w:t>COD、BOD5、SS、NH3-N</w:t>
            </w:r>
          </w:p>
        </w:tc>
        <w:tc>
          <w:tcPr>
            <w:tcW w:w="2141" w:type="dxa"/>
            <w:noWrap w:val="0"/>
            <w:vAlign w:val="center"/>
          </w:tcPr>
          <w:p w14:paraId="79BF6B6E">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生活污水</w:t>
            </w:r>
            <w:r>
              <w:rPr>
                <w:rFonts w:hint="eastAsia"/>
                <w:szCs w:val="22"/>
              </w:rPr>
              <w:t>依托</w:t>
            </w:r>
            <w:r>
              <w:rPr>
                <w:rFonts w:hint="eastAsia"/>
                <w:szCs w:val="22"/>
                <w:lang w:val="en-US" w:eastAsia="zh-CN"/>
              </w:rPr>
              <w:t>出租方</w:t>
            </w:r>
            <w:r>
              <w:rPr>
                <w:rFonts w:hint="eastAsia"/>
                <w:szCs w:val="22"/>
              </w:rPr>
              <w:t>已建的化粪池预处理达标后接入</w:t>
            </w:r>
            <w:r>
              <w:rPr>
                <w:rFonts w:hint="eastAsia"/>
                <w:szCs w:val="22"/>
                <w:lang w:eastAsia="zh-CN"/>
              </w:rPr>
              <w:t>市政污水管网</w:t>
            </w:r>
            <w:r>
              <w:rPr>
                <w:rFonts w:hint="eastAsia"/>
                <w:szCs w:val="22"/>
              </w:rPr>
              <w:t>，最终排入福清市融元污水处理厂处理</w:t>
            </w:r>
          </w:p>
        </w:tc>
        <w:tc>
          <w:tcPr>
            <w:tcW w:w="2746" w:type="dxa"/>
            <w:noWrap w:val="0"/>
            <w:vAlign w:val="center"/>
          </w:tcPr>
          <w:p w14:paraId="11B01529">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eastAsia="zh-CN"/>
              </w:rPr>
              <w:t>生活污水执行</w:t>
            </w:r>
            <w:r>
              <w:rPr>
                <w:rFonts w:hint="default"/>
                <w:szCs w:val="22"/>
                <w:lang w:val="en-US" w:eastAsia="zh-CN"/>
              </w:rPr>
              <w:t>《污水综合排放标准》（GB8978-1996）表4中三级标准（其中氨氮执行</w:t>
            </w:r>
            <w:r>
              <w:rPr>
                <w:rFonts w:hint="default"/>
                <w:szCs w:val="22"/>
              </w:rPr>
              <w:t>《污水排入城镇下水道水质标准》（GB/T31962-2015）表1中B级标准</w:t>
            </w:r>
            <w:r>
              <w:rPr>
                <w:rFonts w:hint="default"/>
                <w:szCs w:val="22"/>
                <w:lang w:eastAsia="zh-CN"/>
              </w:rPr>
              <w:t>限值</w:t>
            </w:r>
            <w:r>
              <w:rPr>
                <w:rFonts w:hint="default"/>
                <w:szCs w:val="22"/>
                <w:lang w:val="en-US" w:eastAsia="zh-CN"/>
              </w:rPr>
              <w:t>）</w:t>
            </w:r>
            <w:r>
              <w:rPr>
                <w:rFonts w:hint="eastAsia"/>
                <w:szCs w:val="22"/>
                <w:lang w:val="en-US" w:eastAsia="zh-CN"/>
              </w:rPr>
              <w:t>（</w:t>
            </w:r>
            <w:r>
              <w:rPr>
                <w:rFonts w:hint="eastAsia"/>
                <w:szCs w:val="22"/>
              </w:rPr>
              <w:t>pH6～9</w:t>
            </w:r>
            <w:r>
              <w:rPr>
                <w:rFonts w:hint="eastAsia"/>
                <w:szCs w:val="22"/>
                <w:lang w:eastAsia="zh-CN"/>
              </w:rPr>
              <w:t>（</w:t>
            </w:r>
            <w:r>
              <w:rPr>
                <w:rFonts w:hint="eastAsia"/>
                <w:szCs w:val="22"/>
              </w:rPr>
              <w:t>无量纲</w:t>
            </w:r>
            <w:r>
              <w:rPr>
                <w:rFonts w:hint="eastAsia"/>
                <w:szCs w:val="22"/>
                <w:lang w:eastAsia="zh-CN"/>
              </w:rPr>
              <w:t>）</w:t>
            </w:r>
            <w:r>
              <w:rPr>
                <w:rFonts w:hint="eastAsia"/>
                <w:szCs w:val="22"/>
              </w:rPr>
              <w:t xml:space="preserve"> </w:t>
            </w:r>
            <w:r>
              <w:rPr>
                <w:rFonts w:hint="eastAsia"/>
                <w:szCs w:val="22"/>
                <w:lang w:eastAsia="zh-CN"/>
              </w:rPr>
              <w:t>，</w:t>
            </w:r>
            <w:r>
              <w:rPr>
                <w:rFonts w:hint="default"/>
                <w:szCs w:val="22"/>
              </w:rPr>
              <w:t>COD≤</w:t>
            </w:r>
            <w:r>
              <w:rPr>
                <w:rFonts w:hint="eastAsia"/>
                <w:szCs w:val="22"/>
                <w:lang w:val="en-US" w:eastAsia="zh-CN"/>
              </w:rPr>
              <w:t>500mg/L，</w:t>
            </w:r>
            <w:r>
              <w:rPr>
                <w:rFonts w:hint="default"/>
                <w:szCs w:val="22"/>
              </w:rPr>
              <w:t>BOD</w:t>
            </w:r>
            <w:r>
              <w:rPr>
                <w:rFonts w:hint="default"/>
                <w:szCs w:val="22"/>
                <w:vertAlign w:val="subscript"/>
              </w:rPr>
              <w:t>5</w:t>
            </w:r>
            <w:r>
              <w:rPr>
                <w:rFonts w:hint="default"/>
                <w:szCs w:val="22"/>
              </w:rPr>
              <w:t>≤</w:t>
            </w:r>
            <w:r>
              <w:rPr>
                <w:rFonts w:hint="eastAsia"/>
                <w:szCs w:val="22"/>
                <w:lang w:val="en-US" w:eastAsia="zh-CN"/>
              </w:rPr>
              <w:t>300mg/L，</w:t>
            </w:r>
            <w:r>
              <w:rPr>
                <w:rFonts w:hint="default"/>
                <w:szCs w:val="22"/>
              </w:rPr>
              <w:t>SS≤</w:t>
            </w:r>
            <w:r>
              <w:rPr>
                <w:rFonts w:hint="eastAsia"/>
                <w:szCs w:val="22"/>
                <w:lang w:val="en-US" w:eastAsia="zh-CN"/>
              </w:rPr>
              <w:t>400mg/L，</w:t>
            </w:r>
            <w:r>
              <w:rPr>
                <w:rFonts w:hint="default"/>
                <w:szCs w:val="22"/>
              </w:rPr>
              <w:t>NH</w:t>
            </w:r>
            <w:r>
              <w:rPr>
                <w:rFonts w:hint="default"/>
                <w:szCs w:val="22"/>
                <w:vertAlign w:val="subscript"/>
              </w:rPr>
              <w:t>3</w:t>
            </w:r>
            <w:r>
              <w:rPr>
                <w:rFonts w:hint="default"/>
                <w:szCs w:val="22"/>
              </w:rPr>
              <w:t>-N≤</w:t>
            </w:r>
            <w:r>
              <w:rPr>
                <w:rFonts w:hint="eastAsia"/>
                <w:szCs w:val="22"/>
                <w:lang w:val="en-US" w:eastAsia="zh-CN"/>
              </w:rPr>
              <w:t>45mg/L）</w:t>
            </w:r>
          </w:p>
        </w:tc>
      </w:tr>
      <w:tr w14:paraId="656BA5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dxa"/>
            <w:vMerge w:val="continue"/>
            <w:noWrap w:val="0"/>
            <w:vAlign w:val="center"/>
          </w:tcPr>
          <w:p w14:paraId="71646BEC">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77" w:type="dxa"/>
            <w:noWrap w:val="0"/>
            <w:vAlign w:val="center"/>
          </w:tcPr>
          <w:p w14:paraId="006C75A3">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生产废水</w:t>
            </w:r>
          </w:p>
        </w:tc>
        <w:tc>
          <w:tcPr>
            <w:tcW w:w="1459" w:type="dxa"/>
            <w:noWrap w:val="0"/>
            <w:vAlign w:val="center"/>
          </w:tcPr>
          <w:p w14:paraId="65543A43">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val="en-US" w:eastAsia="zh-CN"/>
              </w:rPr>
              <w:t>/</w:t>
            </w:r>
          </w:p>
        </w:tc>
        <w:tc>
          <w:tcPr>
            <w:tcW w:w="2141" w:type="dxa"/>
            <w:noWrap w:val="0"/>
            <w:vAlign w:val="center"/>
          </w:tcPr>
          <w:p w14:paraId="33E6C968">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rPr>
              <w:t>水帘喷漆</w:t>
            </w:r>
            <w:r>
              <w:rPr>
                <w:rFonts w:hint="eastAsia"/>
                <w:szCs w:val="22"/>
                <w:lang w:eastAsia="zh-CN"/>
              </w:rPr>
              <w:t>用水</w:t>
            </w:r>
            <w:r>
              <w:rPr>
                <w:rFonts w:hint="default"/>
                <w:szCs w:val="22"/>
              </w:rPr>
              <w:t>循环使用</w:t>
            </w:r>
            <w:r>
              <w:rPr>
                <w:rFonts w:hint="default"/>
                <w:szCs w:val="22"/>
                <w:lang w:eastAsia="zh-CN"/>
              </w:rPr>
              <w:t>，</w:t>
            </w:r>
            <w:r>
              <w:rPr>
                <w:rFonts w:hint="eastAsia"/>
                <w:szCs w:val="22"/>
                <w:lang w:eastAsia="zh-CN"/>
              </w:rPr>
              <w:t>定期捞漆渣，喷漆废水不属于危险废物，但为了控制生产过程中可能发生的环境风险，</w:t>
            </w:r>
            <w:r>
              <w:rPr>
                <w:rFonts w:hint="default"/>
                <w:szCs w:val="22"/>
                <w:lang w:eastAsia="zh-CN"/>
              </w:rPr>
              <w:t>待浓度过高时按危废委托有资质的</w:t>
            </w:r>
            <w:r>
              <w:rPr>
                <w:rFonts w:hint="eastAsia"/>
                <w:szCs w:val="22"/>
                <w:lang w:eastAsia="zh-CN"/>
              </w:rPr>
              <w:t>危废处置</w:t>
            </w:r>
            <w:r>
              <w:rPr>
                <w:rFonts w:hint="default"/>
                <w:szCs w:val="22"/>
                <w:lang w:eastAsia="zh-CN"/>
              </w:rPr>
              <w:t>单位处置</w:t>
            </w:r>
          </w:p>
        </w:tc>
        <w:tc>
          <w:tcPr>
            <w:tcW w:w="2746" w:type="dxa"/>
            <w:noWrap w:val="0"/>
            <w:vAlign w:val="center"/>
          </w:tcPr>
          <w:p w14:paraId="63CD8E2D">
            <w:pPr>
              <w:pStyle w:val="38"/>
              <w:keepNext w:val="0"/>
              <w:keepLines w:val="0"/>
              <w:widowControl/>
              <w:suppressLineNumbers w:val="0"/>
              <w:bidi w:val="0"/>
              <w:spacing w:before="0" w:beforeAutospacing="0" w:after="0" w:afterAutospacing="0"/>
              <w:ind w:left="0" w:right="0"/>
              <w:rPr>
                <w:rFonts w:hint="default"/>
                <w:szCs w:val="22"/>
                <w:lang w:eastAsia="zh-CN"/>
              </w:rPr>
            </w:pPr>
            <w:r>
              <w:rPr>
                <w:rFonts w:hint="eastAsia"/>
                <w:szCs w:val="22"/>
                <w:lang w:val="en-US" w:eastAsia="zh-CN"/>
              </w:rPr>
              <w:t>验收落实</w:t>
            </w:r>
          </w:p>
        </w:tc>
      </w:tr>
      <w:tr w14:paraId="52BC2E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dxa"/>
            <w:noWrap w:val="0"/>
            <w:vAlign w:val="center"/>
          </w:tcPr>
          <w:p w14:paraId="0066B8D9">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声环境</w:t>
            </w:r>
          </w:p>
        </w:tc>
        <w:tc>
          <w:tcPr>
            <w:tcW w:w="1477" w:type="dxa"/>
            <w:noWrap w:val="0"/>
            <w:vAlign w:val="center"/>
          </w:tcPr>
          <w:p w14:paraId="50725295">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厂界四周</w:t>
            </w:r>
          </w:p>
        </w:tc>
        <w:tc>
          <w:tcPr>
            <w:tcW w:w="1459" w:type="dxa"/>
            <w:noWrap w:val="0"/>
            <w:vAlign w:val="center"/>
          </w:tcPr>
          <w:p w14:paraId="752A174D">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等效A声级</w:t>
            </w:r>
          </w:p>
        </w:tc>
        <w:tc>
          <w:tcPr>
            <w:tcW w:w="2141" w:type="dxa"/>
            <w:noWrap w:val="0"/>
            <w:vAlign w:val="center"/>
          </w:tcPr>
          <w:p w14:paraId="1A177537">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选用低噪声设备，加强设备维护，高噪声设备设置基础减振、隔声等措施</w:t>
            </w:r>
          </w:p>
        </w:tc>
        <w:tc>
          <w:tcPr>
            <w:tcW w:w="2746" w:type="dxa"/>
            <w:noWrap w:val="0"/>
            <w:vAlign w:val="center"/>
          </w:tcPr>
          <w:p w14:paraId="73611478">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满足《工业企业厂界环境噪声排放标准》</w:t>
            </w:r>
            <w:r>
              <w:rPr>
                <w:rFonts w:hint="eastAsia"/>
                <w:szCs w:val="22"/>
                <w:lang w:val="en-GB" w:eastAsia="zh-CN"/>
              </w:rPr>
              <w:t>（</w:t>
            </w:r>
            <w:r>
              <w:rPr>
                <w:rFonts w:hint="default"/>
                <w:szCs w:val="22"/>
                <w:lang w:val="en-GB" w:eastAsia="zh-CN"/>
              </w:rPr>
              <w:t>GB12348-2008</w:t>
            </w:r>
            <w:r>
              <w:rPr>
                <w:rFonts w:hint="eastAsia"/>
                <w:szCs w:val="22"/>
                <w:lang w:val="en-GB" w:eastAsia="zh-CN"/>
              </w:rPr>
              <w:t>）</w:t>
            </w:r>
            <w:r>
              <w:rPr>
                <w:rFonts w:hint="default"/>
                <w:szCs w:val="22"/>
                <w:lang w:val="en-GB" w:eastAsia="zh-CN"/>
              </w:rPr>
              <w:t>中</w:t>
            </w:r>
            <w:r>
              <w:rPr>
                <w:rFonts w:hint="eastAsia"/>
                <w:szCs w:val="22"/>
                <w:lang w:val="en-US" w:eastAsia="zh-CN"/>
              </w:rPr>
              <w:t>3</w:t>
            </w:r>
            <w:r>
              <w:rPr>
                <w:rFonts w:hint="default"/>
                <w:szCs w:val="22"/>
                <w:lang w:val="en-US" w:eastAsia="zh-CN"/>
              </w:rPr>
              <w:t>类标准</w:t>
            </w:r>
            <w:r>
              <w:rPr>
                <w:rFonts w:hint="eastAsia"/>
                <w:szCs w:val="22"/>
                <w:lang w:val="en-GB" w:eastAsia="zh-CN"/>
              </w:rPr>
              <w:t>（</w:t>
            </w:r>
            <w:r>
              <w:rPr>
                <w:rFonts w:hint="default"/>
                <w:szCs w:val="22"/>
                <w:lang w:val="en-GB" w:eastAsia="zh-CN"/>
              </w:rPr>
              <w:t>昼间</w:t>
            </w:r>
            <w:r>
              <w:rPr>
                <w:rFonts w:hint="eastAsia"/>
                <w:szCs w:val="22"/>
                <w:lang w:val="en-US" w:eastAsia="zh-CN"/>
              </w:rPr>
              <w:t>噪声</w:t>
            </w:r>
            <w:r>
              <w:rPr>
                <w:rFonts w:hint="default"/>
                <w:szCs w:val="22"/>
                <w:lang w:val="en-GB" w:eastAsia="zh-CN"/>
              </w:rPr>
              <w:t>≤</w:t>
            </w:r>
            <w:r>
              <w:rPr>
                <w:rFonts w:hint="default"/>
                <w:szCs w:val="22"/>
                <w:lang w:val="en-US" w:eastAsia="zh-CN"/>
              </w:rPr>
              <w:t>6</w:t>
            </w:r>
            <w:r>
              <w:rPr>
                <w:rFonts w:hint="eastAsia"/>
                <w:szCs w:val="22"/>
                <w:lang w:val="en-US" w:eastAsia="zh-CN"/>
              </w:rPr>
              <w:t>5</w:t>
            </w:r>
            <w:r>
              <w:rPr>
                <w:rFonts w:hint="default"/>
                <w:szCs w:val="22"/>
                <w:lang w:val="en-GB" w:eastAsia="zh-CN"/>
              </w:rPr>
              <w:t>dB</w:t>
            </w:r>
            <w:r>
              <w:rPr>
                <w:rFonts w:hint="eastAsia"/>
                <w:szCs w:val="22"/>
                <w:lang w:val="en-GB" w:eastAsia="zh-CN"/>
              </w:rPr>
              <w:t>（</w:t>
            </w:r>
            <w:r>
              <w:rPr>
                <w:rFonts w:hint="default"/>
                <w:szCs w:val="22"/>
                <w:lang w:val="en-GB" w:eastAsia="zh-CN"/>
              </w:rPr>
              <w:t>A</w:t>
            </w:r>
            <w:r>
              <w:rPr>
                <w:rFonts w:hint="eastAsia"/>
                <w:szCs w:val="22"/>
                <w:lang w:val="en-GB" w:eastAsia="zh-CN"/>
              </w:rPr>
              <w:t>），</w:t>
            </w:r>
            <w:r>
              <w:rPr>
                <w:rFonts w:hint="eastAsia"/>
                <w:szCs w:val="22"/>
                <w:lang w:val="en-US" w:eastAsia="zh-CN"/>
              </w:rPr>
              <w:t>夜间噪声</w:t>
            </w:r>
            <w:r>
              <w:rPr>
                <w:rFonts w:hint="default"/>
                <w:szCs w:val="22"/>
                <w:lang w:val="en-GB" w:eastAsia="zh-CN"/>
              </w:rPr>
              <w:t>≤</w:t>
            </w:r>
            <w:r>
              <w:rPr>
                <w:rFonts w:hint="eastAsia"/>
                <w:szCs w:val="22"/>
                <w:lang w:val="en-US" w:eastAsia="zh-CN"/>
              </w:rPr>
              <w:t>55</w:t>
            </w:r>
            <w:r>
              <w:rPr>
                <w:rFonts w:hint="default"/>
                <w:szCs w:val="22"/>
                <w:lang w:val="en-GB" w:eastAsia="zh-CN"/>
              </w:rPr>
              <w:t>dB</w:t>
            </w:r>
            <w:r>
              <w:rPr>
                <w:rFonts w:hint="eastAsia"/>
                <w:szCs w:val="22"/>
                <w:lang w:val="en-GB" w:eastAsia="zh-CN"/>
              </w:rPr>
              <w:t>（</w:t>
            </w:r>
            <w:r>
              <w:rPr>
                <w:rFonts w:hint="default"/>
                <w:szCs w:val="22"/>
                <w:lang w:val="en-GB" w:eastAsia="zh-CN"/>
              </w:rPr>
              <w:t>A</w:t>
            </w:r>
            <w:r>
              <w:rPr>
                <w:rFonts w:hint="eastAsia"/>
                <w:szCs w:val="22"/>
                <w:lang w:val="en-GB" w:eastAsia="zh-CN"/>
              </w:rPr>
              <w:t>））</w:t>
            </w:r>
          </w:p>
        </w:tc>
      </w:tr>
      <w:tr w14:paraId="2AC399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dxa"/>
            <w:noWrap w:val="0"/>
            <w:vAlign w:val="center"/>
          </w:tcPr>
          <w:p w14:paraId="70457604">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电磁</w:t>
            </w:r>
          </w:p>
          <w:p w14:paraId="6D7E7693">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辐射</w:t>
            </w:r>
          </w:p>
        </w:tc>
        <w:tc>
          <w:tcPr>
            <w:tcW w:w="1477" w:type="dxa"/>
            <w:noWrap w:val="0"/>
            <w:vAlign w:val="center"/>
          </w:tcPr>
          <w:p w14:paraId="798E521E">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GB" w:eastAsia="zh-CN"/>
              </w:rPr>
              <w:t>/</w:t>
            </w:r>
          </w:p>
        </w:tc>
        <w:tc>
          <w:tcPr>
            <w:tcW w:w="1459" w:type="dxa"/>
            <w:noWrap w:val="0"/>
            <w:vAlign w:val="center"/>
          </w:tcPr>
          <w:p w14:paraId="692E90C5">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GB" w:eastAsia="zh-CN"/>
              </w:rPr>
              <w:t>/</w:t>
            </w:r>
          </w:p>
        </w:tc>
        <w:tc>
          <w:tcPr>
            <w:tcW w:w="2141" w:type="dxa"/>
            <w:noWrap w:val="0"/>
            <w:vAlign w:val="center"/>
          </w:tcPr>
          <w:p w14:paraId="0947609B">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GB" w:eastAsia="zh-CN"/>
              </w:rPr>
              <w:t>/</w:t>
            </w:r>
          </w:p>
        </w:tc>
        <w:tc>
          <w:tcPr>
            <w:tcW w:w="2746" w:type="dxa"/>
            <w:noWrap w:val="0"/>
            <w:vAlign w:val="center"/>
          </w:tcPr>
          <w:p w14:paraId="6D0C611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GB" w:eastAsia="zh-CN"/>
              </w:rPr>
              <w:t>/</w:t>
            </w:r>
          </w:p>
        </w:tc>
      </w:tr>
      <w:tr w14:paraId="25274F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dxa"/>
            <w:vMerge w:val="restart"/>
            <w:noWrap w:val="0"/>
            <w:vAlign w:val="center"/>
          </w:tcPr>
          <w:p w14:paraId="0F8E5811">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固体</w:t>
            </w:r>
          </w:p>
          <w:p w14:paraId="4B951B8D">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废物</w:t>
            </w:r>
          </w:p>
        </w:tc>
        <w:tc>
          <w:tcPr>
            <w:tcW w:w="1477" w:type="dxa"/>
            <w:noWrap w:val="0"/>
            <w:vAlign w:val="center"/>
          </w:tcPr>
          <w:p w14:paraId="1C11F6ED">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US" w:eastAsia="zh-CN"/>
              </w:rPr>
              <w:t>一般工业固废</w:t>
            </w:r>
          </w:p>
        </w:tc>
        <w:tc>
          <w:tcPr>
            <w:tcW w:w="1459" w:type="dxa"/>
            <w:noWrap w:val="0"/>
            <w:vAlign w:val="center"/>
          </w:tcPr>
          <w:p w14:paraId="4263C8E2">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US" w:eastAsia="zh-CN"/>
              </w:rPr>
              <w:t>不合格</w:t>
            </w:r>
            <w:r>
              <w:rPr>
                <w:rFonts w:hint="eastAsia"/>
                <w:szCs w:val="22"/>
                <w:lang w:val="en-US" w:eastAsia="zh-CN"/>
              </w:rPr>
              <w:t>产</w:t>
            </w:r>
            <w:r>
              <w:rPr>
                <w:rFonts w:hint="default"/>
                <w:szCs w:val="22"/>
                <w:lang w:val="en-US" w:eastAsia="zh-CN"/>
              </w:rPr>
              <w:t>品</w:t>
            </w:r>
          </w:p>
        </w:tc>
        <w:tc>
          <w:tcPr>
            <w:tcW w:w="2141" w:type="dxa"/>
            <w:noWrap w:val="0"/>
            <w:vAlign w:val="center"/>
          </w:tcPr>
          <w:p w14:paraId="75053AF7">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GB" w:eastAsia="zh-CN"/>
              </w:rPr>
              <w:t>设置一般工业固废暂存</w:t>
            </w:r>
            <w:r>
              <w:rPr>
                <w:rFonts w:hint="eastAsia"/>
                <w:szCs w:val="22"/>
                <w:lang w:val="en-US" w:eastAsia="zh-CN"/>
              </w:rPr>
              <w:t>区</w:t>
            </w:r>
            <w:r>
              <w:rPr>
                <w:rFonts w:hint="default"/>
                <w:szCs w:val="22"/>
                <w:lang w:val="en-GB" w:eastAsia="zh-CN"/>
              </w:rPr>
              <w:t>，</w:t>
            </w:r>
            <w:r>
              <w:rPr>
                <w:rFonts w:hint="eastAsia"/>
                <w:szCs w:val="22"/>
                <w:lang w:val="en-US" w:eastAsia="zh-CN"/>
              </w:rPr>
              <w:t>不合格产品暂存后退回待加工厂综合利用</w:t>
            </w:r>
          </w:p>
        </w:tc>
        <w:tc>
          <w:tcPr>
            <w:tcW w:w="2746" w:type="dxa"/>
            <w:noWrap w:val="0"/>
            <w:vAlign w:val="center"/>
          </w:tcPr>
          <w:p w14:paraId="65733998">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一般工业固体废物的临时贮存和管理执行《一般工业固体废物贮存和填埋污染控制标准》（GB18599-2020）中的相关规定</w:t>
            </w:r>
          </w:p>
        </w:tc>
      </w:tr>
      <w:tr w14:paraId="6BA7EB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dxa"/>
            <w:vMerge w:val="continue"/>
            <w:noWrap w:val="0"/>
            <w:vAlign w:val="center"/>
          </w:tcPr>
          <w:p w14:paraId="419AEF6E">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77" w:type="dxa"/>
            <w:vMerge w:val="restart"/>
            <w:noWrap w:val="0"/>
            <w:vAlign w:val="center"/>
          </w:tcPr>
          <w:p w14:paraId="39971BB6">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US" w:eastAsia="zh-CN"/>
              </w:rPr>
              <w:t>危险废物</w:t>
            </w:r>
          </w:p>
        </w:tc>
        <w:tc>
          <w:tcPr>
            <w:tcW w:w="1459" w:type="dxa"/>
            <w:noWrap w:val="0"/>
            <w:vAlign w:val="center"/>
          </w:tcPr>
          <w:p w14:paraId="11C01A5F">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US" w:eastAsia="zh-CN"/>
              </w:rPr>
              <w:t>废活性炭</w:t>
            </w:r>
          </w:p>
        </w:tc>
        <w:tc>
          <w:tcPr>
            <w:tcW w:w="2141" w:type="dxa"/>
            <w:vMerge w:val="restart"/>
            <w:noWrap w:val="0"/>
            <w:vAlign w:val="center"/>
          </w:tcPr>
          <w:p w14:paraId="3200BE28">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设置</w:t>
            </w:r>
            <w:r>
              <w:rPr>
                <w:rFonts w:hint="eastAsia"/>
                <w:szCs w:val="22"/>
                <w:lang w:val="en-GB" w:eastAsia="zh-CN"/>
              </w:rPr>
              <w:t>危废贮存库</w:t>
            </w:r>
            <w:r>
              <w:rPr>
                <w:rFonts w:hint="default"/>
                <w:szCs w:val="22"/>
                <w:lang w:val="en-GB" w:eastAsia="zh-CN"/>
              </w:rPr>
              <w:t>，妥善分类收集</w:t>
            </w:r>
            <w:r>
              <w:rPr>
                <w:rFonts w:hint="eastAsia"/>
                <w:szCs w:val="22"/>
                <w:lang w:val="en-US" w:eastAsia="zh-CN"/>
              </w:rPr>
              <w:t>暂存后</w:t>
            </w:r>
            <w:r>
              <w:rPr>
                <w:rFonts w:hint="default"/>
                <w:szCs w:val="22"/>
                <w:lang w:val="en-GB" w:eastAsia="zh-CN"/>
              </w:rPr>
              <w:t>定期委托有资质的单位进行处置</w:t>
            </w:r>
          </w:p>
        </w:tc>
        <w:tc>
          <w:tcPr>
            <w:tcW w:w="2746" w:type="dxa"/>
            <w:vMerge w:val="restart"/>
            <w:noWrap w:val="0"/>
            <w:vAlign w:val="center"/>
          </w:tcPr>
          <w:p w14:paraId="0CAD67FD">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危险废物</w:t>
            </w:r>
            <w:r>
              <w:rPr>
                <w:rFonts w:hint="default"/>
                <w:szCs w:val="22"/>
                <w:lang w:val="en-GB" w:eastAsia="zh-CN"/>
              </w:rPr>
              <w:t>的临时贮存和管理执行</w:t>
            </w:r>
            <w:r>
              <w:rPr>
                <w:rFonts w:hint="eastAsia"/>
                <w:szCs w:val="22"/>
                <w:lang w:val="en-GB"/>
              </w:rPr>
              <w:t>《危险废物贮存污染控制标准》</w:t>
            </w:r>
            <w:r>
              <w:rPr>
                <w:rFonts w:hint="eastAsia"/>
                <w:szCs w:val="22"/>
                <w:lang w:val="en-GB" w:eastAsia="zh-CN"/>
              </w:rPr>
              <w:t>（</w:t>
            </w:r>
            <w:r>
              <w:rPr>
                <w:rFonts w:hint="eastAsia"/>
                <w:szCs w:val="22"/>
                <w:lang w:val="en-GB"/>
              </w:rPr>
              <w:t>GB 18597</w:t>
            </w:r>
            <w:r>
              <w:rPr>
                <w:rFonts w:hint="eastAsia"/>
                <w:szCs w:val="22"/>
                <w:lang w:val="en-US" w:eastAsia="zh-CN"/>
              </w:rPr>
              <w:t>-2023</w:t>
            </w:r>
            <w:r>
              <w:rPr>
                <w:rFonts w:hint="eastAsia"/>
                <w:szCs w:val="22"/>
                <w:lang w:val="en-GB" w:eastAsia="zh-CN"/>
              </w:rPr>
              <w:t>）</w:t>
            </w:r>
            <w:r>
              <w:rPr>
                <w:rFonts w:hint="eastAsia"/>
                <w:szCs w:val="22"/>
              </w:rPr>
              <w:t>要求。危废转移应严格按《危险废物转移联单管理办法》要求</w:t>
            </w:r>
          </w:p>
          <w:p w14:paraId="7B0FD1B3">
            <w:pPr>
              <w:pStyle w:val="38"/>
              <w:keepNext w:val="0"/>
              <w:keepLines w:val="0"/>
              <w:widowControl/>
              <w:suppressLineNumbers w:val="0"/>
              <w:bidi w:val="0"/>
              <w:spacing w:before="0" w:beforeAutospacing="0" w:after="0" w:afterAutospacing="0"/>
              <w:ind w:left="0" w:right="0"/>
              <w:rPr>
                <w:rFonts w:hint="default"/>
                <w:szCs w:val="22"/>
                <w:lang w:val="en-GB" w:eastAsia="zh-CN"/>
              </w:rPr>
            </w:pPr>
          </w:p>
        </w:tc>
      </w:tr>
      <w:tr w14:paraId="41D017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dxa"/>
            <w:vMerge w:val="continue"/>
            <w:noWrap w:val="0"/>
            <w:vAlign w:val="center"/>
          </w:tcPr>
          <w:p w14:paraId="0BBBDDEB">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77" w:type="dxa"/>
            <w:vMerge w:val="continue"/>
            <w:noWrap w:val="0"/>
            <w:vAlign w:val="center"/>
          </w:tcPr>
          <w:p w14:paraId="426A2E69">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59" w:type="dxa"/>
            <w:noWrap w:val="0"/>
            <w:vAlign w:val="center"/>
          </w:tcPr>
          <w:p w14:paraId="00CE0376">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rPr>
              <w:t>废机油</w:t>
            </w:r>
          </w:p>
        </w:tc>
        <w:tc>
          <w:tcPr>
            <w:tcW w:w="2141" w:type="dxa"/>
            <w:vMerge w:val="continue"/>
            <w:noWrap w:val="0"/>
            <w:vAlign w:val="center"/>
          </w:tcPr>
          <w:p w14:paraId="20A0FB8D">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2746" w:type="dxa"/>
            <w:vMerge w:val="continue"/>
            <w:noWrap w:val="0"/>
            <w:vAlign w:val="center"/>
          </w:tcPr>
          <w:p w14:paraId="7DAB69D6">
            <w:pPr>
              <w:pStyle w:val="38"/>
              <w:keepNext w:val="0"/>
              <w:keepLines w:val="0"/>
              <w:widowControl/>
              <w:suppressLineNumbers w:val="0"/>
              <w:bidi w:val="0"/>
              <w:spacing w:before="0" w:beforeAutospacing="0" w:after="0" w:afterAutospacing="0"/>
              <w:ind w:left="0" w:right="0"/>
              <w:rPr>
                <w:rFonts w:hint="default"/>
                <w:szCs w:val="22"/>
                <w:lang w:val="en-GB" w:eastAsia="zh-CN"/>
              </w:rPr>
            </w:pPr>
          </w:p>
        </w:tc>
      </w:tr>
      <w:tr w14:paraId="17771B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dxa"/>
            <w:vMerge w:val="continue"/>
            <w:noWrap w:val="0"/>
            <w:vAlign w:val="center"/>
          </w:tcPr>
          <w:p w14:paraId="7E6F904A">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77" w:type="dxa"/>
            <w:vMerge w:val="continue"/>
            <w:noWrap w:val="0"/>
            <w:vAlign w:val="center"/>
          </w:tcPr>
          <w:p w14:paraId="0D1EAE20">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59" w:type="dxa"/>
            <w:noWrap w:val="0"/>
            <w:vAlign w:val="center"/>
          </w:tcPr>
          <w:p w14:paraId="4441518B">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US" w:eastAsia="zh-CN"/>
              </w:rPr>
              <w:t>水帘柜废液</w:t>
            </w:r>
          </w:p>
        </w:tc>
        <w:tc>
          <w:tcPr>
            <w:tcW w:w="2141" w:type="dxa"/>
            <w:vMerge w:val="continue"/>
            <w:noWrap w:val="0"/>
            <w:vAlign w:val="center"/>
          </w:tcPr>
          <w:p w14:paraId="62B43826">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2746" w:type="dxa"/>
            <w:vMerge w:val="continue"/>
            <w:noWrap w:val="0"/>
            <w:vAlign w:val="center"/>
          </w:tcPr>
          <w:p w14:paraId="613B7B00">
            <w:pPr>
              <w:pStyle w:val="38"/>
              <w:keepNext w:val="0"/>
              <w:keepLines w:val="0"/>
              <w:widowControl/>
              <w:suppressLineNumbers w:val="0"/>
              <w:bidi w:val="0"/>
              <w:spacing w:before="0" w:beforeAutospacing="0" w:after="0" w:afterAutospacing="0"/>
              <w:ind w:left="0" w:right="0"/>
              <w:rPr>
                <w:rFonts w:hint="default"/>
                <w:szCs w:val="22"/>
                <w:lang w:val="en-GB" w:eastAsia="zh-CN"/>
              </w:rPr>
            </w:pPr>
          </w:p>
        </w:tc>
      </w:tr>
      <w:tr w14:paraId="79E7E6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dxa"/>
            <w:vMerge w:val="continue"/>
            <w:noWrap w:val="0"/>
            <w:vAlign w:val="center"/>
          </w:tcPr>
          <w:p w14:paraId="1E38076E">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77" w:type="dxa"/>
            <w:vMerge w:val="continue"/>
            <w:noWrap w:val="0"/>
            <w:vAlign w:val="center"/>
          </w:tcPr>
          <w:p w14:paraId="4066F693">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59" w:type="dxa"/>
            <w:noWrap w:val="0"/>
            <w:vAlign w:val="center"/>
          </w:tcPr>
          <w:p w14:paraId="4181840A">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US" w:eastAsia="zh-CN"/>
              </w:rPr>
              <w:t>废漆渣</w:t>
            </w:r>
          </w:p>
        </w:tc>
        <w:tc>
          <w:tcPr>
            <w:tcW w:w="2141" w:type="dxa"/>
            <w:vMerge w:val="continue"/>
            <w:noWrap w:val="0"/>
            <w:vAlign w:val="center"/>
          </w:tcPr>
          <w:p w14:paraId="42044847">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2746" w:type="dxa"/>
            <w:vMerge w:val="continue"/>
            <w:noWrap w:val="0"/>
            <w:vAlign w:val="center"/>
          </w:tcPr>
          <w:p w14:paraId="56E3999D">
            <w:pPr>
              <w:pStyle w:val="38"/>
              <w:keepNext w:val="0"/>
              <w:keepLines w:val="0"/>
              <w:widowControl/>
              <w:suppressLineNumbers w:val="0"/>
              <w:bidi w:val="0"/>
              <w:spacing w:before="0" w:beforeAutospacing="0" w:after="0" w:afterAutospacing="0"/>
              <w:ind w:left="0" w:right="0"/>
              <w:rPr>
                <w:rFonts w:hint="default"/>
                <w:szCs w:val="22"/>
                <w:lang w:val="en-GB" w:eastAsia="zh-CN"/>
              </w:rPr>
            </w:pPr>
          </w:p>
        </w:tc>
      </w:tr>
      <w:tr w14:paraId="38A9A6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dxa"/>
            <w:vMerge w:val="continue"/>
            <w:noWrap w:val="0"/>
            <w:vAlign w:val="center"/>
          </w:tcPr>
          <w:p w14:paraId="1EE8633F">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77" w:type="dxa"/>
            <w:vMerge w:val="continue"/>
            <w:noWrap w:val="0"/>
            <w:vAlign w:val="center"/>
          </w:tcPr>
          <w:p w14:paraId="566E0E00">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59" w:type="dxa"/>
            <w:noWrap w:val="0"/>
            <w:vAlign w:val="center"/>
          </w:tcPr>
          <w:p w14:paraId="305040CD">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eastAsia"/>
                <w:szCs w:val="22"/>
                <w:lang w:val="en-US" w:eastAsia="zh-CN"/>
              </w:rPr>
              <w:t>废水性漆桶</w:t>
            </w:r>
          </w:p>
        </w:tc>
        <w:tc>
          <w:tcPr>
            <w:tcW w:w="2141" w:type="dxa"/>
            <w:vMerge w:val="continue"/>
            <w:noWrap w:val="0"/>
            <w:vAlign w:val="center"/>
          </w:tcPr>
          <w:p w14:paraId="7D90C975">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2746" w:type="dxa"/>
            <w:vMerge w:val="continue"/>
            <w:noWrap w:val="0"/>
            <w:vAlign w:val="center"/>
          </w:tcPr>
          <w:p w14:paraId="3AE5C4FA">
            <w:pPr>
              <w:pStyle w:val="38"/>
              <w:keepNext w:val="0"/>
              <w:keepLines w:val="0"/>
              <w:widowControl/>
              <w:suppressLineNumbers w:val="0"/>
              <w:bidi w:val="0"/>
              <w:spacing w:before="0" w:beforeAutospacing="0" w:after="0" w:afterAutospacing="0"/>
              <w:ind w:left="0" w:right="0"/>
              <w:rPr>
                <w:rFonts w:hint="default"/>
                <w:szCs w:val="22"/>
                <w:lang w:val="en-GB" w:eastAsia="zh-CN"/>
              </w:rPr>
            </w:pPr>
          </w:p>
        </w:tc>
      </w:tr>
      <w:tr w14:paraId="0C1B9C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dxa"/>
            <w:vMerge w:val="continue"/>
            <w:noWrap w:val="0"/>
            <w:vAlign w:val="center"/>
          </w:tcPr>
          <w:p w14:paraId="2DC7B484">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77" w:type="dxa"/>
            <w:vMerge w:val="continue"/>
            <w:noWrap w:val="0"/>
            <w:vAlign w:val="center"/>
          </w:tcPr>
          <w:p w14:paraId="32688C9C">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59" w:type="dxa"/>
            <w:noWrap w:val="0"/>
            <w:vAlign w:val="center"/>
          </w:tcPr>
          <w:p w14:paraId="4D7B248B">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eastAsia"/>
                <w:szCs w:val="22"/>
                <w:lang w:val="en-US" w:eastAsia="zh-CN"/>
              </w:rPr>
              <w:t>废过滤棉</w:t>
            </w:r>
          </w:p>
        </w:tc>
        <w:tc>
          <w:tcPr>
            <w:tcW w:w="2141" w:type="dxa"/>
            <w:vMerge w:val="continue"/>
            <w:noWrap w:val="0"/>
            <w:vAlign w:val="center"/>
          </w:tcPr>
          <w:p w14:paraId="739814F6">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2746" w:type="dxa"/>
            <w:vMerge w:val="continue"/>
            <w:noWrap w:val="0"/>
            <w:vAlign w:val="center"/>
          </w:tcPr>
          <w:p w14:paraId="0A78E229">
            <w:pPr>
              <w:pStyle w:val="38"/>
              <w:keepNext w:val="0"/>
              <w:keepLines w:val="0"/>
              <w:widowControl/>
              <w:suppressLineNumbers w:val="0"/>
              <w:bidi w:val="0"/>
              <w:spacing w:before="0" w:beforeAutospacing="0" w:after="0" w:afterAutospacing="0"/>
              <w:ind w:left="0" w:right="0"/>
              <w:rPr>
                <w:rFonts w:hint="default"/>
                <w:szCs w:val="22"/>
                <w:lang w:val="en-GB" w:eastAsia="zh-CN"/>
              </w:rPr>
            </w:pPr>
          </w:p>
        </w:tc>
      </w:tr>
      <w:tr w14:paraId="6A6D9A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dxa"/>
            <w:vMerge w:val="continue"/>
            <w:noWrap w:val="0"/>
            <w:vAlign w:val="center"/>
          </w:tcPr>
          <w:p w14:paraId="72BBEFA7">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77" w:type="dxa"/>
            <w:vMerge w:val="continue"/>
            <w:noWrap w:val="0"/>
            <w:vAlign w:val="center"/>
          </w:tcPr>
          <w:p w14:paraId="7007976D">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59" w:type="dxa"/>
            <w:noWrap w:val="0"/>
            <w:vAlign w:val="center"/>
          </w:tcPr>
          <w:p w14:paraId="6CF13AA0">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eastAsia"/>
                <w:szCs w:val="22"/>
                <w:lang w:val="en-US" w:eastAsia="zh-CN"/>
              </w:rPr>
              <w:t>废油性漆桶</w:t>
            </w:r>
          </w:p>
        </w:tc>
        <w:tc>
          <w:tcPr>
            <w:tcW w:w="2141" w:type="dxa"/>
            <w:vMerge w:val="continue"/>
            <w:noWrap w:val="0"/>
            <w:vAlign w:val="center"/>
          </w:tcPr>
          <w:p w14:paraId="4871738F">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2746" w:type="dxa"/>
            <w:vMerge w:val="continue"/>
            <w:noWrap w:val="0"/>
            <w:vAlign w:val="center"/>
          </w:tcPr>
          <w:p w14:paraId="25E49CE4">
            <w:pPr>
              <w:pStyle w:val="38"/>
              <w:keepNext w:val="0"/>
              <w:keepLines w:val="0"/>
              <w:widowControl/>
              <w:suppressLineNumbers w:val="0"/>
              <w:bidi w:val="0"/>
              <w:spacing w:before="0" w:beforeAutospacing="0" w:after="0" w:afterAutospacing="0"/>
              <w:ind w:left="0" w:right="0"/>
              <w:rPr>
                <w:rFonts w:hint="default"/>
                <w:szCs w:val="22"/>
                <w:lang w:val="en-GB" w:eastAsia="zh-CN"/>
              </w:rPr>
            </w:pPr>
          </w:p>
        </w:tc>
      </w:tr>
      <w:tr w14:paraId="67E7AD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dxa"/>
            <w:vMerge w:val="continue"/>
            <w:noWrap w:val="0"/>
            <w:vAlign w:val="center"/>
          </w:tcPr>
          <w:p w14:paraId="537992BF">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1477" w:type="dxa"/>
            <w:noWrap w:val="0"/>
            <w:vAlign w:val="center"/>
          </w:tcPr>
          <w:p w14:paraId="3850FE33">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US" w:eastAsia="zh-CN"/>
              </w:rPr>
              <w:t>生活垃圾</w:t>
            </w:r>
          </w:p>
        </w:tc>
        <w:tc>
          <w:tcPr>
            <w:tcW w:w="1459" w:type="dxa"/>
            <w:noWrap w:val="0"/>
            <w:vAlign w:val="center"/>
          </w:tcPr>
          <w:p w14:paraId="558AF589">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US" w:eastAsia="zh-CN"/>
              </w:rPr>
              <w:t>生活垃圾</w:t>
            </w:r>
          </w:p>
        </w:tc>
        <w:tc>
          <w:tcPr>
            <w:tcW w:w="2141" w:type="dxa"/>
            <w:noWrap w:val="0"/>
            <w:vAlign w:val="center"/>
          </w:tcPr>
          <w:p w14:paraId="340BCCA0">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eastAsia"/>
                <w:szCs w:val="22"/>
              </w:rPr>
              <w:t>收集后由环卫部门清运处理</w:t>
            </w:r>
          </w:p>
        </w:tc>
        <w:tc>
          <w:tcPr>
            <w:tcW w:w="2746" w:type="dxa"/>
            <w:noWrap w:val="0"/>
            <w:vAlign w:val="center"/>
          </w:tcPr>
          <w:p w14:paraId="1F471F81">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eastAsia"/>
                <w:szCs w:val="22"/>
              </w:rPr>
              <w:t>验收措施落实情况</w:t>
            </w:r>
          </w:p>
        </w:tc>
      </w:tr>
      <w:tr w14:paraId="38D12C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dxa"/>
            <w:noWrap w:val="0"/>
            <w:vAlign w:val="center"/>
          </w:tcPr>
          <w:p w14:paraId="54E64641">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土壤及地下水污染防治措施</w:t>
            </w:r>
          </w:p>
        </w:tc>
        <w:tc>
          <w:tcPr>
            <w:tcW w:w="7823" w:type="dxa"/>
            <w:gridSpan w:val="4"/>
            <w:noWrap w:val="0"/>
            <w:vAlign w:val="center"/>
          </w:tcPr>
          <w:p w14:paraId="1851FBA0">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合理进行防渗区域划分，危险暂存间等四周设置导流沟，地面采取防渗，按重点污染区防渗要求进行建设；一般工业固废间、项目生产车间等按一般污染区防渗要求进行建设</w:t>
            </w:r>
            <w:r>
              <w:rPr>
                <w:rFonts w:hint="eastAsia"/>
                <w:szCs w:val="22"/>
                <w:lang w:val="en-GB" w:eastAsia="zh-CN"/>
              </w:rPr>
              <w:t>且</w:t>
            </w:r>
            <w:r>
              <w:rPr>
                <w:rFonts w:hint="default"/>
                <w:szCs w:val="22"/>
                <w:lang w:val="en-GB" w:eastAsia="zh-CN"/>
              </w:rPr>
              <w:t>具有防雨、防渗、防风、防日晒等功能</w:t>
            </w:r>
          </w:p>
        </w:tc>
      </w:tr>
      <w:tr w14:paraId="40B661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dxa"/>
            <w:noWrap w:val="0"/>
            <w:vAlign w:val="center"/>
          </w:tcPr>
          <w:p w14:paraId="0F3A6684">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生态保护措施</w:t>
            </w:r>
          </w:p>
        </w:tc>
        <w:tc>
          <w:tcPr>
            <w:tcW w:w="7823" w:type="dxa"/>
            <w:gridSpan w:val="4"/>
            <w:noWrap w:val="0"/>
            <w:vAlign w:val="center"/>
          </w:tcPr>
          <w:p w14:paraId="28CB0C24">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无</w:t>
            </w:r>
          </w:p>
        </w:tc>
      </w:tr>
      <w:tr w14:paraId="4D4EF4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dxa"/>
            <w:noWrap w:val="0"/>
            <w:vAlign w:val="center"/>
          </w:tcPr>
          <w:p w14:paraId="1662CACD">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环境风险</w:t>
            </w:r>
          </w:p>
          <w:p w14:paraId="770F6808">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防范措施</w:t>
            </w:r>
          </w:p>
        </w:tc>
        <w:tc>
          <w:tcPr>
            <w:tcW w:w="7823" w:type="dxa"/>
            <w:gridSpan w:val="4"/>
            <w:noWrap w:val="0"/>
            <w:vAlign w:val="center"/>
          </w:tcPr>
          <w:p w14:paraId="5735CB5A">
            <w:pPr>
              <w:pStyle w:val="38"/>
              <w:keepNext w:val="0"/>
              <w:keepLines w:val="0"/>
              <w:widowControl/>
              <w:suppressLineNumbers w:val="0"/>
              <w:bidi w:val="0"/>
              <w:spacing w:before="0" w:beforeAutospacing="0" w:after="0" w:afterAutospacing="0"/>
              <w:ind w:left="0" w:right="0"/>
              <w:rPr>
                <w:rFonts w:hint="default"/>
                <w:szCs w:val="22"/>
                <w:lang w:eastAsia="zh-CN"/>
              </w:rPr>
            </w:pPr>
            <w:r>
              <w:rPr>
                <w:rFonts w:hint="default"/>
                <w:szCs w:val="22"/>
                <w:lang w:val="en-US" w:eastAsia="zh-CN"/>
              </w:rPr>
              <w:t>危险暂存间等四周设置导流沟，地面采取防渗、设置围堰等风险防范措施；加强消防设施和灭火器材的配备，严格落实有关消防技术规范的规定，加强人员疏散设施管理，保证疏散通道畅通。定期进行防火安全检查，确保消防设施完整等。</w:t>
            </w:r>
          </w:p>
        </w:tc>
      </w:tr>
      <w:tr w14:paraId="304CA6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dxa"/>
            <w:noWrap w:val="0"/>
            <w:vAlign w:val="center"/>
          </w:tcPr>
          <w:p w14:paraId="33B2EDC2">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其他环境</w:t>
            </w:r>
          </w:p>
          <w:p w14:paraId="4C4FD97B">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GB" w:eastAsia="zh-CN"/>
              </w:rPr>
              <w:t>管理要求</w:t>
            </w:r>
          </w:p>
        </w:tc>
        <w:tc>
          <w:tcPr>
            <w:tcW w:w="7823" w:type="dxa"/>
            <w:gridSpan w:val="4"/>
            <w:noWrap w:val="0"/>
            <w:vAlign w:val="center"/>
          </w:tcPr>
          <w:p w14:paraId="332193F0">
            <w:pPr>
              <w:pStyle w:val="3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right="0" w:firstLine="420" w:firstLineChars="200"/>
              <w:jc w:val="both"/>
              <w:textAlignment w:val="auto"/>
              <w:rPr>
                <w:rFonts w:hint="default"/>
                <w:szCs w:val="22"/>
                <w:lang w:val="en-US" w:eastAsia="zh-CN"/>
              </w:rPr>
            </w:pPr>
            <w:r>
              <w:rPr>
                <w:rFonts w:hint="default"/>
                <w:szCs w:val="22"/>
                <w:lang w:val="en-US" w:eastAsia="zh-CN"/>
              </w:rPr>
              <w:t>（1）排污口规范管理</w:t>
            </w:r>
          </w:p>
          <w:p w14:paraId="70AAAB67">
            <w:pPr>
              <w:pStyle w:val="3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right="0" w:firstLine="420" w:firstLineChars="200"/>
              <w:jc w:val="both"/>
              <w:textAlignment w:val="auto"/>
              <w:rPr>
                <w:rFonts w:hint="default"/>
                <w:szCs w:val="22"/>
                <w:lang w:val="en-US" w:eastAsia="zh-CN"/>
              </w:rPr>
            </w:pPr>
            <w:r>
              <w:rPr>
                <w:rFonts w:hint="default"/>
                <w:szCs w:val="22"/>
                <w:lang w:val="en-US" w:eastAsia="zh-CN"/>
              </w:rPr>
              <w:t>各污染源排放口应设置专项图标，执行《环境保护图形标志—排放口</w:t>
            </w:r>
            <w:r>
              <w:rPr>
                <w:rFonts w:hint="eastAsia"/>
                <w:szCs w:val="22"/>
                <w:lang w:val="en-US" w:eastAsia="zh-CN"/>
              </w:rPr>
              <w:t>（</w:t>
            </w:r>
            <w:r>
              <w:rPr>
                <w:rFonts w:hint="default"/>
                <w:szCs w:val="22"/>
                <w:lang w:val="en-US" w:eastAsia="zh-CN"/>
              </w:rPr>
              <w:t>源</w:t>
            </w:r>
            <w:r>
              <w:rPr>
                <w:rFonts w:hint="eastAsia"/>
                <w:szCs w:val="22"/>
                <w:lang w:val="en-US" w:eastAsia="zh-CN"/>
              </w:rPr>
              <w:t>）</w:t>
            </w:r>
            <w:r>
              <w:rPr>
                <w:rFonts w:hint="default"/>
                <w:szCs w:val="22"/>
                <w:lang w:val="en-US" w:eastAsia="zh-CN"/>
              </w:rPr>
              <w:t>》</w:t>
            </w:r>
            <w:r>
              <w:rPr>
                <w:rFonts w:hint="eastAsia"/>
                <w:szCs w:val="22"/>
                <w:lang w:val="en-US" w:eastAsia="zh-CN"/>
              </w:rPr>
              <w:t>（</w:t>
            </w:r>
            <w:r>
              <w:rPr>
                <w:rFonts w:hint="default"/>
                <w:szCs w:val="22"/>
                <w:lang w:val="en-US" w:eastAsia="zh-CN"/>
              </w:rPr>
              <w:t>GB15563.1-1995</w:t>
            </w:r>
            <w:r>
              <w:rPr>
                <w:rFonts w:hint="eastAsia"/>
                <w:szCs w:val="22"/>
                <w:lang w:val="en-US" w:eastAsia="zh-CN"/>
              </w:rPr>
              <w:t>）</w:t>
            </w:r>
            <w:r>
              <w:rPr>
                <w:rFonts w:hint="default"/>
                <w:szCs w:val="22"/>
                <w:lang w:val="en-US" w:eastAsia="zh-CN"/>
              </w:rPr>
              <w:t>，要求各排放口</w:t>
            </w:r>
            <w:r>
              <w:rPr>
                <w:rFonts w:hint="eastAsia"/>
                <w:szCs w:val="22"/>
                <w:lang w:val="en-US" w:eastAsia="zh-CN"/>
              </w:rPr>
              <w:t>（</w:t>
            </w:r>
            <w:r>
              <w:rPr>
                <w:rFonts w:hint="default"/>
                <w:szCs w:val="22"/>
                <w:lang w:val="en-US" w:eastAsia="zh-CN"/>
              </w:rPr>
              <w:t>源</w:t>
            </w:r>
            <w:r>
              <w:rPr>
                <w:rFonts w:hint="eastAsia"/>
                <w:szCs w:val="22"/>
                <w:lang w:val="en-US" w:eastAsia="zh-CN"/>
              </w:rPr>
              <w:t>）</w:t>
            </w:r>
            <w:r>
              <w:rPr>
                <w:rFonts w:hint="default"/>
                <w:szCs w:val="22"/>
                <w:lang w:val="en-US" w:eastAsia="zh-CN"/>
              </w:rPr>
              <w:t>提示标志形状采用正方形边框，背景颜色采用绿色，图形颜色采用白色。标志牌应设在与之功能相应的醒目处，并保持清晰、完整，具体详见表5.1-1。</w:t>
            </w:r>
          </w:p>
          <w:p w14:paraId="10D44129">
            <w:pPr>
              <w:pStyle w:val="39"/>
              <w:keepNext w:val="0"/>
              <w:keepLines w:val="0"/>
              <w:suppressLineNumbers w:val="0"/>
              <w:bidi w:val="0"/>
              <w:spacing w:before="0" w:beforeAutospacing="0" w:after="0" w:afterAutospacing="0"/>
              <w:ind w:left="0" w:right="0"/>
              <w:rPr>
                <w:rFonts w:hint="default"/>
              </w:rPr>
            </w:pPr>
            <w:r>
              <w:rPr>
                <w:rFonts w:hint="default"/>
              </w:rPr>
              <w:t>表5.1-1  排污口图形符号</w:t>
            </w:r>
            <w:r>
              <w:rPr>
                <w:rFonts w:hint="eastAsia"/>
                <w:lang w:eastAsia="zh-CN"/>
              </w:rPr>
              <w:t>（</w:t>
            </w:r>
            <w:r>
              <w:rPr>
                <w:rFonts w:hint="default"/>
              </w:rPr>
              <w:t>提示标志</w:t>
            </w:r>
            <w:r>
              <w:rPr>
                <w:rFonts w:hint="eastAsia"/>
                <w:lang w:eastAsia="zh-CN"/>
              </w:rPr>
              <w:t>）</w:t>
            </w:r>
            <w:r>
              <w:rPr>
                <w:rFonts w:hint="default"/>
              </w:rPr>
              <w:t>一览表</w:t>
            </w:r>
          </w:p>
          <w:tbl>
            <w:tblPr>
              <w:tblStyle w:val="29"/>
              <w:tblW w:w="4998" w:type="pct"/>
              <w:jc w:val="center"/>
              <w:tblBorders>
                <w:top w:val="none" w:color="auto" w:sz="0" w:space="0"/>
                <w:left w:val="none" w:color="auto" w:sz="0" w:space="0"/>
                <w:bottom w:val="none" w:color="auto" w:sz="0"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362"/>
              <w:gridCol w:w="1233"/>
              <w:gridCol w:w="1233"/>
              <w:gridCol w:w="1233"/>
              <w:gridCol w:w="1277"/>
              <w:gridCol w:w="1266"/>
            </w:tblGrid>
            <w:tr w14:paraId="327F3240">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04" w:type="pct"/>
                  <w:tcBorders>
                    <w:top w:val="single" w:color="auto" w:sz="12" w:space="0"/>
                    <w:left w:val="nil"/>
                    <w:bottom w:val="single" w:color="auto" w:sz="6" w:space="0"/>
                    <w:right w:val="single" w:color="auto" w:sz="6" w:space="0"/>
                    <w:tl2br w:val="single" w:color="auto" w:sz="4" w:space="0"/>
                  </w:tcBorders>
                  <w:noWrap w:val="0"/>
                  <w:vAlign w:val="center"/>
                </w:tcPr>
                <w:p w14:paraId="676D4BD1">
                  <w:pPr>
                    <w:pStyle w:val="38"/>
                    <w:keepNext w:val="0"/>
                    <w:keepLines w:val="0"/>
                    <w:widowControl/>
                    <w:suppressLineNumbers w:val="0"/>
                    <w:bidi w:val="0"/>
                    <w:spacing w:before="0" w:beforeAutospacing="0" w:after="0" w:afterAutospacing="0"/>
                    <w:ind w:left="0" w:right="0"/>
                    <w:rPr>
                      <w:rFonts w:hint="eastAsia"/>
                      <w:szCs w:val="22"/>
                      <w:lang w:val="en-GB"/>
                    </w:rPr>
                  </w:pPr>
                  <w:bookmarkStart w:id="49" w:name="_Toc24814499"/>
                  <w:r>
                    <w:rPr>
                      <w:rFonts w:hint="eastAsia"/>
                      <w:szCs w:val="22"/>
                      <w:lang w:val="en-GB"/>
                    </w:rPr>
                    <w:t xml:space="preserve">  排放部位</w:t>
                  </w:r>
                </w:p>
                <w:p w14:paraId="5317EA82">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项目</w:t>
                  </w:r>
                </w:p>
              </w:tc>
              <w:tc>
                <w:tcPr>
                  <w:tcW w:w="819" w:type="pct"/>
                  <w:tcBorders>
                    <w:top w:val="single" w:color="auto" w:sz="12" w:space="0"/>
                    <w:left w:val="single" w:color="auto" w:sz="6" w:space="0"/>
                    <w:bottom w:val="single" w:color="auto" w:sz="6" w:space="0"/>
                    <w:right w:val="single" w:color="auto" w:sz="6" w:space="0"/>
                  </w:tcBorders>
                  <w:noWrap w:val="0"/>
                  <w:vAlign w:val="center"/>
                </w:tcPr>
                <w:p w14:paraId="7F25D5AF">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污水排放口</w:t>
                  </w:r>
                </w:p>
              </w:tc>
              <w:tc>
                <w:tcPr>
                  <w:tcW w:w="819" w:type="pct"/>
                  <w:tcBorders>
                    <w:top w:val="single" w:color="auto" w:sz="12" w:space="0"/>
                    <w:left w:val="single" w:color="auto" w:sz="6" w:space="0"/>
                    <w:bottom w:val="single" w:color="auto" w:sz="6" w:space="0"/>
                    <w:right w:val="single" w:color="auto" w:sz="6" w:space="0"/>
                  </w:tcBorders>
                  <w:noWrap w:val="0"/>
                  <w:vAlign w:val="center"/>
                </w:tcPr>
                <w:p w14:paraId="556488A4">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废气排放口</w:t>
                  </w:r>
                </w:p>
              </w:tc>
              <w:tc>
                <w:tcPr>
                  <w:tcW w:w="819" w:type="pct"/>
                  <w:tcBorders>
                    <w:top w:val="single" w:color="auto" w:sz="12" w:space="0"/>
                    <w:left w:val="single" w:color="auto" w:sz="6" w:space="0"/>
                    <w:bottom w:val="single" w:color="auto" w:sz="6" w:space="0"/>
                    <w:right w:val="single" w:color="auto" w:sz="6" w:space="0"/>
                  </w:tcBorders>
                  <w:noWrap w:val="0"/>
                  <w:vAlign w:val="center"/>
                </w:tcPr>
                <w:p w14:paraId="014D2A16">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噪声排放源</w:t>
                  </w:r>
                </w:p>
              </w:tc>
              <w:tc>
                <w:tcPr>
                  <w:tcW w:w="848" w:type="pct"/>
                  <w:tcBorders>
                    <w:top w:val="single" w:color="auto" w:sz="12" w:space="0"/>
                    <w:left w:val="single" w:color="auto" w:sz="6" w:space="0"/>
                    <w:bottom w:val="single" w:color="auto" w:sz="6" w:space="0"/>
                    <w:right w:val="single" w:color="auto" w:sz="6" w:space="0"/>
                  </w:tcBorders>
                  <w:noWrap w:val="0"/>
                  <w:vAlign w:val="center"/>
                </w:tcPr>
                <w:p w14:paraId="56A089AB">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一般工业固废</w:t>
                  </w:r>
                </w:p>
              </w:tc>
              <w:tc>
                <w:tcPr>
                  <w:tcW w:w="788" w:type="pct"/>
                  <w:tcBorders>
                    <w:top w:val="single" w:color="auto" w:sz="12" w:space="0"/>
                    <w:left w:val="single" w:color="auto" w:sz="6" w:space="0"/>
                    <w:bottom w:val="single" w:color="auto" w:sz="6" w:space="0"/>
                    <w:right w:val="nil"/>
                  </w:tcBorders>
                  <w:noWrap w:val="0"/>
                  <w:vAlign w:val="center"/>
                </w:tcPr>
                <w:p w14:paraId="7B77348C">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危险废物</w:t>
                  </w:r>
                </w:p>
              </w:tc>
            </w:tr>
            <w:tr w14:paraId="09FBA46D">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04" w:type="pct"/>
                  <w:tcBorders>
                    <w:top w:val="single" w:color="auto" w:sz="6" w:space="0"/>
                    <w:left w:val="nil"/>
                    <w:bottom w:val="single" w:color="auto" w:sz="6" w:space="0"/>
                    <w:right w:val="single" w:color="auto" w:sz="6" w:space="0"/>
                  </w:tcBorders>
                  <w:noWrap w:val="0"/>
                  <w:vAlign w:val="center"/>
                </w:tcPr>
                <w:p w14:paraId="2D5285C8">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图形符号</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43F0098B">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rPr>
                    <mc:AlternateContent>
                      <mc:Choice Requires="wpg">
                        <w:drawing>
                          <wp:anchor distT="0" distB="0" distL="114300" distR="114300" simplePos="0" relativeHeight="251662336" behindDoc="0" locked="0" layoutInCell="1" allowOverlap="1">
                            <wp:simplePos x="0" y="0"/>
                            <wp:positionH relativeFrom="column">
                              <wp:posOffset>49530</wp:posOffset>
                            </wp:positionH>
                            <wp:positionV relativeFrom="paragraph">
                              <wp:posOffset>20955</wp:posOffset>
                            </wp:positionV>
                            <wp:extent cx="2950845" cy="649605"/>
                            <wp:effectExtent l="0" t="0" r="1905" b="17145"/>
                            <wp:wrapNone/>
                            <wp:docPr id="58" name="组合 8"/>
                            <wp:cNvGraphicFramePr/>
                            <a:graphic xmlns:a="http://schemas.openxmlformats.org/drawingml/2006/main">
                              <a:graphicData uri="http://schemas.microsoft.com/office/word/2010/wordprocessingGroup">
                                <wpg:wgp>
                                  <wpg:cNvGrpSpPr/>
                                  <wpg:grpSpPr>
                                    <a:xfrm>
                                      <a:off x="0" y="0"/>
                                      <a:ext cx="2950845" cy="649605"/>
                                      <a:chOff x="4407" y="1049350"/>
                                      <a:chExt cx="4805" cy="1057"/>
                                    </a:xfrm>
                                    <a:effectLst/>
                                  </wpg:grpSpPr>
                                  <pic:pic xmlns:pic="http://schemas.openxmlformats.org/drawingml/2006/picture">
                                    <pic:nvPicPr>
                                      <pic:cNvPr id="59" name="图片 754" descr="1"/>
                                      <pic:cNvPicPr>
                                        <a:picLocks noChangeAspect="1"/>
                                      </pic:cNvPicPr>
                                    </pic:nvPicPr>
                                    <pic:blipFill>
                                      <a:blip r:embed="rId53"/>
                                      <a:stretch>
                                        <a:fillRect/>
                                      </a:stretch>
                                    </pic:blipFill>
                                    <pic:spPr>
                                      <a:xfrm>
                                        <a:off x="4407" y="1049350"/>
                                        <a:ext cx="1031" cy="1031"/>
                                      </a:xfrm>
                                      <a:prstGeom prst="rect">
                                        <a:avLst/>
                                      </a:prstGeom>
                                      <a:noFill/>
                                      <a:ln>
                                        <a:noFill/>
                                      </a:ln>
                                      <a:effectLst/>
                                    </pic:spPr>
                                  </pic:pic>
                                  <pic:pic xmlns:pic="http://schemas.openxmlformats.org/drawingml/2006/picture">
                                    <pic:nvPicPr>
                                      <pic:cNvPr id="60" name="图片 755" descr="点击看大图及详细资料"/>
                                      <pic:cNvPicPr>
                                        <a:picLocks noChangeAspect="1"/>
                                      </pic:cNvPicPr>
                                    </pic:nvPicPr>
                                    <pic:blipFill>
                                      <a:blip r:embed="rId54"/>
                                      <a:stretch>
                                        <a:fillRect/>
                                      </a:stretch>
                                    </pic:blipFill>
                                    <pic:spPr>
                                      <a:xfrm>
                                        <a:off x="5651" y="1049375"/>
                                        <a:ext cx="1031" cy="1031"/>
                                      </a:xfrm>
                                      <a:prstGeom prst="rect">
                                        <a:avLst/>
                                      </a:prstGeom>
                                      <a:noFill/>
                                      <a:ln>
                                        <a:noFill/>
                                      </a:ln>
                                      <a:effectLst/>
                                    </pic:spPr>
                                  </pic:pic>
                                  <pic:pic xmlns:pic="http://schemas.openxmlformats.org/drawingml/2006/picture">
                                    <pic:nvPicPr>
                                      <pic:cNvPr id="61" name="图片 756" descr="点击看大图及详细资料"/>
                                      <pic:cNvPicPr>
                                        <a:picLocks noChangeAspect="1"/>
                                      </pic:cNvPicPr>
                                    </pic:nvPicPr>
                                    <pic:blipFill>
                                      <a:blip r:embed="rId55"/>
                                      <a:stretch>
                                        <a:fillRect/>
                                      </a:stretch>
                                    </pic:blipFill>
                                    <pic:spPr>
                                      <a:xfrm>
                                        <a:off x="6899" y="1049361"/>
                                        <a:ext cx="1034" cy="1031"/>
                                      </a:xfrm>
                                      <a:prstGeom prst="rect">
                                        <a:avLst/>
                                      </a:prstGeom>
                                      <a:noFill/>
                                      <a:ln>
                                        <a:noFill/>
                                      </a:ln>
                                      <a:effectLst/>
                                    </pic:spPr>
                                  </pic:pic>
                                  <pic:pic xmlns:pic="http://schemas.openxmlformats.org/drawingml/2006/picture">
                                    <pic:nvPicPr>
                                      <pic:cNvPr id="62" name="图片 757" descr="一般固废"/>
                                      <pic:cNvPicPr preferRelativeResize="0"/>
                                    </pic:nvPicPr>
                                    <pic:blipFill>
                                      <a:blip r:embed="rId56"/>
                                      <a:stretch>
                                        <a:fillRect/>
                                      </a:stretch>
                                    </pic:blipFill>
                                    <pic:spPr>
                                      <a:xfrm>
                                        <a:off x="8179" y="1049376"/>
                                        <a:ext cx="1033" cy="1031"/>
                                      </a:xfrm>
                                      <a:prstGeom prst="rect">
                                        <a:avLst/>
                                      </a:prstGeom>
                                      <a:noFill/>
                                      <a:ln>
                                        <a:noFill/>
                                      </a:ln>
                                      <a:effectLst/>
                                    </pic:spPr>
                                  </pic:pic>
                                </wpg:wgp>
                              </a:graphicData>
                            </a:graphic>
                          </wp:anchor>
                        </w:drawing>
                      </mc:Choice>
                      <mc:Fallback>
                        <w:pict>
                          <v:group id="组合 8" o:spid="_x0000_s1026" o:spt="203" style="position:absolute;left:0pt;margin-left:3.9pt;margin-top:1.65pt;height:51.15pt;width:232.35pt;z-index:251662336;mso-width-relative:page;mso-height-relative:page;" coordorigin="4407,1049350" coordsize="4805,1057" o:gfxdata="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">
                            <o:lock v:ext="edit" aspectratio="f"/>
                            <v:shape id="图片 754" o:spid="_x0000_s1026" o:spt="75" alt="1" type="#_x0000_t75" style="position:absolute;left:4407;top:1049350;height:1031;width:1031;" filled="f" o:preferrelative="t" stroked="f" coordsize="21600,21600" o:gfxdata="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XAXIL4A&#10;AADbAAAADwAAAAAAAAABACAAAAAiAAAAZHJzL2Rvd25yZXYueG1sUEsBAhQAFAAAAAgAh07iQDMv&#10;BZ47AAAAOQAAABAAAAAAAAAAAQAgAAAADQEAAGRycy9zaGFwZXhtbC54bWxQSwUGAAAAAAYABgBb&#10;AQAAtwMAAAAA&#10;">
                              <v:fill on="f" focussize="0,0"/>
                              <v:stroke on="f"/>
                              <v:imagedata r:id="rId53" o:title=""/>
                              <o:lock v:ext="edit" aspectratio="t"/>
                            </v:shape>
                            <v:shape id="图片 755" o:spid="_x0000_s1026" o:spt="75" alt="点击看大图及详细资料" type="#_x0000_t75" style="position:absolute;left:5651;top:1049375;height:1031;width:1031;" filled="f" o:preferrelative="t" stroked="f" coordsize="21600,21600" o:gfxdata="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DzCXvQAA&#10;ANsAAAAPAAAAAAAAAAEAIAAAACIAAABkcnMvZG93bnJldi54bWxQSwECFAAUAAAACACHTuJAMy8F&#10;njsAAAA5AAAAEAAAAAAAAAABACAAAAAMAQAAZHJzL3NoYXBleG1sLnhtbFBLBQYAAAAABgAGAFsB&#10;AAC2AwAAAAA=&#10;">
                              <v:fill on="f" focussize="0,0"/>
                              <v:stroke on="f"/>
                              <v:imagedata r:id="rId54" o:title=""/>
                              <o:lock v:ext="edit" aspectratio="t"/>
                            </v:shape>
                            <v:shape id="图片 756" o:spid="_x0000_s1026" o:spt="75" alt="点击看大图及详细资料" type="#_x0000_t75" style="position:absolute;left:6899;top:1049361;height:1031;width:1034;" filled="f" o:preferrelative="t" stroked="f" coordsize="21600,21600" o:gfxdata="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9V15i8AAAA&#10;2wAAAA8AAAAAAAAAAQAgAAAAIgAAAGRycy9kb3ducmV2LnhtbFBLAQIUABQAAAAIAIdO4kAzLwWe&#10;OwAAADkAAAAQAAAAAAAAAAEAIAAAAAsBAABkcnMvc2hhcGV4bWwueG1sUEsFBgAAAAAGAAYAWwEA&#10;ALUDAAAAAA==&#10;">
                              <v:fill on="f" focussize="0,0"/>
                              <v:stroke on="f"/>
                              <v:imagedata r:id="rId55" o:title=""/>
                              <o:lock v:ext="edit" aspectratio="t"/>
                            </v:shape>
                            <v:shape id="图片 757" o:spid="_x0000_s1026" o:spt="75" alt="一般固废" type="#_x0000_t75" style="position:absolute;left:8179;top:1049376;height:1031;width:1033;" filled="f" o:preferrelative="f" stroked="f" coordsize="21600,21600" o:gfxdata="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tzMIvQAA&#10;ANsAAAAPAAAAAAAAAAEAIAAAACIAAABkcnMvZG93bnJldi54bWxQSwECFAAUAAAACACHTuJAMy8F&#10;njsAAAA5AAAAEAAAAAAAAAABACAAAAAMAQAAZHJzL3NoYXBleG1sLnhtbFBLBQYAAAAABgAGAFsB&#10;AAC2AwAAAAA=&#10;">
                              <v:fill on="f" focussize="0,0"/>
                              <v:stroke on="f"/>
                              <v:imagedata r:id="rId56" o:title=""/>
                              <o:lock v:ext="edit" aspectratio="f"/>
                            </v:shape>
                          </v:group>
                        </w:pict>
                      </mc:Fallback>
                    </mc:AlternateContent>
                  </w:r>
                </w:p>
                <w:p w14:paraId="43015909">
                  <w:pPr>
                    <w:pStyle w:val="38"/>
                    <w:keepNext w:val="0"/>
                    <w:keepLines w:val="0"/>
                    <w:widowControl/>
                    <w:suppressLineNumbers w:val="0"/>
                    <w:bidi w:val="0"/>
                    <w:spacing w:before="0" w:beforeAutospacing="0" w:after="0" w:afterAutospacing="0"/>
                    <w:ind w:left="0" w:right="0"/>
                    <w:rPr>
                      <w:rFonts w:hint="eastAsia"/>
                      <w:szCs w:val="22"/>
                      <w:lang w:val="en-GB"/>
                    </w:rPr>
                  </w:pPr>
                </w:p>
                <w:p w14:paraId="1D7B3B49">
                  <w:pPr>
                    <w:pStyle w:val="38"/>
                    <w:keepNext w:val="0"/>
                    <w:keepLines w:val="0"/>
                    <w:widowControl/>
                    <w:suppressLineNumbers w:val="0"/>
                    <w:bidi w:val="0"/>
                    <w:spacing w:before="0" w:beforeAutospacing="0" w:after="0" w:afterAutospacing="0"/>
                    <w:ind w:left="0" w:right="0"/>
                    <w:rPr>
                      <w:rFonts w:hint="eastAsia"/>
                      <w:szCs w:val="22"/>
                      <w:lang w:val="en-GB"/>
                    </w:rPr>
                  </w:pPr>
                </w:p>
                <w:p w14:paraId="44AE8751">
                  <w:pPr>
                    <w:pStyle w:val="38"/>
                    <w:keepNext w:val="0"/>
                    <w:keepLines w:val="0"/>
                    <w:widowControl/>
                    <w:suppressLineNumbers w:val="0"/>
                    <w:bidi w:val="0"/>
                    <w:spacing w:before="0" w:beforeAutospacing="0" w:after="0" w:afterAutospacing="0"/>
                    <w:ind w:left="0" w:right="0"/>
                    <w:rPr>
                      <w:rFonts w:hint="eastAsia"/>
                      <w:szCs w:val="22"/>
                      <w:lang w:val="en-GB"/>
                    </w:rPr>
                  </w:pPr>
                </w:p>
              </w:tc>
              <w:tc>
                <w:tcPr>
                  <w:tcW w:w="819" w:type="pct"/>
                  <w:tcBorders>
                    <w:top w:val="single" w:color="auto" w:sz="6" w:space="0"/>
                    <w:left w:val="single" w:color="auto" w:sz="6" w:space="0"/>
                    <w:bottom w:val="single" w:color="auto" w:sz="6" w:space="0"/>
                    <w:right w:val="single" w:color="auto" w:sz="6" w:space="0"/>
                  </w:tcBorders>
                  <w:noWrap w:val="0"/>
                  <w:vAlign w:val="center"/>
                </w:tcPr>
                <w:p w14:paraId="4CFCE138">
                  <w:pPr>
                    <w:pStyle w:val="38"/>
                    <w:keepNext w:val="0"/>
                    <w:keepLines w:val="0"/>
                    <w:widowControl/>
                    <w:suppressLineNumbers w:val="0"/>
                    <w:bidi w:val="0"/>
                    <w:spacing w:before="0" w:beforeAutospacing="0" w:after="0" w:afterAutospacing="0"/>
                    <w:ind w:left="0" w:right="0"/>
                    <w:rPr>
                      <w:rFonts w:hint="eastAsia"/>
                      <w:szCs w:val="22"/>
                      <w:lang w:val="en-GB"/>
                    </w:rPr>
                  </w:pPr>
                </w:p>
                <w:p w14:paraId="0F4A5EF6">
                  <w:pPr>
                    <w:pStyle w:val="38"/>
                    <w:keepNext w:val="0"/>
                    <w:keepLines w:val="0"/>
                    <w:widowControl/>
                    <w:suppressLineNumbers w:val="0"/>
                    <w:bidi w:val="0"/>
                    <w:spacing w:before="0" w:beforeAutospacing="0" w:after="0" w:afterAutospacing="0"/>
                    <w:ind w:left="0" w:right="0"/>
                    <w:rPr>
                      <w:rFonts w:hint="eastAsia"/>
                      <w:szCs w:val="22"/>
                      <w:lang w:val="en-GB"/>
                    </w:rPr>
                  </w:pPr>
                </w:p>
                <w:p w14:paraId="23DCA5A2">
                  <w:pPr>
                    <w:pStyle w:val="38"/>
                    <w:keepNext w:val="0"/>
                    <w:keepLines w:val="0"/>
                    <w:widowControl/>
                    <w:suppressLineNumbers w:val="0"/>
                    <w:bidi w:val="0"/>
                    <w:spacing w:before="0" w:beforeAutospacing="0" w:after="0" w:afterAutospacing="0"/>
                    <w:ind w:left="0" w:right="0"/>
                    <w:rPr>
                      <w:rFonts w:hint="eastAsia"/>
                      <w:szCs w:val="22"/>
                      <w:lang w:val="en-GB"/>
                    </w:rPr>
                  </w:pPr>
                </w:p>
              </w:tc>
              <w:tc>
                <w:tcPr>
                  <w:tcW w:w="819" w:type="pct"/>
                  <w:tcBorders>
                    <w:top w:val="single" w:color="auto" w:sz="6" w:space="0"/>
                    <w:left w:val="single" w:color="auto" w:sz="6" w:space="0"/>
                    <w:bottom w:val="single" w:color="auto" w:sz="6" w:space="0"/>
                    <w:right w:val="single" w:color="auto" w:sz="6" w:space="0"/>
                  </w:tcBorders>
                  <w:noWrap w:val="0"/>
                  <w:vAlign w:val="center"/>
                </w:tcPr>
                <w:p w14:paraId="29E75A3A">
                  <w:pPr>
                    <w:pStyle w:val="38"/>
                    <w:keepNext w:val="0"/>
                    <w:keepLines w:val="0"/>
                    <w:widowControl/>
                    <w:suppressLineNumbers w:val="0"/>
                    <w:bidi w:val="0"/>
                    <w:spacing w:before="0" w:beforeAutospacing="0" w:after="0" w:afterAutospacing="0"/>
                    <w:ind w:left="0" w:right="0"/>
                    <w:rPr>
                      <w:rFonts w:hint="eastAsia"/>
                      <w:szCs w:val="22"/>
                      <w:lang w:val="en-GB"/>
                    </w:rPr>
                  </w:pPr>
                </w:p>
                <w:p w14:paraId="585A6157">
                  <w:pPr>
                    <w:pStyle w:val="38"/>
                    <w:keepNext w:val="0"/>
                    <w:keepLines w:val="0"/>
                    <w:widowControl/>
                    <w:suppressLineNumbers w:val="0"/>
                    <w:bidi w:val="0"/>
                    <w:spacing w:before="0" w:beforeAutospacing="0" w:after="0" w:afterAutospacing="0"/>
                    <w:ind w:left="0" w:right="0"/>
                    <w:rPr>
                      <w:rFonts w:hint="eastAsia"/>
                      <w:szCs w:val="22"/>
                      <w:lang w:val="en-GB"/>
                    </w:rPr>
                  </w:pPr>
                </w:p>
                <w:p w14:paraId="3A77D651">
                  <w:pPr>
                    <w:pStyle w:val="38"/>
                    <w:keepNext w:val="0"/>
                    <w:keepLines w:val="0"/>
                    <w:widowControl/>
                    <w:suppressLineNumbers w:val="0"/>
                    <w:bidi w:val="0"/>
                    <w:spacing w:before="0" w:beforeAutospacing="0" w:after="0" w:afterAutospacing="0"/>
                    <w:ind w:left="0" w:right="0"/>
                    <w:rPr>
                      <w:rFonts w:hint="eastAsia"/>
                      <w:szCs w:val="22"/>
                      <w:lang w:val="en-GB"/>
                    </w:rPr>
                  </w:pPr>
                </w:p>
              </w:tc>
              <w:tc>
                <w:tcPr>
                  <w:tcW w:w="848" w:type="pct"/>
                  <w:tcBorders>
                    <w:top w:val="single" w:color="auto" w:sz="6" w:space="0"/>
                    <w:left w:val="single" w:color="auto" w:sz="6" w:space="0"/>
                    <w:bottom w:val="single" w:color="auto" w:sz="6" w:space="0"/>
                    <w:right w:val="single" w:color="auto" w:sz="6" w:space="0"/>
                  </w:tcBorders>
                  <w:noWrap w:val="0"/>
                  <w:vAlign w:val="center"/>
                </w:tcPr>
                <w:p w14:paraId="4096755D">
                  <w:pPr>
                    <w:pStyle w:val="38"/>
                    <w:keepNext w:val="0"/>
                    <w:keepLines w:val="0"/>
                    <w:widowControl/>
                    <w:suppressLineNumbers w:val="0"/>
                    <w:bidi w:val="0"/>
                    <w:spacing w:before="0" w:beforeAutospacing="0" w:after="0" w:afterAutospacing="0"/>
                    <w:ind w:left="0" w:right="0"/>
                    <w:rPr>
                      <w:rFonts w:hint="eastAsia"/>
                      <w:szCs w:val="22"/>
                      <w:lang w:val="en-GB"/>
                    </w:rPr>
                  </w:pPr>
                </w:p>
              </w:tc>
              <w:tc>
                <w:tcPr>
                  <w:tcW w:w="788" w:type="pct"/>
                  <w:tcBorders>
                    <w:top w:val="single" w:color="auto" w:sz="6" w:space="0"/>
                    <w:left w:val="single" w:color="auto" w:sz="6" w:space="0"/>
                    <w:bottom w:val="single" w:color="auto" w:sz="6" w:space="0"/>
                    <w:right w:val="nil"/>
                  </w:tcBorders>
                  <w:noWrap w:val="0"/>
                  <w:vAlign w:val="center"/>
                </w:tcPr>
                <w:p w14:paraId="7DB979E9">
                  <w:pPr>
                    <w:pStyle w:val="15"/>
                    <w:keepNext w:val="0"/>
                    <w:keepLines w:val="0"/>
                    <w:suppressLineNumbers w:val="0"/>
                    <w:bidi w:val="0"/>
                    <w:spacing w:before="0" w:beforeAutospacing="0" w:after="0" w:afterAutospacing="0"/>
                    <w:ind w:left="0" w:right="0"/>
                    <w:rPr>
                      <w:lang w:val="en-GB"/>
                    </w:rPr>
                  </w:pPr>
                  <w:r>
                    <w:rPr>
                      <w:rFonts w:hint="eastAsia"/>
                      <w:lang w:eastAsia="zh-CN"/>
                    </w:rPr>
                    <w:drawing>
                      <wp:inline distT="0" distB="0" distL="114300" distR="114300">
                        <wp:extent cx="660400" cy="600710"/>
                        <wp:effectExtent l="0" t="0" r="6350" b="8890"/>
                        <wp:docPr id="70" name="图片 9" descr="093c2d640a89c2c2fc565a102dcd8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9" descr="093c2d640a89c2c2fc565a102dcd89f"/>
                                <pic:cNvPicPr>
                                  <a:picLocks noChangeAspect="1"/>
                                </pic:cNvPicPr>
                              </pic:nvPicPr>
                              <pic:blipFill>
                                <a:blip r:embed="rId57"/>
                                <a:stretch>
                                  <a:fillRect/>
                                </a:stretch>
                              </pic:blipFill>
                              <pic:spPr>
                                <a:xfrm>
                                  <a:off x="0" y="0"/>
                                  <a:ext cx="660400" cy="600710"/>
                                </a:xfrm>
                                <a:prstGeom prst="rect">
                                  <a:avLst/>
                                </a:prstGeom>
                                <a:noFill/>
                                <a:ln>
                                  <a:noFill/>
                                </a:ln>
                              </pic:spPr>
                            </pic:pic>
                          </a:graphicData>
                        </a:graphic>
                      </wp:inline>
                    </w:drawing>
                  </w:r>
                </w:p>
              </w:tc>
            </w:tr>
            <w:tr w14:paraId="35E309F4">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04" w:type="pct"/>
                  <w:tcBorders>
                    <w:top w:val="single" w:color="auto" w:sz="6" w:space="0"/>
                    <w:left w:val="nil"/>
                    <w:bottom w:val="single" w:color="auto" w:sz="6" w:space="0"/>
                    <w:right w:val="single" w:color="auto" w:sz="6" w:space="0"/>
                  </w:tcBorders>
                  <w:noWrap w:val="0"/>
                  <w:vAlign w:val="center"/>
                </w:tcPr>
                <w:p w14:paraId="7EA6DAF4">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形状</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0341744D">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正方形边框</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240A7D71">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正方形边框</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7F2E832C">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正方形边框</w:t>
                  </w:r>
                </w:p>
              </w:tc>
              <w:tc>
                <w:tcPr>
                  <w:tcW w:w="848" w:type="pct"/>
                  <w:tcBorders>
                    <w:top w:val="single" w:color="auto" w:sz="6" w:space="0"/>
                    <w:left w:val="single" w:color="auto" w:sz="6" w:space="0"/>
                    <w:bottom w:val="single" w:color="auto" w:sz="6" w:space="0"/>
                    <w:right w:val="single" w:color="auto" w:sz="6" w:space="0"/>
                  </w:tcBorders>
                  <w:noWrap w:val="0"/>
                  <w:vAlign w:val="center"/>
                </w:tcPr>
                <w:p w14:paraId="4CC48166">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三角形边框</w:t>
                  </w:r>
                </w:p>
              </w:tc>
              <w:tc>
                <w:tcPr>
                  <w:tcW w:w="788" w:type="pct"/>
                  <w:tcBorders>
                    <w:top w:val="single" w:color="auto" w:sz="6" w:space="0"/>
                    <w:left w:val="single" w:color="auto" w:sz="6" w:space="0"/>
                    <w:bottom w:val="single" w:color="auto" w:sz="6" w:space="0"/>
                    <w:right w:val="nil"/>
                  </w:tcBorders>
                  <w:noWrap w:val="0"/>
                  <w:vAlign w:val="center"/>
                </w:tcPr>
                <w:p w14:paraId="46C8747E">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三角形边框</w:t>
                  </w:r>
                </w:p>
              </w:tc>
            </w:tr>
            <w:tr w14:paraId="6F2E076B">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04" w:type="pct"/>
                  <w:tcBorders>
                    <w:top w:val="single" w:color="auto" w:sz="6" w:space="0"/>
                    <w:left w:val="nil"/>
                    <w:bottom w:val="single" w:color="auto" w:sz="6" w:space="0"/>
                    <w:right w:val="single" w:color="auto" w:sz="6" w:space="0"/>
                  </w:tcBorders>
                  <w:noWrap w:val="0"/>
                  <w:vAlign w:val="center"/>
                </w:tcPr>
                <w:p w14:paraId="5D285656">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背景颜色</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563306EB">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绿色</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62688D78">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绿色</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4739BEF1">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绿色</w:t>
                  </w:r>
                </w:p>
              </w:tc>
              <w:tc>
                <w:tcPr>
                  <w:tcW w:w="848" w:type="pct"/>
                  <w:tcBorders>
                    <w:top w:val="single" w:color="auto" w:sz="6" w:space="0"/>
                    <w:left w:val="single" w:color="auto" w:sz="6" w:space="0"/>
                    <w:bottom w:val="single" w:color="auto" w:sz="6" w:space="0"/>
                    <w:right w:val="single" w:color="auto" w:sz="6" w:space="0"/>
                  </w:tcBorders>
                  <w:noWrap w:val="0"/>
                  <w:vAlign w:val="center"/>
                </w:tcPr>
                <w:p w14:paraId="2664682F">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黄色</w:t>
                  </w:r>
                </w:p>
              </w:tc>
              <w:tc>
                <w:tcPr>
                  <w:tcW w:w="788" w:type="pct"/>
                  <w:tcBorders>
                    <w:top w:val="single" w:color="auto" w:sz="6" w:space="0"/>
                    <w:left w:val="single" w:color="auto" w:sz="6" w:space="0"/>
                    <w:bottom w:val="single" w:color="auto" w:sz="6" w:space="0"/>
                    <w:right w:val="nil"/>
                  </w:tcBorders>
                  <w:noWrap w:val="0"/>
                  <w:vAlign w:val="center"/>
                </w:tcPr>
                <w:p w14:paraId="6C63B051">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黄色</w:t>
                  </w:r>
                </w:p>
              </w:tc>
            </w:tr>
            <w:tr w14:paraId="12D38D0A">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7" w:hRule="atLeast"/>
                <w:jc w:val="center"/>
              </w:trPr>
              <w:tc>
                <w:tcPr>
                  <w:tcW w:w="904" w:type="pct"/>
                  <w:tcBorders>
                    <w:top w:val="single" w:color="auto" w:sz="6" w:space="0"/>
                    <w:left w:val="nil"/>
                    <w:bottom w:val="single" w:color="auto" w:sz="12" w:space="0"/>
                    <w:right w:val="single" w:color="auto" w:sz="6" w:space="0"/>
                  </w:tcBorders>
                  <w:noWrap w:val="0"/>
                  <w:vAlign w:val="center"/>
                </w:tcPr>
                <w:p w14:paraId="3AE6A2F8">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图形颜色</w:t>
                  </w:r>
                </w:p>
              </w:tc>
              <w:tc>
                <w:tcPr>
                  <w:tcW w:w="819" w:type="pct"/>
                  <w:tcBorders>
                    <w:top w:val="single" w:color="auto" w:sz="6" w:space="0"/>
                    <w:left w:val="single" w:color="auto" w:sz="6" w:space="0"/>
                    <w:bottom w:val="single" w:color="auto" w:sz="12" w:space="0"/>
                    <w:right w:val="single" w:color="auto" w:sz="6" w:space="0"/>
                  </w:tcBorders>
                  <w:noWrap w:val="0"/>
                  <w:vAlign w:val="center"/>
                </w:tcPr>
                <w:p w14:paraId="2CACD4E4">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白色</w:t>
                  </w:r>
                </w:p>
              </w:tc>
              <w:tc>
                <w:tcPr>
                  <w:tcW w:w="819" w:type="pct"/>
                  <w:tcBorders>
                    <w:top w:val="single" w:color="auto" w:sz="6" w:space="0"/>
                    <w:left w:val="single" w:color="auto" w:sz="6" w:space="0"/>
                    <w:bottom w:val="single" w:color="auto" w:sz="12" w:space="0"/>
                    <w:right w:val="single" w:color="auto" w:sz="6" w:space="0"/>
                  </w:tcBorders>
                  <w:noWrap w:val="0"/>
                  <w:vAlign w:val="center"/>
                </w:tcPr>
                <w:p w14:paraId="0284B12E">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白色</w:t>
                  </w:r>
                </w:p>
              </w:tc>
              <w:tc>
                <w:tcPr>
                  <w:tcW w:w="819" w:type="pct"/>
                  <w:tcBorders>
                    <w:top w:val="single" w:color="auto" w:sz="6" w:space="0"/>
                    <w:left w:val="single" w:color="auto" w:sz="6" w:space="0"/>
                    <w:bottom w:val="single" w:color="auto" w:sz="12" w:space="0"/>
                    <w:right w:val="single" w:color="auto" w:sz="6" w:space="0"/>
                  </w:tcBorders>
                  <w:noWrap w:val="0"/>
                  <w:vAlign w:val="center"/>
                </w:tcPr>
                <w:p w14:paraId="689EDD7F">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白色</w:t>
                  </w:r>
                </w:p>
              </w:tc>
              <w:tc>
                <w:tcPr>
                  <w:tcW w:w="848" w:type="pct"/>
                  <w:tcBorders>
                    <w:top w:val="single" w:color="auto" w:sz="6" w:space="0"/>
                    <w:left w:val="single" w:color="auto" w:sz="6" w:space="0"/>
                    <w:bottom w:val="single" w:color="auto" w:sz="12" w:space="0"/>
                    <w:right w:val="single" w:color="auto" w:sz="6" w:space="0"/>
                  </w:tcBorders>
                  <w:noWrap w:val="0"/>
                  <w:vAlign w:val="center"/>
                </w:tcPr>
                <w:p w14:paraId="42E3BD10">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黑色</w:t>
                  </w:r>
                </w:p>
              </w:tc>
              <w:tc>
                <w:tcPr>
                  <w:tcW w:w="788" w:type="pct"/>
                  <w:tcBorders>
                    <w:top w:val="single" w:color="auto" w:sz="6" w:space="0"/>
                    <w:left w:val="single" w:color="auto" w:sz="6" w:space="0"/>
                    <w:bottom w:val="single" w:color="auto" w:sz="12" w:space="0"/>
                    <w:right w:val="nil"/>
                  </w:tcBorders>
                  <w:noWrap w:val="0"/>
                  <w:vAlign w:val="center"/>
                </w:tcPr>
                <w:p w14:paraId="46A83B53">
                  <w:pPr>
                    <w:pStyle w:val="38"/>
                    <w:keepNext w:val="0"/>
                    <w:keepLines w:val="0"/>
                    <w:widowControl/>
                    <w:suppressLineNumbers w:val="0"/>
                    <w:bidi w:val="0"/>
                    <w:spacing w:before="0" w:beforeAutospacing="0" w:after="0" w:afterAutospacing="0"/>
                    <w:ind w:left="0" w:right="0"/>
                    <w:rPr>
                      <w:rFonts w:hint="eastAsia"/>
                      <w:szCs w:val="22"/>
                      <w:lang w:val="en-GB"/>
                    </w:rPr>
                  </w:pPr>
                  <w:r>
                    <w:rPr>
                      <w:rFonts w:hint="eastAsia"/>
                      <w:szCs w:val="22"/>
                      <w:lang w:val="en-GB"/>
                    </w:rPr>
                    <w:t>黑色</w:t>
                  </w:r>
                </w:p>
              </w:tc>
            </w:tr>
          </w:tbl>
          <w:p w14:paraId="30BDACCE">
            <w:pPr>
              <w:pStyle w:val="3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right="0" w:firstLine="420" w:firstLineChars="200"/>
              <w:jc w:val="both"/>
              <w:textAlignment w:val="auto"/>
              <w:rPr>
                <w:rFonts w:hint="default"/>
                <w:szCs w:val="22"/>
                <w:lang w:val="en-US" w:eastAsia="zh-CN"/>
              </w:rPr>
            </w:pPr>
            <w:r>
              <w:rPr>
                <w:rFonts w:hint="default"/>
                <w:szCs w:val="22"/>
                <w:lang w:val="en-US" w:eastAsia="zh-CN"/>
              </w:rPr>
              <w:t>（2）排污申报</w:t>
            </w:r>
          </w:p>
          <w:p w14:paraId="16F70CA1">
            <w:pPr>
              <w:pStyle w:val="3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right="0" w:firstLine="420" w:firstLineChars="200"/>
              <w:jc w:val="both"/>
              <w:textAlignment w:val="auto"/>
              <w:rPr>
                <w:rFonts w:hint="default"/>
                <w:szCs w:val="22"/>
                <w:lang w:val="en-US" w:eastAsia="zh-CN"/>
              </w:rPr>
            </w:pPr>
            <w:r>
              <w:rPr>
                <w:rFonts w:hint="default"/>
                <w:szCs w:val="22"/>
                <w:lang w:val="en-US" w:eastAsia="zh-CN"/>
              </w:rPr>
              <w:t>根据《固定污染源排污许可分类管理名录</w:t>
            </w:r>
            <w:r>
              <w:rPr>
                <w:rFonts w:hint="eastAsia"/>
                <w:szCs w:val="22"/>
                <w:lang w:val="en-US" w:eastAsia="zh-CN"/>
              </w:rPr>
              <w:t>（</w:t>
            </w:r>
            <w:r>
              <w:rPr>
                <w:rFonts w:hint="default"/>
                <w:szCs w:val="22"/>
                <w:lang w:val="en-US" w:eastAsia="zh-CN"/>
              </w:rPr>
              <w:t>2019年版</w:t>
            </w:r>
            <w:r>
              <w:rPr>
                <w:rFonts w:hint="eastAsia"/>
                <w:szCs w:val="22"/>
                <w:lang w:val="en-US" w:eastAsia="zh-CN"/>
              </w:rPr>
              <w:t>）</w:t>
            </w:r>
            <w:r>
              <w:rPr>
                <w:rFonts w:hint="default"/>
                <w:szCs w:val="22"/>
                <w:lang w:val="en-US" w:eastAsia="zh-CN"/>
              </w:rPr>
              <w:t>》</w:t>
            </w:r>
            <w:r>
              <w:rPr>
                <w:rFonts w:hint="eastAsia"/>
                <w:szCs w:val="22"/>
                <w:lang w:val="en-US" w:eastAsia="zh-CN"/>
              </w:rPr>
              <w:t>（</w:t>
            </w:r>
            <w:r>
              <w:rPr>
                <w:rFonts w:hint="default"/>
                <w:szCs w:val="22"/>
                <w:lang w:val="en-US" w:eastAsia="zh-CN"/>
              </w:rPr>
              <w:t>生态环境部第11号</w:t>
            </w:r>
            <w:r>
              <w:rPr>
                <w:rFonts w:hint="eastAsia"/>
                <w:szCs w:val="22"/>
                <w:lang w:val="en-US" w:eastAsia="zh-CN"/>
              </w:rPr>
              <w:t>）</w:t>
            </w:r>
            <w:r>
              <w:rPr>
                <w:rFonts w:hint="default"/>
                <w:szCs w:val="22"/>
                <w:lang w:val="en-US" w:eastAsia="zh-CN"/>
              </w:rPr>
              <w:t>可知，本项目实行排污许可登记管理；因此，建设单位应当在启动生产设施或者发生实际排污之前在全国排污许可证管理信息平台进行排污许可登记。</w:t>
            </w:r>
          </w:p>
          <w:p w14:paraId="414E4D11">
            <w:pPr>
              <w:pStyle w:val="39"/>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表 5.1-2 周定污染源排污许可分类管理名录</w:t>
            </w:r>
            <w:r>
              <w:rPr>
                <w:rFonts w:hint="eastAsia"/>
                <w:lang w:val="en-US" w:eastAsia="zh-CN"/>
              </w:rPr>
              <w:t>（</w:t>
            </w:r>
            <w:r>
              <w:rPr>
                <w:rFonts w:hint="default"/>
                <w:lang w:val="en-US" w:eastAsia="zh-CN"/>
              </w:rPr>
              <w:t>摘录</w:t>
            </w:r>
            <w:r>
              <w:rPr>
                <w:rFonts w:hint="eastAsia"/>
                <w:lang w:val="en-US" w:eastAsia="zh-CN"/>
              </w:rPr>
              <w:t>）</w:t>
            </w:r>
          </w:p>
          <w:tbl>
            <w:tblPr>
              <w:tblStyle w:val="30"/>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0"/>
              <w:gridCol w:w="1067"/>
              <w:gridCol w:w="2117"/>
              <w:gridCol w:w="3133"/>
              <w:gridCol w:w="795"/>
            </w:tblGrid>
            <w:tr w14:paraId="16716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tcBorders>
                    <w:top w:val="single" w:color="auto" w:sz="12" w:space="0"/>
                    <w:left w:val="nil"/>
                  </w:tcBorders>
                  <w:noWrap w:val="0"/>
                  <w:vAlign w:val="center"/>
                </w:tcPr>
                <w:p w14:paraId="2DC4C42E">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序号</w:t>
                  </w:r>
                </w:p>
              </w:tc>
              <w:tc>
                <w:tcPr>
                  <w:tcW w:w="1067" w:type="dxa"/>
                  <w:tcBorders>
                    <w:top w:val="single" w:color="auto" w:sz="12" w:space="0"/>
                  </w:tcBorders>
                  <w:noWrap w:val="0"/>
                  <w:vAlign w:val="center"/>
                </w:tcPr>
                <w:p w14:paraId="3CE09F43">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行业类别</w:t>
                  </w:r>
                </w:p>
              </w:tc>
              <w:tc>
                <w:tcPr>
                  <w:tcW w:w="2117" w:type="dxa"/>
                  <w:tcBorders>
                    <w:top w:val="single" w:color="auto" w:sz="12" w:space="0"/>
                  </w:tcBorders>
                  <w:noWrap w:val="0"/>
                  <w:vAlign w:val="center"/>
                </w:tcPr>
                <w:p w14:paraId="235F71DE">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重点管理</w:t>
                  </w:r>
                </w:p>
              </w:tc>
              <w:tc>
                <w:tcPr>
                  <w:tcW w:w="3133" w:type="dxa"/>
                  <w:tcBorders>
                    <w:top w:val="single" w:color="auto" w:sz="12" w:space="0"/>
                  </w:tcBorders>
                  <w:noWrap w:val="0"/>
                  <w:vAlign w:val="center"/>
                </w:tcPr>
                <w:p w14:paraId="300EEA6F">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简化管理</w:t>
                  </w:r>
                </w:p>
              </w:tc>
              <w:tc>
                <w:tcPr>
                  <w:tcW w:w="795" w:type="dxa"/>
                  <w:tcBorders>
                    <w:top w:val="single" w:color="auto" w:sz="12" w:space="0"/>
                    <w:right w:val="nil"/>
                  </w:tcBorders>
                  <w:noWrap w:val="0"/>
                  <w:vAlign w:val="center"/>
                </w:tcPr>
                <w:p w14:paraId="64973A7E">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登记管理</w:t>
                  </w:r>
                </w:p>
              </w:tc>
            </w:tr>
            <w:tr w14:paraId="0ABC6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92" w:type="dxa"/>
                  <w:gridSpan w:val="5"/>
                  <w:tcBorders>
                    <w:left w:val="nil"/>
                    <w:right w:val="nil"/>
                  </w:tcBorders>
                  <w:noWrap w:val="0"/>
                  <w:vAlign w:val="center"/>
                </w:tcPr>
                <w:p w14:paraId="10AC3E5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二十四、橡胶和塑料制品业 29</w:t>
                  </w:r>
                </w:p>
              </w:tc>
            </w:tr>
            <w:tr w14:paraId="3138B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tcBorders>
                    <w:left w:val="nil"/>
                  </w:tcBorders>
                  <w:noWrap w:val="0"/>
                  <w:vAlign w:val="center"/>
                </w:tcPr>
                <w:p w14:paraId="59070D0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62</w:t>
                  </w:r>
                </w:p>
              </w:tc>
              <w:tc>
                <w:tcPr>
                  <w:tcW w:w="1067" w:type="dxa"/>
                  <w:noWrap w:val="0"/>
                  <w:vAlign w:val="center"/>
                </w:tcPr>
                <w:p w14:paraId="109152BE">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塑料制品业 292</w:t>
                  </w:r>
                </w:p>
              </w:tc>
              <w:tc>
                <w:tcPr>
                  <w:tcW w:w="2117" w:type="dxa"/>
                  <w:noWrap w:val="0"/>
                  <w:vAlign w:val="center"/>
                </w:tcPr>
                <w:p w14:paraId="1916171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塑料人造革、合成革制造 2925</w:t>
                  </w:r>
                </w:p>
              </w:tc>
              <w:tc>
                <w:tcPr>
                  <w:tcW w:w="3133" w:type="dxa"/>
                  <w:noWrap w:val="0"/>
                  <w:vAlign w:val="center"/>
                </w:tcPr>
                <w:p w14:paraId="0B8F46C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年产1万吨及以上的泡沫塑料制造2924，年产1万吨及以上涉及改性的塑料薄膜制造 2921、塑料板、管、型材制造 2922、塑料丝、绳和编织品制造 2923、塑料包装箱及容器制造 2926、日用塑料品制造 2927、人造草坪制造 2928、塑料零件及其他塑料制品制造 2929</w:t>
                  </w:r>
                </w:p>
              </w:tc>
              <w:tc>
                <w:tcPr>
                  <w:tcW w:w="795" w:type="dxa"/>
                  <w:tcBorders>
                    <w:right w:val="nil"/>
                  </w:tcBorders>
                  <w:noWrap w:val="0"/>
                  <w:vAlign w:val="center"/>
                </w:tcPr>
                <w:p w14:paraId="0D18B8D9">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其他</w:t>
                  </w:r>
                </w:p>
              </w:tc>
            </w:tr>
            <w:tr w14:paraId="6D267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92" w:type="dxa"/>
                  <w:gridSpan w:val="5"/>
                  <w:tcBorders>
                    <w:left w:val="nil"/>
                    <w:right w:val="nil"/>
                  </w:tcBorders>
                  <w:noWrap w:val="0"/>
                  <w:vAlign w:val="center"/>
                </w:tcPr>
                <w:p w14:paraId="54C4DF49">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二十八、金属制品业 33</w:t>
                  </w:r>
                </w:p>
              </w:tc>
            </w:tr>
            <w:tr w14:paraId="23850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tcBorders>
                    <w:left w:val="nil"/>
                  </w:tcBorders>
                  <w:noWrap w:val="0"/>
                  <w:vAlign w:val="center"/>
                </w:tcPr>
                <w:p w14:paraId="531F4C0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w:t>
                  </w:r>
                </w:p>
              </w:tc>
              <w:tc>
                <w:tcPr>
                  <w:tcW w:w="1067" w:type="dxa"/>
                  <w:noWrap w:val="0"/>
                  <w:vAlign w:val="center"/>
                </w:tcPr>
                <w:p w14:paraId="4E312E03">
                  <w:pPr>
                    <w:pStyle w:val="38"/>
                    <w:keepNext w:val="0"/>
                    <w:keepLines w:val="0"/>
                    <w:widowControl/>
                    <w:suppressLineNumbers w:val="0"/>
                    <w:bidi w:val="0"/>
                    <w:spacing w:before="0" w:beforeAutospacing="0" w:after="0" w:afterAutospacing="0"/>
                    <w:ind w:left="0" w:right="0"/>
                    <w:rPr>
                      <w:rFonts w:hint="eastAsia"/>
                      <w:szCs w:val="22"/>
                    </w:rPr>
                  </w:pPr>
                  <w:r>
                    <w:rPr>
                      <w:rFonts w:hint="eastAsia"/>
                      <w:szCs w:val="22"/>
                      <w:lang w:val="en-US" w:eastAsia="zh-CN"/>
                    </w:rPr>
                    <w:t>金属表面处理及热处理加工 336</w:t>
                  </w:r>
                </w:p>
                <w:p w14:paraId="684AFAA0">
                  <w:pPr>
                    <w:pStyle w:val="38"/>
                    <w:keepNext w:val="0"/>
                    <w:keepLines w:val="0"/>
                    <w:widowControl/>
                    <w:suppressLineNumbers w:val="0"/>
                    <w:bidi w:val="0"/>
                    <w:spacing w:before="0" w:beforeAutospacing="0" w:after="0" w:afterAutospacing="0"/>
                    <w:ind w:left="0" w:right="0"/>
                    <w:rPr>
                      <w:rFonts w:hint="default"/>
                      <w:szCs w:val="22"/>
                      <w:lang w:val="en-US" w:eastAsia="zh-CN"/>
                    </w:rPr>
                  </w:pPr>
                </w:p>
              </w:tc>
              <w:tc>
                <w:tcPr>
                  <w:tcW w:w="2117" w:type="dxa"/>
                  <w:noWrap w:val="0"/>
                  <w:vAlign w:val="center"/>
                </w:tcPr>
                <w:p w14:paraId="5337894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纳入重点排污单位名录的，专业电镀企业（含电镀园区中电镀企业），专门处理电镀废水的集中处理设施，有电镀工序的，有含铬钝化工序的</w:t>
                  </w:r>
                </w:p>
              </w:tc>
              <w:tc>
                <w:tcPr>
                  <w:tcW w:w="3133" w:type="dxa"/>
                  <w:noWrap w:val="0"/>
                  <w:vAlign w:val="center"/>
                </w:tcPr>
                <w:p w14:paraId="2BBDF46C">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rPr>
                    <w:t>除重点管理以外的有酸洗、抛光（电 解抛光和化学抛光）、热浸镀（溶剂 法）、淬火或者无铬钝化等工序的、年使用 10吨及以上有机溶剂的</w:t>
                  </w:r>
                </w:p>
              </w:tc>
              <w:tc>
                <w:tcPr>
                  <w:tcW w:w="795" w:type="dxa"/>
                  <w:tcBorders>
                    <w:right w:val="nil"/>
                  </w:tcBorders>
                  <w:noWrap w:val="0"/>
                  <w:vAlign w:val="center"/>
                </w:tcPr>
                <w:p w14:paraId="1D1ACB3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其他</w:t>
                  </w:r>
                </w:p>
              </w:tc>
            </w:tr>
          </w:tbl>
          <w:p w14:paraId="1E320BF4">
            <w:pPr>
              <w:pStyle w:val="3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right="0" w:firstLine="420" w:firstLineChars="200"/>
              <w:jc w:val="both"/>
              <w:textAlignment w:val="auto"/>
              <w:rPr>
                <w:rFonts w:hint="default"/>
                <w:szCs w:val="22"/>
                <w:lang w:val="en-US" w:eastAsia="zh-CN"/>
              </w:rPr>
            </w:pPr>
            <w:r>
              <w:rPr>
                <w:rFonts w:hint="default"/>
                <w:szCs w:val="22"/>
                <w:lang w:val="en-US" w:eastAsia="zh-CN"/>
              </w:rPr>
              <w:t>（</w:t>
            </w:r>
            <w:r>
              <w:rPr>
                <w:rFonts w:hint="eastAsia"/>
                <w:szCs w:val="22"/>
                <w:lang w:val="en-US" w:eastAsia="zh-CN"/>
              </w:rPr>
              <w:t>3</w:t>
            </w:r>
            <w:r>
              <w:rPr>
                <w:rFonts w:hint="default"/>
                <w:szCs w:val="22"/>
                <w:lang w:val="en-US" w:eastAsia="zh-CN"/>
              </w:rPr>
              <w:t>）</w:t>
            </w:r>
            <w:bookmarkEnd w:id="49"/>
            <w:bookmarkStart w:id="50" w:name="_Toc24814500"/>
            <w:r>
              <w:rPr>
                <w:rFonts w:hint="default"/>
                <w:szCs w:val="22"/>
                <w:lang w:val="en-US" w:eastAsia="zh-CN"/>
              </w:rPr>
              <w:t>自主竣工环境保护验收要求</w:t>
            </w:r>
            <w:bookmarkEnd w:id="50"/>
          </w:p>
          <w:p w14:paraId="592F1F66">
            <w:pPr>
              <w:pStyle w:val="3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right="0" w:firstLine="420" w:firstLineChars="200"/>
              <w:jc w:val="both"/>
              <w:textAlignment w:val="auto"/>
              <w:rPr>
                <w:rFonts w:hint="default"/>
                <w:szCs w:val="22"/>
                <w:lang w:val="en-US" w:eastAsia="zh-CN"/>
              </w:rPr>
            </w:pPr>
            <w:r>
              <w:rPr>
                <w:rFonts w:hint="default"/>
                <w:szCs w:val="22"/>
                <w:lang w:val="en-US" w:eastAsia="zh-CN"/>
              </w:rPr>
              <w:t>根据国务院【国令第682号】《建设项目环境保护管理条例》及《建设项目竣工环境保护验收暂行办法》（国环规环评【2017】4号），强化建设单位环境保护主体责任，落实建设项目环境保护</w:t>
            </w:r>
            <w:r>
              <w:rPr>
                <w:rFonts w:hint="eastAsia"/>
                <w:szCs w:val="22"/>
                <w:lang w:val="en-US" w:eastAsia="zh-CN"/>
              </w:rPr>
              <w:t>“</w:t>
            </w:r>
            <w:r>
              <w:rPr>
                <w:rFonts w:hint="default"/>
                <w:szCs w:val="22"/>
                <w:lang w:val="en-US" w:eastAsia="zh-CN"/>
              </w:rPr>
              <w:t>三同时</w:t>
            </w:r>
            <w:r>
              <w:rPr>
                <w:rFonts w:hint="eastAsia"/>
                <w:szCs w:val="22"/>
                <w:lang w:val="en-US" w:eastAsia="zh-CN"/>
              </w:rPr>
              <w:t>”</w:t>
            </w:r>
            <w:r>
              <w:rPr>
                <w:rFonts w:hint="default"/>
                <w:szCs w:val="22"/>
                <w:lang w:val="en-US" w:eastAsia="zh-CN"/>
              </w:rPr>
              <w:t>制度，规范建设项目竣工后建设单位自主开展环境保护验收的程序和标准。建设单位是建设项目竣工环境保护验收的责任主体。</w:t>
            </w:r>
          </w:p>
          <w:p w14:paraId="343C53B1">
            <w:pPr>
              <w:pStyle w:val="38"/>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right="0" w:firstLine="420" w:firstLineChars="200"/>
              <w:jc w:val="both"/>
              <w:textAlignment w:val="auto"/>
              <w:rPr>
                <w:rFonts w:hint="default"/>
                <w:szCs w:val="22"/>
                <w:lang w:val="en-US" w:eastAsia="zh-CN"/>
              </w:rPr>
            </w:pPr>
            <w:r>
              <w:rPr>
                <w:rFonts w:hint="default"/>
                <w:szCs w:val="22"/>
                <w:lang w:val="en-US" w:eastAsia="zh-CN"/>
              </w:rPr>
              <w:t>根据</w:t>
            </w:r>
            <w:r>
              <w:rPr>
                <w:rFonts w:hint="eastAsia"/>
                <w:szCs w:val="22"/>
                <w:lang w:val="en-US" w:eastAsia="zh-CN"/>
              </w:rPr>
              <w:t>生态环境部</w:t>
            </w:r>
            <w:r>
              <w:rPr>
                <w:rFonts w:hint="default"/>
                <w:szCs w:val="22"/>
                <w:lang w:val="en-US" w:eastAsia="zh-CN"/>
              </w:rPr>
              <w:t>《建设项目竣工环境保护验收技术指南 污染影响类》（公告2018年第9号）中有关要求：项目竣工后，建设单位应对该项目进行环保竣工验收，委托有资质的监测单位进行项目竣工环境保护验收监测，编制项目竣工环境保护验收监测报告。经验收合格，该建设项目方可正式投入生产或使用。</w:t>
            </w:r>
          </w:p>
        </w:tc>
      </w:tr>
    </w:tbl>
    <w:p w14:paraId="45D89DA3">
      <w:pPr>
        <w:rPr>
          <w:color w:val="auto"/>
        </w:rPr>
      </w:pPr>
      <w:bookmarkStart w:id="51" w:name="_Toc12367"/>
      <w:bookmarkStart w:id="52" w:name="_Toc32638"/>
      <w:r>
        <w:rPr>
          <w:color w:val="auto"/>
        </w:rPr>
        <w:br w:type="page"/>
      </w:r>
    </w:p>
    <w:p w14:paraId="340046AA">
      <w:pPr>
        <w:pStyle w:val="2"/>
        <w:tabs>
          <w:tab w:val="left" w:pos="420"/>
          <w:tab w:val="clear" w:pos="715"/>
        </w:tabs>
        <w:bidi w:val="0"/>
      </w:pPr>
      <w:r>
        <w:rPr>
          <w:rFonts w:hint="eastAsia" w:ascii="Times New Roman" w:hAnsi="Times New Roman" w:eastAsia="楷体_GB2312" w:cs="Times New Roman"/>
          <w:b w:val="0"/>
          <w:bCs w:val="0"/>
          <w:iCs w:val="0"/>
          <w:sz w:val="36"/>
          <w:szCs w:val="36"/>
          <w:lang w:eastAsia="zh-CN"/>
        </w:rPr>
        <w:drawing>
          <wp:anchor distT="0" distB="0" distL="114300" distR="114300" simplePos="0" relativeHeight="251674624" behindDoc="0" locked="0" layoutInCell="1" allowOverlap="1">
            <wp:simplePos x="0" y="0"/>
            <wp:positionH relativeFrom="column">
              <wp:posOffset>-107950</wp:posOffset>
            </wp:positionH>
            <wp:positionV relativeFrom="paragraph">
              <wp:posOffset>-50165</wp:posOffset>
            </wp:positionV>
            <wp:extent cx="5996305" cy="8480425"/>
            <wp:effectExtent l="0" t="0" r="4445" b="15875"/>
            <wp:wrapNone/>
            <wp:docPr id="152" name="图片 152" descr="doc00623220260121100913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doc00623220260121100913_10"/>
                    <pic:cNvPicPr>
                      <a:picLocks noChangeAspect="1"/>
                    </pic:cNvPicPr>
                  </pic:nvPicPr>
                  <pic:blipFill>
                    <a:blip r:embed="rId58"/>
                    <a:stretch>
                      <a:fillRect/>
                    </a:stretch>
                  </pic:blipFill>
                  <pic:spPr>
                    <a:xfrm>
                      <a:off x="0" y="0"/>
                      <a:ext cx="5996305" cy="8480425"/>
                    </a:xfrm>
                    <a:prstGeom prst="rect">
                      <a:avLst/>
                    </a:prstGeom>
                  </pic:spPr>
                </pic:pic>
              </a:graphicData>
            </a:graphic>
          </wp:anchor>
        </w:drawing>
      </w:r>
      <w:r>
        <w:t>结论</w:t>
      </w:r>
      <w:bookmarkEnd w:id="51"/>
      <w:bookmarkEnd w:id="52"/>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701B28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14:paraId="564EE0E9">
            <w:pPr>
              <w:pStyle w:val="3"/>
              <w:keepNext w:val="0"/>
              <w:keepLines w:val="0"/>
              <w:suppressLineNumbers w:val="0"/>
              <w:bidi w:val="0"/>
              <w:spacing w:before="0" w:beforeAutospacing="0" w:after="0" w:afterAutospacing="0"/>
              <w:ind w:left="0" w:right="0"/>
              <w:rPr>
                <w:rFonts w:hint="default"/>
              </w:rPr>
            </w:pPr>
            <w:bookmarkStart w:id="53" w:name="_Toc18917"/>
            <w:bookmarkStart w:id="54" w:name="_Toc22364"/>
            <w:bookmarkStart w:id="55" w:name="_Toc8175"/>
            <w:bookmarkStart w:id="56" w:name="_Toc4427"/>
            <w:r>
              <w:rPr>
                <w:rFonts w:hint="default"/>
              </w:rPr>
              <w:t>总结论</w:t>
            </w:r>
            <w:bookmarkEnd w:id="53"/>
            <w:bookmarkEnd w:id="54"/>
            <w:bookmarkEnd w:id="55"/>
            <w:bookmarkEnd w:id="56"/>
          </w:p>
          <w:p w14:paraId="3E34FD9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通过对本项目的环境影响分析评价，项目运营过程中废水、废气、噪声、固废等污染物，对周围大气环境、水环境、声环境、土壤环境等造成一定不利影响，经采取综合性、积极有效的防治措施并确保污染物达标排放后，可避免或减少这些不利影响，影响均在环境可接受的范围内。</w:t>
            </w:r>
          </w:p>
          <w:p w14:paraId="64A7D6B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lang w:eastAsia="zh-CN"/>
              </w:rPr>
              <w:t>综上所述，在认真执行建设项目</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三同时</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制度，切实落实各项规划方案的要求，完成本次环境影响评价提出的各项污染防治措施，严格落实各项环保措施和环境管理机构的要求的前提下，确保各污染物达标排放，对周围的环境影响较小。从环境保护角度分析，该项目的建设是可行的</w:t>
            </w:r>
            <w:r>
              <w:rPr>
                <w:rFonts w:hint="default" w:ascii="Times New Roman" w:hAnsi="Times New Roman" w:eastAsia="宋体" w:cs="Times New Roman"/>
                <w:color w:val="auto"/>
                <w:sz w:val="24"/>
                <w:highlight w:val="none"/>
              </w:rPr>
              <w:t>。</w:t>
            </w:r>
          </w:p>
          <w:p w14:paraId="1B6055BB">
            <w:pPr>
              <w:pStyle w:val="3"/>
              <w:keepNext w:val="0"/>
              <w:keepLines w:val="0"/>
              <w:suppressLineNumbers w:val="0"/>
              <w:bidi w:val="0"/>
              <w:spacing w:before="0" w:beforeAutospacing="0" w:after="0" w:afterAutospacing="0"/>
              <w:ind w:left="0" w:right="0"/>
              <w:rPr>
                <w:rFonts w:hint="default"/>
                <w:lang w:val="en-US" w:eastAsia="zh-CN"/>
              </w:rPr>
            </w:pPr>
            <w:bookmarkStart w:id="57" w:name="_Toc11017"/>
            <w:bookmarkStart w:id="58" w:name="_Toc29585"/>
            <w:bookmarkStart w:id="59" w:name="_Toc29401"/>
            <w:bookmarkStart w:id="60" w:name="_Toc29899"/>
            <w:r>
              <w:rPr>
                <w:rFonts w:hint="default"/>
                <w:lang w:val="en-US" w:eastAsia="zh-CN"/>
              </w:rPr>
              <w:t>建议</w:t>
            </w:r>
            <w:bookmarkEnd w:id="57"/>
            <w:bookmarkEnd w:id="58"/>
            <w:bookmarkEnd w:id="59"/>
            <w:bookmarkEnd w:id="60"/>
          </w:p>
          <w:p w14:paraId="72DC1C6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加强管理，保证生产设备正常运行，防止设备带故障使用，防止异常噪声的产生。</w:t>
            </w:r>
          </w:p>
          <w:p w14:paraId="0FD6FB0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由厂内技术管理人员兼职环保工作负责环保设施的运行、检查、维护等工作。</w:t>
            </w:r>
          </w:p>
          <w:p w14:paraId="3EBF85C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加强职工的环保、安全教育，提高环保意识和安全生产意识。</w:t>
            </w:r>
          </w:p>
          <w:p w14:paraId="51091CA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遵守国家关于环保治理措施管理的规定，定期提交设施运行及监测报告，接受环保管理部门的监督。</w:t>
            </w:r>
          </w:p>
          <w:p w14:paraId="52A31D1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加强环保工作的管理，要认真落实环保</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三同时</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制度。</w:t>
            </w:r>
          </w:p>
          <w:p w14:paraId="182F113D">
            <w:pPr>
              <w:keepNext w:val="0"/>
              <w:keepLines w:val="0"/>
              <w:suppressLineNumbers w:val="0"/>
              <w:spacing w:before="0" w:beforeAutospacing="0" w:after="0" w:afterAutospacing="0"/>
              <w:ind w:left="0" w:leftChars="0" w:right="0" w:firstLine="0" w:firstLineChars="0"/>
              <w:rPr>
                <w:rFonts w:hint="eastAsia"/>
                <w:color w:val="auto"/>
              </w:rPr>
            </w:pPr>
          </w:p>
          <w:p w14:paraId="36A7F908">
            <w:pPr>
              <w:keepNext w:val="0"/>
              <w:keepLines w:val="0"/>
              <w:suppressLineNumbers w:val="0"/>
              <w:spacing w:before="0" w:beforeAutospacing="0" w:after="0" w:afterAutospacing="0"/>
              <w:ind w:left="0" w:right="0"/>
              <w:rPr>
                <w:rFonts w:hint="eastAsia"/>
                <w:color w:val="auto"/>
              </w:rPr>
            </w:pPr>
          </w:p>
          <w:p w14:paraId="1B8B22A0">
            <w:pPr>
              <w:keepNext w:val="0"/>
              <w:keepLines w:val="0"/>
              <w:suppressLineNumbers w:val="0"/>
              <w:spacing w:before="0" w:beforeAutospacing="0" w:after="0" w:afterAutospacing="0"/>
              <w:ind w:left="0" w:leftChars="0" w:right="0" w:firstLine="0" w:firstLineChars="0"/>
              <w:rPr>
                <w:rFonts w:hint="eastAsia"/>
                <w:color w:val="auto"/>
              </w:rPr>
            </w:pPr>
          </w:p>
          <w:p w14:paraId="6B4FC864">
            <w:pPr>
              <w:keepNext w:val="0"/>
              <w:keepLines w:val="0"/>
              <w:suppressLineNumbers w:val="0"/>
              <w:spacing w:before="0" w:beforeAutospacing="0" w:after="0" w:afterAutospacing="0"/>
              <w:ind w:left="0" w:leftChars="0" w:right="0" w:firstLine="0" w:firstLineChars="0"/>
              <w:rPr>
                <w:rFonts w:hint="default" w:ascii="Times New Roman" w:hAnsi="Times New Roman" w:eastAsia="宋体" w:cs="Times New Roman"/>
                <w:color w:val="auto"/>
                <w:sz w:val="24"/>
                <w:szCs w:val="24"/>
              </w:rPr>
            </w:pPr>
          </w:p>
          <w:p w14:paraId="0FA245FC">
            <w:pPr>
              <w:keepNext w:val="0"/>
              <w:keepLines w:val="0"/>
              <w:suppressLineNumbers w:val="0"/>
              <w:spacing w:before="0" w:beforeAutospacing="0" w:after="0" w:afterAutospacing="0" w:line="360" w:lineRule="auto"/>
              <w:ind w:left="0" w:right="0"/>
              <w:jc w:val="righ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编制单位（单位）：福州朴诚至信环保科技有限公司</w:t>
            </w:r>
          </w:p>
          <w:p w14:paraId="6D380F44">
            <w:pPr>
              <w:keepNext w:val="0"/>
              <w:keepLines w:val="0"/>
              <w:suppressLineNumbers w:val="0"/>
              <w:spacing w:before="0" w:beforeAutospacing="0" w:after="0" w:afterAutospacing="0" w:line="360" w:lineRule="auto"/>
              <w:ind w:left="0" w:right="0"/>
              <w:jc w:val="righ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202</w:t>
            </w:r>
            <w:r>
              <w:rPr>
                <w:rFonts w:hint="eastAsia" w:cs="Times New Roman"/>
                <w:color w:val="auto"/>
                <w:sz w:val="24"/>
                <w:szCs w:val="24"/>
                <w:lang w:val="en-US" w:eastAsia="zh-CN"/>
              </w:rPr>
              <w:t>6</w:t>
            </w:r>
            <w:r>
              <w:rPr>
                <w:rFonts w:hint="default" w:ascii="Times New Roman" w:hAnsi="Times New Roman" w:eastAsia="宋体" w:cs="Times New Roman"/>
                <w:color w:val="auto"/>
                <w:sz w:val="24"/>
                <w:szCs w:val="24"/>
              </w:rPr>
              <w:t>年</w:t>
            </w:r>
            <w:r>
              <w:rPr>
                <w:rFonts w:hint="eastAsia" w:cs="Times New Roman"/>
                <w:color w:val="auto"/>
                <w:sz w:val="24"/>
                <w:szCs w:val="24"/>
                <w:lang w:val="en-US" w:eastAsia="zh-CN"/>
              </w:rPr>
              <w:t>1</w:t>
            </w:r>
            <w:r>
              <w:rPr>
                <w:rFonts w:hint="default" w:ascii="Times New Roman" w:hAnsi="Times New Roman" w:eastAsia="宋体" w:cs="Times New Roman"/>
                <w:color w:val="auto"/>
                <w:sz w:val="24"/>
                <w:szCs w:val="24"/>
              </w:rPr>
              <w:t>月</w:t>
            </w:r>
          </w:p>
          <w:p w14:paraId="34014205">
            <w:pPr>
              <w:keepNext w:val="0"/>
              <w:keepLines w:val="0"/>
              <w:suppressLineNumbers w:val="0"/>
              <w:spacing w:before="0" w:beforeAutospacing="0" w:after="0" w:afterAutospacing="0"/>
              <w:ind w:left="0" w:leftChars="0" w:right="0" w:firstLine="0" w:firstLineChars="0"/>
              <w:rPr>
                <w:rFonts w:hint="default" w:ascii="Times New Roman" w:hAnsi="Times New Roman" w:eastAsia="宋体" w:cs="Times New Roman"/>
                <w:color w:val="auto"/>
                <w:sz w:val="24"/>
                <w:szCs w:val="24"/>
              </w:rPr>
            </w:pPr>
          </w:p>
          <w:p w14:paraId="17CC84C6">
            <w:pPr>
              <w:keepNext w:val="0"/>
              <w:keepLines w:val="0"/>
              <w:suppressLineNumbers w:val="0"/>
              <w:spacing w:before="0" w:beforeAutospacing="0" w:after="0" w:afterAutospacing="0"/>
              <w:ind w:left="0" w:right="0"/>
              <w:rPr>
                <w:rFonts w:hint="eastAsia"/>
                <w:color w:val="auto"/>
              </w:rPr>
            </w:pPr>
          </w:p>
          <w:p w14:paraId="4380B81D">
            <w:pPr>
              <w:keepNext w:val="0"/>
              <w:keepLines w:val="0"/>
              <w:suppressLineNumbers w:val="0"/>
              <w:spacing w:before="0" w:beforeAutospacing="0" w:after="0" w:afterAutospacing="0"/>
              <w:ind w:left="0" w:right="0"/>
              <w:rPr>
                <w:rFonts w:hint="eastAsia"/>
                <w:color w:val="auto"/>
              </w:rPr>
            </w:pPr>
          </w:p>
        </w:tc>
      </w:tr>
    </w:tbl>
    <w:p w14:paraId="2C5C4AF8">
      <w:pPr>
        <w:rPr>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643F8525">
      <w:pPr>
        <w:pStyle w:val="37"/>
        <w:bidi w:val="0"/>
        <w:jc w:val="center"/>
      </w:pPr>
      <w:bookmarkStart w:id="61" w:name="_Toc11185"/>
      <w:bookmarkStart w:id="62" w:name="_Toc29969"/>
      <w:bookmarkStart w:id="63" w:name="_Toc8434"/>
      <w:bookmarkStart w:id="64" w:name="_Toc20102"/>
      <w:r>
        <w:t>附表</w:t>
      </w:r>
      <w:bookmarkEnd w:id="61"/>
      <w:bookmarkEnd w:id="62"/>
      <w:bookmarkEnd w:id="63"/>
      <w:bookmarkEnd w:id="64"/>
      <w:r>
        <w:rPr>
          <w:rFonts w:hint="eastAsia"/>
          <w:lang w:val="en-US" w:eastAsia="zh-CN"/>
        </w:rPr>
        <w:t xml:space="preserve"> </w:t>
      </w:r>
      <w:r>
        <w:t>建设项目污染物排放量汇总表</w:t>
      </w:r>
    </w:p>
    <w:tbl>
      <w:tblPr>
        <w:tblStyle w:val="29"/>
        <w:tblW w:w="13783"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42"/>
        <w:gridCol w:w="2100"/>
        <w:gridCol w:w="1487"/>
        <w:gridCol w:w="1595"/>
        <w:gridCol w:w="1527"/>
        <w:gridCol w:w="1432"/>
        <w:gridCol w:w="1418"/>
        <w:gridCol w:w="1473"/>
        <w:gridCol w:w="1009"/>
      </w:tblGrid>
      <w:tr w14:paraId="2B08FE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742" w:type="dxa"/>
            <w:tcBorders>
              <w:tl2br w:val="single" w:color="auto" w:sz="4" w:space="0"/>
            </w:tcBorders>
            <w:noWrap w:val="0"/>
            <w:tcMar>
              <w:left w:w="28" w:type="dxa"/>
              <w:right w:w="28" w:type="dxa"/>
            </w:tcMar>
            <w:vAlign w:val="center"/>
          </w:tcPr>
          <w:p w14:paraId="6BEB92D1">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项目</w:t>
            </w:r>
          </w:p>
          <w:p w14:paraId="5CA3652C">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分类</w:t>
            </w:r>
          </w:p>
        </w:tc>
        <w:tc>
          <w:tcPr>
            <w:tcW w:w="2100" w:type="dxa"/>
            <w:noWrap w:val="0"/>
            <w:tcMar>
              <w:left w:w="28" w:type="dxa"/>
              <w:right w:w="28" w:type="dxa"/>
            </w:tcMar>
            <w:vAlign w:val="center"/>
          </w:tcPr>
          <w:p w14:paraId="72356895">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污染物名称</w:t>
            </w:r>
          </w:p>
        </w:tc>
        <w:tc>
          <w:tcPr>
            <w:tcW w:w="1487" w:type="dxa"/>
            <w:noWrap w:val="0"/>
            <w:tcMar>
              <w:left w:w="28" w:type="dxa"/>
              <w:right w:w="28" w:type="dxa"/>
            </w:tcMar>
            <w:vAlign w:val="center"/>
          </w:tcPr>
          <w:p w14:paraId="56A00643">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现有工程</w:t>
            </w:r>
          </w:p>
          <w:p w14:paraId="338C3963">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排放量（固体废物产生量）</w:t>
            </w:r>
            <w:r>
              <w:rPr>
                <w:rFonts w:hint="default"/>
                <w:szCs w:val="22"/>
              </w:rPr>
              <w:fldChar w:fldCharType="begin"/>
            </w:r>
            <w:r>
              <w:rPr>
                <w:rFonts w:hint="default"/>
                <w:szCs w:val="22"/>
              </w:rPr>
              <w:instrText xml:space="preserve"> = 1 \* GB3 \* MERGEFORMAT </w:instrText>
            </w:r>
            <w:r>
              <w:rPr>
                <w:rFonts w:hint="default"/>
                <w:szCs w:val="22"/>
              </w:rPr>
              <w:fldChar w:fldCharType="separate"/>
            </w:r>
            <w:r>
              <w:rPr>
                <w:rFonts w:hint="default"/>
                <w:szCs w:val="22"/>
              </w:rPr>
              <w:t>①</w:t>
            </w:r>
            <w:r>
              <w:rPr>
                <w:rFonts w:hint="default"/>
                <w:szCs w:val="22"/>
              </w:rPr>
              <w:fldChar w:fldCharType="end"/>
            </w:r>
          </w:p>
        </w:tc>
        <w:tc>
          <w:tcPr>
            <w:tcW w:w="1595" w:type="dxa"/>
            <w:noWrap w:val="0"/>
            <w:tcMar>
              <w:left w:w="28" w:type="dxa"/>
              <w:right w:w="28" w:type="dxa"/>
            </w:tcMar>
            <w:vAlign w:val="center"/>
          </w:tcPr>
          <w:p w14:paraId="4DDD3C98">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现有工程</w:t>
            </w:r>
          </w:p>
          <w:p w14:paraId="286F60A4">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许可排放量</w:t>
            </w:r>
          </w:p>
          <w:p w14:paraId="1564ADCF">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fldChar w:fldCharType="begin"/>
            </w:r>
            <w:r>
              <w:rPr>
                <w:rFonts w:hint="default"/>
                <w:szCs w:val="22"/>
              </w:rPr>
              <w:instrText xml:space="preserve"> = 2 \* GB3 \* MERGEFORMAT </w:instrText>
            </w:r>
            <w:r>
              <w:rPr>
                <w:rFonts w:hint="default"/>
                <w:szCs w:val="22"/>
              </w:rPr>
              <w:fldChar w:fldCharType="separate"/>
            </w:r>
            <w:r>
              <w:rPr>
                <w:rFonts w:hint="default"/>
                <w:szCs w:val="22"/>
              </w:rPr>
              <w:t>②</w:t>
            </w:r>
            <w:r>
              <w:rPr>
                <w:rFonts w:hint="default"/>
                <w:szCs w:val="22"/>
              </w:rPr>
              <w:fldChar w:fldCharType="end"/>
            </w:r>
          </w:p>
        </w:tc>
        <w:tc>
          <w:tcPr>
            <w:tcW w:w="1527" w:type="dxa"/>
            <w:noWrap w:val="0"/>
            <w:tcMar>
              <w:left w:w="28" w:type="dxa"/>
              <w:right w:w="28" w:type="dxa"/>
            </w:tcMar>
            <w:vAlign w:val="center"/>
          </w:tcPr>
          <w:p w14:paraId="795F72F1">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在建工程</w:t>
            </w:r>
          </w:p>
          <w:p w14:paraId="01F7B450">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排放量（固体废物产生量）</w:t>
            </w:r>
            <w:r>
              <w:rPr>
                <w:rFonts w:hint="default"/>
                <w:szCs w:val="22"/>
              </w:rPr>
              <w:fldChar w:fldCharType="begin"/>
            </w:r>
            <w:r>
              <w:rPr>
                <w:rFonts w:hint="default"/>
                <w:szCs w:val="22"/>
              </w:rPr>
              <w:instrText xml:space="preserve"> = 3 \* GB3 \* MERGEFORMAT </w:instrText>
            </w:r>
            <w:r>
              <w:rPr>
                <w:rFonts w:hint="default"/>
                <w:szCs w:val="22"/>
              </w:rPr>
              <w:fldChar w:fldCharType="separate"/>
            </w:r>
            <w:r>
              <w:rPr>
                <w:rFonts w:hint="default"/>
                <w:szCs w:val="22"/>
              </w:rPr>
              <w:t>③</w:t>
            </w:r>
            <w:r>
              <w:rPr>
                <w:rFonts w:hint="default"/>
                <w:szCs w:val="22"/>
              </w:rPr>
              <w:fldChar w:fldCharType="end"/>
            </w:r>
          </w:p>
        </w:tc>
        <w:tc>
          <w:tcPr>
            <w:tcW w:w="1432" w:type="dxa"/>
            <w:noWrap w:val="0"/>
            <w:tcMar>
              <w:left w:w="28" w:type="dxa"/>
              <w:right w:w="28" w:type="dxa"/>
            </w:tcMar>
            <w:vAlign w:val="center"/>
          </w:tcPr>
          <w:p w14:paraId="126FD6A0">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本项目</w:t>
            </w:r>
          </w:p>
          <w:p w14:paraId="2D270896">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排放量（固体废物产生量）</w:t>
            </w:r>
            <w:r>
              <w:rPr>
                <w:rFonts w:hint="default"/>
                <w:szCs w:val="22"/>
              </w:rPr>
              <w:fldChar w:fldCharType="begin"/>
            </w:r>
            <w:r>
              <w:rPr>
                <w:rFonts w:hint="default"/>
                <w:szCs w:val="22"/>
              </w:rPr>
              <w:instrText xml:space="preserve"> = 4 \* GB3 \* MERGEFORMAT </w:instrText>
            </w:r>
            <w:r>
              <w:rPr>
                <w:rFonts w:hint="default"/>
                <w:szCs w:val="22"/>
              </w:rPr>
              <w:fldChar w:fldCharType="separate"/>
            </w:r>
            <w:r>
              <w:rPr>
                <w:rFonts w:hint="default"/>
                <w:szCs w:val="22"/>
              </w:rPr>
              <w:t>④</w:t>
            </w:r>
            <w:r>
              <w:rPr>
                <w:rFonts w:hint="default"/>
                <w:szCs w:val="22"/>
              </w:rPr>
              <w:fldChar w:fldCharType="end"/>
            </w:r>
          </w:p>
        </w:tc>
        <w:tc>
          <w:tcPr>
            <w:tcW w:w="1418" w:type="dxa"/>
            <w:noWrap w:val="0"/>
            <w:tcMar>
              <w:left w:w="28" w:type="dxa"/>
              <w:right w:w="28" w:type="dxa"/>
            </w:tcMar>
            <w:vAlign w:val="center"/>
          </w:tcPr>
          <w:p w14:paraId="53F9E3E7">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以新带老削减量</w:t>
            </w:r>
          </w:p>
          <w:p w14:paraId="222BBF6A">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（新建项目不填）</w:t>
            </w:r>
            <w:r>
              <w:rPr>
                <w:rFonts w:hint="default"/>
                <w:szCs w:val="22"/>
              </w:rPr>
              <w:fldChar w:fldCharType="begin"/>
            </w:r>
            <w:r>
              <w:rPr>
                <w:rFonts w:hint="default"/>
                <w:szCs w:val="22"/>
              </w:rPr>
              <w:instrText xml:space="preserve"> = 5 \* GB3 \* MERGEFORMAT </w:instrText>
            </w:r>
            <w:r>
              <w:rPr>
                <w:rFonts w:hint="default"/>
                <w:szCs w:val="22"/>
              </w:rPr>
              <w:fldChar w:fldCharType="separate"/>
            </w:r>
            <w:r>
              <w:rPr>
                <w:rFonts w:hint="default"/>
                <w:szCs w:val="22"/>
              </w:rPr>
              <w:t>⑤</w:t>
            </w:r>
            <w:r>
              <w:rPr>
                <w:rFonts w:hint="default"/>
                <w:szCs w:val="22"/>
              </w:rPr>
              <w:fldChar w:fldCharType="end"/>
            </w:r>
          </w:p>
        </w:tc>
        <w:tc>
          <w:tcPr>
            <w:tcW w:w="1473" w:type="dxa"/>
            <w:noWrap w:val="0"/>
            <w:tcMar>
              <w:left w:w="28" w:type="dxa"/>
              <w:right w:w="28" w:type="dxa"/>
            </w:tcMar>
            <w:vAlign w:val="center"/>
          </w:tcPr>
          <w:p w14:paraId="5BE3B013">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本项目建成后</w:t>
            </w:r>
          </w:p>
          <w:p w14:paraId="5B007F1A">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全厂排放量（固体废物产生量）</w:t>
            </w:r>
            <w:r>
              <w:rPr>
                <w:rFonts w:hint="default"/>
                <w:szCs w:val="22"/>
              </w:rPr>
              <w:fldChar w:fldCharType="begin"/>
            </w:r>
            <w:r>
              <w:rPr>
                <w:rFonts w:hint="default"/>
                <w:szCs w:val="22"/>
              </w:rPr>
              <w:instrText xml:space="preserve"> = 6 \* GB3 \* MERGEFORMAT </w:instrText>
            </w:r>
            <w:r>
              <w:rPr>
                <w:rFonts w:hint="default"/>
                <w:szCs w:val="22"/>
              </w:rPr>
              <w:fldChar w:fldCharType="separate"/>
            </w:r>
            <w:r>
              <w:rPr>
                <w:rFonts w:hint="default"/>
                <w:szCs w:val="22"/>
              </w:rPr>
              <w:t>⑥</w:t>
            </w:r>
            <w:r>
              <w:rPr>
                <w:rFonts w:hint="default"/>
                <w:szCs w:val="22"/>
              </w:rPr>
              <w:fldChar w:fldCharType="end"/>
            </w:r>
          </w:p>
        </w:tc>
        <w:tc>
          <w:tcPr>
            <w:tcW w:w="1009" w:type="dxa"/>
            <w:noWrap w:val="0"/>
            <w:tcMar>
              <w:left w:w="28" w:type="dxa"/>
              <w:right w:w="28" w:type="dxa"/>
            </w:tcMar>
            <w:vAlign w:val="center"/>
          </w:tcPr>
          <w:p w14:paraId="208DCB54">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t>变化量</w:t>
            </w:r>
          </w:p>
          <w:p w14:paraId="0BDE353E">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rPr>
              <w:fldChar w:fldCharType="begin"/>
            </w:r>
            <w:r>
              <w:rPr>
                <w:rFonts w:hint="default"/>
                <w:szCs w:val="22"/>
              </w:rPr>
              <w:instrText xml:space="preserve"> = 7 \* GB3 \* MERGEFORMAT </w:instrText>
            </w:r>
            <w:r>
              <w:rPr>
                <w:rFonts w:hint="default"/>
                <w:szCs w:val="22"/>
              </w:rPr>
              <w:fldChar w:fldCharType="separate"/>
            </w:r>
            <w:r>
              <w:rPr>
                <w:rFonts w:hint="default"/>
                <w:szCs w:val="22"/>
              </w:rPr>
              <w:t>⑦</w:t>
            </w:r>
            <w:r>
              <w:rPr>
                <w:rFonts w:hint="default"/>
                <w:szCs w:val="22"/>
              </w:rPr>
              <w:fldChar w:fldCharType="end"/>
            </w:r>
          </w:p>
        </w:tc>
      </w:tr>
      <w:tr w14:paraId="309327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742" w:type="dxa"/>
            <w:vMerge w:val="restart"/>
            <w:noWrap w:val="0"/>
            <w:vAlign w:val="center"/>
          </w:tcPr>
          <w:p w14:paraId="31D5AFD5">
            <w:pPr>
              <w:pStyle w:val="38"/>
              <w:keepNext w:val="0"/>
              <w:keepLines w:val="0"/>
              <w:widowControl/>
              <w:suppressLineNumbers w:val="0"/>
              <w:bidi w:val="0"/>
              <w:spacing w:before="0" w:beforeAutospacing="0" w:after="0" w:afterAutospacing="0"/>
              <w:ind w:left="0" w:right="0"/>
              <w:rPr>
                <w:rFonts w:hint="default"/>
                <w:szCs w:val="22"/>
                <w:lang w:eastAsia="zh-CN"/>
              </w:rPr>
            </w:pPr>
            <w:r>
              <w:rPr>
                <w:rFonts w:hint="eastAsia"/>
                <w:szCs w:val="22"/>
                <w:lang w:val="en-US" w:eastAsia="zh-CN"/>
              </w:rPr>
              <w:t>废气</w:t>
            </w:r>
          </w:p>
        </w:tc>
        <w:tc>
          <w:tcPr>
            <w:tcW w:w="2100" w:type="dxa"/>
            <w:noWrap w:val="0"/>
            <w:vAlign w:val="center"/>
          </w:tcPr>
          <w:p w14:paraId="1705DEAE">
            <w:pPr>
              <w:pStyle w:val="38"/>
              <w:keepNext w:val="0"/>
              <w:keepLines w:val="0"/>
              <w:widowControl/>
              <w:suppressLineNumbers w:val="0"/>
              <w:bidi w:val="0"/>
              <w:spacing w:before="0" w:beforeAutospacing="0" w:after="0" w:afterAutospacing="0"/>
              <w:ind w:left="0" w:right="0"/>
              <w:rPr>
                <w:rFonts w:hint="default"/>
                <w:szCs w:val="22"/>
                <w:lang w:eastAsia="zh-CN"/>
              </w:rPr>
            </w:pPr>
            <w:r>
              <w:rPr>
                <w:rFonts w:hint="eastAsia"/>
                <w:szCs w:val="22"/>
                <w:lang w:val="en-US" w:eastAsia="zh-CN"/>
              </w:rPr>
              <w:t>非甲烷总烃</w:t>
            </w:r>
          </w:p>
        </w:tc>
        <w:tc>
          <w:tcPr>
            <w:tcW w:w="1487" w:type="dxa"/>
            <w:noWrap w:val="0"/>
            <w:vAlign w:val="center"/>
          </w:tcPr>
          <w:p w14:paraId="4D7981EC">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0.407</w:t>
            </w:r>
          </w:p>
        </w:tc>
        <w:tc>
          <w:tcPr>
            <w:tcW w:w="1595" w:type="dxa"/>
            <w:noWrap w:val="0"/>
            <w:vAlign w:val="center"/>
          </w:tcPr>
          <w:p w14:paraId="454A4438">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0.407</w:t>
            </w:r>
          </w:p>
        </w:tc>
        <w:tc>
          <w:tcPr>
            <w:tcW w:w="1527" w:type="dxa"/>
            <w:noWrap w:val="0"/>
            <w:vAlign w:val="center"/>
          </w:tcPr>
          <w:p w14:paraId="216DF1C3">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w:t>
            </w:r>
          </w:p>
        </w:tc>
        <w:tc>
          <w:tcPr>
            <w:tcW w:w="1432" w:type="dxa"/>
            <w:noWrap w:val="0"/>
            <w:vAlign w:val="center"/>
          </w:tcPr>
          <w:p w14:paraId="0A13CF3E">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0.4725</w:t>
            </w:r>
          </w:p>
        </w:tc>
        <w:tc>
          <w:tcPr>
            <w:tcW w:w="1418" w:type="dxa"/>
            <w:noWrap w:val="0"/>
            <w:vAlign w:val="center"/>
          </w:tcPr>
          <w:p w14:paraId="599C056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0.407</w:t>
            </w:r>
          </w:p>
        </w:tc>
        <w:tc>
          <w:tcPr>
            <w:tcW w:w="1473" w:type="dxa"/>
            <w:noWrap w:val="0"/>
            <w:vAlign w:val="center"/>
          </w:tcPr>
          <w:p w14:paraId="38CB28AB">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0.4725</w:t>
            </w:r>
          </w:p>
        </w:tc>
        <w:tc>
          <w:tcPr>
            <w:tcW w:w="1009" w:type="dxa"/>
            <w:noWrap w:val="0"/>
            <w:vAlign w:val="center"/>
          </w:tcPr>
          <w:p w14:paraId="44F28449">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w:t>
            </w:r>
            <w:r>
              <w:rPr>
                <w:rFonts w:hint="default"/>
                <w:szCs w:val="22"/>
                <w:lang w:val="en-US" w:eastAsia="zh-CN"/>
              </w:rPr>
              <w:t>0.0655</w:t>
            </w:r>
          </w:p>
        </w:tc>
      </w:tr>
      <w:tr w14:paraId="37ACE8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742" w:type="dxa"/>
            <w:vMerge w:val="continue"/>
            <w:noWrap w:val="0"/>
            <w:vAlign w:val="center"/>
          </w:tcPr>
          <w:p w14:paraId="7DB5109D">
            <w:pPr>
              <w:pStyle w:val="38"/>
              <w:keepNext w:val="0"/>
              <w:keepLines w:val="0"/>
              <w:widowControl/>
              <w:suppressLineNumbers w:val="0"/>
              <w:bidi w:val="0"/>
              <w:spacing w:before="0" w:beforeAutospacing="0" w:after="0" w:afterAutospacing="0"/>
              <w:ind w:left="0" w:right="0"/>
              <w:rPr>
                <w:rFonts w:hint="default"/>
                <w:szCs w:val="22"/>
              </w:rPr>
            </w:pPr>
          </w:p>
        </w:tc>
        <w:tc>
          <w:tcPr>
            <w:tcW w:w="2100" w:type="dxa"/>
            <w:noWrap w:val="0"/>
            <w:vAlign w:val="center"/>
          </w:tcPr>
          <w:p w14:paraId="19E253DB">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颗粒物</w:t>
            </w:r>
          </w:p>
        </w:tc>
        <w:tc>
          <w:tcPr>
            <w:tcW w:w="1487" w:type="dxa"/>
            <w:noWrap w:val="0"/>
            <w:vAlign w:val="center"/>
          </w:tcPr>
          <w:p w14:paraId="1CDC9EF4">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0.2532</w:t>
            </w:r>
          </w:p>
        </w:tc>
        <w:tc>
          <w:tcPr>
            <w:tcW w:w="1595" w:type="dxa"/>
            <w:noWrap w:val="0"/>
            <w:vAlign w:val="center"/>
          </w:tcPr>
          <w:p w14:paraId="01F6CE28">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w:t>
            </w:r>
          </w:p>
        </w:tc>
        <w:tc>
          <w:tcPr>
            <w:tcW w:w="1527" w:type="dxa"/>
            <w:noWrap w:val="0"/>
            <w:vAlign w:val="center"/>
          </w:tcPr>
          <w:p w14:paraId="18D78C2F">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w:t>
            </w:r>
          </w:p>
        </w:tc>
        <w:tc>
          <w:tcPr>
            <w:tcW w:w="1432" w:type="dxa"/>
            <w:noWrap w:val="0"/>
            <w:vAlign w:val="center"/>
          </w:tcPr>
          <w:p w14:paraId="7F3C56A8">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0.2799</w:t>
            </w:r>
          </w:p>
        </w:tc>
        <w:tc>
          <w:tcPr>
            <w:tcW w:w="1418" w:type="dxa"/>
            <w:noWrap w:val="0"/>
            <w:vAlign w:val="center"/>
          </w:tcPr>
          <w:p w14:paraId="61675CC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0.2532</w:t>
            </w:r>
          </w:p>
        </w:tc>
        <w:tc>
          <w:tcPr>
            <w:tcW w:w="1473" w:type="dxa"/>
            <w:noWrap w:val="0"/>
            <w:vAlign w:val="center"/>
          </w:tcPr>
          <w:p w14:paraId="4376B799">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0.2799</w:t>
            </w:r>
          </w:p>
        </w:tc>
        <w:tc>
          <w:tcPr>
            <w:tcW w:w="1009" w:type="dxa"/>
            <w:noWrap w:val="0"/>
            <w:vAlign w:val="center"/>
          </w:tcPr>
          <w:p w14:paraId="2574E548">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w:t>
            </w:r>
            <w:r>
              <w:rPr>
                <w:rFonts w:hint="default"/>
                <w:szCs w:val="22"/>
                <w:lang w:val="en-US" w:eastAsia="zh-CN"/>
              </w:rPr>
              <w:t>0.0267</w:t>
            </w:r>
          </w:p>
        </w:tc>
      </w:tr>
      <w:tr w14:paraId="2B8B88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1742" w:type="dxa"/>
            <w:vMerge w:val="restart"/>
            <w:noWrap w:val="0"/>
            <w:vAlign w:val="center"/>
          </w:tcPr>
          <w:p w14:paraId="30F6D1F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废水</w:t>
            </w:r>
          </w:p>
        </w:tc>
        <w:tc>
          <w:tcPr>
            <w:tcW w:w="2100" w:type="dxa"/>
            <w:noWrap w:val="0"/>
            <w:vAlign w:val="center"/>
          </w:tcPr>
          <w:p w14:paraId="424523A8">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废水量</w:t>
            </w:r>
          </w:p>
        </w:tc>
        <w:tc>
          <w:tcPr>
            <w:tcW w:w="1487" w:type="dxa"/>
            <w:noWrap w:val="0"/>
            <w:vAlign w:val="center"/>
          </w:tcPr>
          <w:p w14:paraId="775B2501">
            <w:pPr>
              <w:pStyle w:val="38"/>
              <w:keepNext w:val="0"/>
              <w:keepLines w:val="0"/>
              <w:widowControl/>
              <w:suppressLineNumbers w:val="0"/>
              <w:bidi w:val="0"/>
              <w:spacing w:before="0" w:beforeAutospacing="0" w:after="0" w:afterAutospacing="0"/>
              <w:ind w:left="0" w:right="0"/>
              <w:rPr>
                <w:rFonts w:hint="default"/>
                <w:szCs w:val="22"/>
                <w:lang w:val="en-US"/>
              </w:rPr>
            </w:pPr>
            <w:r>
              <w:rPr>
                <w:rFonts w:hint="default"/>
                <w:szCs w:val="22"/>
                <w:lang w:val="en-US" w:eastAsia="zh-CN"/>
              </w:rPr>
              <w:t>120</w:t>
            </w:r>
          </w:p>
        </w:tc>
        <w:tc>
          <w:tcPr>
            <w:tcW w:w="1595" w:type="dxa"/>
            <w:noWrap w:val="0"/>
            <w:vAlign w:val="center"/>
          </w:tcPr>
          <w:p w14:paraId="15DB2E06">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w:t>
            </w:r>
          </w:p>
        </w:tc>
        <w:tc>
          <w:tcPr>
            <w:tcW w:w="1527" w:type="dxa"/>
            <w:noWrap w:val="0"/>
            <w:vAlign w:val="center"/>
          </w:tcPr>
          <w:p w14:paraId="0E8C0D91">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w:t>
            </w:r>
          </w:p>
        </w:tc>
        <w:tc>
          <w:tcPr>
            <w:tcW w:w="1432" w:type="dxa"/>
            <w:noWrap w:val="0"/>
            <w:vAlign w:val="center"/>
          </w:tcPr>
          <w:p w14:paraId="002D504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156</w:t>
            </w:r>
          </w:p>
        </w:tc>
        <w:tc>
          <w:tcPr>
            <w:tcW w:w="1418" w:type="dxa"/>
            <w:noWrap w:val="0"/>
            <w:vAlign w:val="center"/>
          </w:tcPr>
          <w:p w14:paraId="0550458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120</w:t>
            </w:r>
          </w:p>
        </w:tc>
        <w:tc>
          <w:tcPr>
            <w:tcW w:w="1473" w:type="dxa"/>
            <w:noWrap w:val="0"/>
            <w:vAlign w:val="center"/>
          </w:tcPr>
          <w:p w14:paraId="7C9F801C">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156</w:t>
            </w:r>
          </w:p>
        </w:tc>
        <w:tc>
          <w:tcPr>
            <w:tcW w:w="1009" w:type="dxa"/>
            <w:noWrap w:val="0"/>
            <w:vAlign w:val="center"/>
          </w:tcPr>
          <w:p w14:paraId="361178E7">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w:t>
            </w:r>
            <w:r>
              <w:rPr>
                <w:rFonts w:hint="default"/>
                <w:szCs w:val="22"/>
                <w:lang w:val="en-US" w:eastAsia="zh-CN"/>
              </w:rPr>
              <w:t>36</w:t>
            </w:r>
          </w:p>
        </w:tc>
      </w:tr>
      <w:tr w14:paraId="3EB07D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1742" w:type="dxa"/>
            <w:vMerge w:val="continue"/>
            <w:noWrap w:val="0"/>
            <w:vAlign w:val="center"/>
          </w:tcPr>
          <w:p w14:paraId="3EBAEF30">
            <w:pPr>
              <w:pStyle w:val="38"/>
              <w:keepNext w:val="0"/>
              <w:keepLines w:val="0"/>
              <w:widowControl/>
              <w:suppressLineNumbers w:val="0"/>
              <w:bidi w:val="0"/>
              <w:spacing w:before="0" w:beforeAutospacing="0" w:after="0" w:afterAutospacing="0"/>
              <w:ind w:left="0" w:right="0"/>
              <w:rPr>
                <w:rFonts w:hint="default"/>
                <w:szCs w:val="22"/>
                <w:lang w:val="en-US" w:eastAsia="zh-CN"/>
              </w:rPr>
            </w:pPr>
          </w:p>
        </w:tc>
        <w:tc>
          <w:tcPr>
            <w:tcW w:w="2100" w:type="dxa"/>
            <w:noWrap w:val="0"/>
            <w:vAlign w:val="center"/>
          </w:tcPr>
          <w:p w14:paraId="11F82E3B">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COD</w:t>
            </w:r>
          </w:p>
        </w:tc>
        <w:tc>
          <w:tcPr>
            <w:tcW w:w="1487" w:type="dxa"/>
            <w:noWrap w:val="0"/>
            <w:vAlign w:val="center"/>
          </w:tcPr>
          <w:p w14:paraId="0A78E9DE">
            <w:pPr>
              <w:pStyle w:val="38"/>
              <w:keepNext w:val="0"/>
              <w:keepLines w:val="0"/>
              <w:widowControl/>
              <w:suppressLineNumbers w:val="0"/>
              <w:bidi w:val="0"/>
              <w:spacing w:before="0" w:beforeAutospacing="0" w:after="0" w:afterAutospacing="0"/>
              <w:ind w:left="0" w:right="0"/>
              <w:rPr>
                <w:rFonts w:hint="default"/>
                <w:szCs w:val="22"/>
                <w:lang w:val="en-US"/>
              </w:rPr>
            </w:pPr>
            <w:r>
              <w:rPr>
                <w:rFonts w:hint="default"/>
                <w:szCs w:val="22"/>
                <w:lang w:val="en-US" w:eastAsia="zh-CN"/>
              </w:rPr>
              <w:t>0.0467</w:t>
            </w:r>
          </w:p>
        </w:tc>
        <w:tc>
          <w:tcPr>
            <w:tcW w:w="1595" w:type="dxa"/>
            <w:noWrap w:val="0"/>
            <w:vAlign w:val="center"/>
          </w:tcPr>
          <w:p w14:paraId="2D1F20F0">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w:t>
            </w:r>
          </w:p>
        </w:tc>
        <w:tc>
          <w:tcPr>
            <w:tcW w:w="1527" w:type="dxa"/>
            <w:noWrap w:val="0"/>
            <w:vAlign w:val="center"/>
          </w:tcPr>
          <w:p w14:paraId="58AD8417">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w:t>
            </w:r>
          </w:p>
        </w:tc>
        <w:tc>
          <w:tcPr>
            <w:tcW w:w="1432" w:type="dxa"/>
            <w:noWrap w:val="0"/>
            <w:vAlign w:val="center"/>
          </w:tcPr>
          <w:p w14:paraId="419ADF7C">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0.0497</w:t>
            </w:r>
          </w:p>
        </w:tc>
        <w:tc>
          <w:tcPr>
            <w:tcW w:w="1418" w:type="dxa"/>
            <w:noWrap w:val="0"/>
            <w:vAlign w:val="center"/>
          </w:tcPr>
          <w:p w14:paraId="565AFA30">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0.0467</w:t>
            </w:r>
          </w:p>
        </w:tc>
        <w:tc>
          <w:tcPr>
            <w:tcW w:w="1473" w:type="dxa"/>
            <w:noWrap w:val="0"/>
            <w:vAlign w:val="center"/>
          </w:tcPr>
          <w:p w14:paraId="0EC35C3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0.0497</w:t>
            </w:r>
          </w:p>
        </w:tc>
        <w:tc>
          <w:tcPr>
            <w:tcW w:w="1009" w:type="dxa"/>
            <w:noWrap w:val="0"/>
            <w:vAlign w:val="center"/>
          </w:tcPr>
          <w:p w14:paraId="07202E4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w:t>
            </w:r>
            <w:r>
              <w:rPr>
                <w:rFonts w:hint="default"/>
                <w:szCs w:val="22"/>
                <w:lang w:val="en-US" w:eastAsia="zh-CN"/>
              </w:rPr>
              <w:t>0.003</w:t>
            </w:r>
          </w:p>
        </w:tc>
      </w:tr>
      <w:tr w14:paraId="71A86E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1742" w:type="dxa"/>
            <w:vMerge w:val="continue"/>
            <w:noWrap w:val="0"/>
            <w:vAlign w:val="center"/>
          </w:tcPr>
          <w:p w14:paraId="1177E0B9">
            <w:pPr>
              <w:pStyle w:val="38"/>
              <w:keepNext w:val="0"/>
              <w:keepLines w:val="0"/>
              <w:widowControl/>
              <w:suppressLineNumbers w:val="0"/>
              <w:bidi w:val="0"/>
              <w:spacing w:before="0" w:beforeAutospacing="0" w:after="0" w:afterAutospacing="0"/>
              <w:ind w:left="0" w:right="0"/>
              <w:rPr>
                <w:rFonts w:hint="default"/>
                <w:szCs w:val="22"/>
                <w:lang w:val="en-US" w:eastAsia="zh-CN"/>
              </w:rPr>
            </w:pPr>
          </w:p>
        </w:tc>
        <w:tc>
          <w:tcPr>
            <w:tcW w:w="2100" w:type="dxa"/>
            <w:noWrap w:val="0"/>
            <w:vAlign w:val="center"/>
          </w:tcPr>
          <w:p w14:paraId="110D619B">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BOD</w:t>
            </w:r>
            <w:r>
              <w:rPr>
                <w:rFonts w:hint="eastAsia"/>
                <w:szCs w:val="22"/>
                <w:vertAlign w:val="subscript"/>
                <w:lang w:val="en-US" w:eastAsia="zh-CN"/>
              </w:rPr>
              <w:t>5</w:t>
            </w:r>
          </w:p>
        </w:tc>
        <w:tc>
          <w:tcPr>
            <w:tcW w:w="1487" w:type="dxa"/>
            <w:noWrap w:val="0"/>
            <w:vAlign w:val="center"/>
          </w:tcPr>
          <w:p w14:paraId="0642C67F">
            <w:pPr>
              <w:pStyle w:val="38"/>
              <w:keepNext w:val="0"/>
              <w:keepLines w:val="0"/>
              <w:widowControl/>
              <w:suppressLineNumbers w:val="0"/>
              <w:bidi w:val="0"/>
              <w:spacing w:before="0" w:beforeAutospacing="0" w:after="0" w:afterAutospacing="0"/>
              <w:ind w:left="0" w:right="0"/>
              <w:rPr>
                <w:rFonts w:hint="default"/>
                <w:szCs w:val="22"/>
                <w:lang w:val="en-US"/>
              </w:rPr>
            </w:pPr>
            <w:r>
              <w:rPr>
                <w:rFonts w:hint="default"/>
                <w:szCs w:val="22"/>
                <w:lang w:val="en-US" w:eastAsia="zh-CN"/>
              </w:rPr>
              <w:t>0.0149</w:t>
            </w:r>
          </w:p>
        </w:tc>
        <w:tc>
          <w:tcPr>
            <w:tcW w:w="1595" w:type="dxa"/>
            <w:noWrap w:val="0"/>
            <w:vAlign w:val="center"/>
          </w:tcPr>
          <w:p w14:paraId="6FD24FF1">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w:t>
            </w:r>
          </w:p>
        </w:tc>
        <w:tc>
          <w:tcPr>
            <w:tcW w:w="1527" w:type="dxa"/>
            <w:noWrap w:val="0"/>
            <w:vAlign w:val="center"/>
          </w:tcPr>
          <w:p w14:paraId="31F945CA">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w:t>
            </w:r>
          </w:p>
        </w:tc>
        <w:tc>
          <w:tcPr>
            <w:tcW w:w="1432" w:type="dxa"/>
            <w:noWrap w:val="0"/>
            <w:vAlign w:val="center"/>
          </w:tcPr>
          <w:p w14:paraId="59328750">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0.0271</w:t>
            </w:r>
          </w:p>
        </w:tc>
        <w:tc>
          <w:tcPr>
            <w:tcW w:w="1418" w:type="dxa"/>
            <w:noWrap w:val="0"/>
            <w:vAlign w:val="center"/>
          </w:tcPr>
          <w:p w14:paraId="49B2E58B">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0.0149</w:t>
            </w:r>
          </w:p>
        </w:tc>
        <w:tc>
          <w:tcPr>
            <w:tcW w:w="1473" w:type="dxa"/>
            <w:noWrap w:val="0"/>
            <w:vAlign w:val="center"/>
          </w:tcPr>
          <w:p w14:paraId="185CD42E">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0.0271</w:t>
            </w:r>
          </w:p>
        </w:tc>
        <w:tc>
          <w:tcPr>
            <w:tcW w:w="1009" w:type="dxa"/>
            <w:noWrap w:val="0"/>
            <w:vAlign w:val="center"/>
          </w:tcPr>
          <w:p w14:paraId="5A5BFF11">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w:t>
            </w:r>
            <w:r>
              <w:rPr>
                <w:rFonts w:hint="default"/>
                <w:szCs w:val="22"/>
                <w:lang w:val="en-US" w:eastAsia="zh-CN"/>
              </w:rPr>
              <w:t>0.0122</w:t>
            </w:r>
          </w:p>
        </w:tc>
      </w:tr>
      <w:tr w14:paraId="638EAC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1742" w:type="dxa"/>
            <w:vMerge w:val="continue"/>
            <w:noWrap w:val="0"/>
            <w:vAlign w:val="center"/>
          </w:tcPr>
          <w:p w14:paraId="3697859C">
            <w:pPr>
              <w:pStyle w:val="38"/>
              <w:keepNext w:val="0"/>
              <w:keepLines w:val="0"/>
              <w:widowControl/>
              <w:suppressLineNumbers w:val="0"/>
              <w:bidi w:val="0"/>
              <w:spacing w:before="0" w:beforeAutospacing="0" w:after="0" w:afterAutospacing="0"/>
              <w:ind w:left="0" w:right="0"/>
              <w:rPr>
                <w:rFonts w:hint="default"/>
                <w:szCs w:val="22"/>
                <w:lang w:val="en-US" w:eastAsia="zh-CN"/>
              </w:rPr>
            </w:pPr>
          </w:p>
        </w:tc>
        <w:tc>
          <w:tcPr>
            <w:tcW w:w="2100" w:type="dxa"/>
            <w:noWrap w:val="0"/>
            <w:vAlign w:val="center"/>
          </w:tcPr>
          <w:p w14:paraId="125B7D4B">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SS</w:t>
            </w:r>
          </w:p>
        </w:tc>
        <w:tc>
          <w:tcPr>
            <w:tcW w:w="1487" w:type="dxa"/>
            <w:noWrap w:val="0"/>
            <w:vAlign w:val="center"/>
          </w:tcPr>
          <w:p w14:paraId="61128803">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0.0038</w:t>
            </w:r>
          </w:p>
        </w:tc>
        <w:tc>
          <w:tcPr>
            <w:tcW w:w="1595" w:type="dxa"/>
            <w:noWrap w:val="0"/>
            <w:vAlign w:val="center"/>
          </w:tcPr>
          <w:p w14:paraId="052DDF18">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w:t>
            </w:r>
          </w:p>
        </w:tc>
        <w:tc>
          <w:tcPr>
            <w:tcW w:w="1527" w:type="dxa"/>
            <w:noWrap w:val="0"/>
            <w:vAlign w:val="center"/>
          </w:tcPr>
          <w:p w14:paraId="629AB02D">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w:t>
            </w:r>
          </w:p>
        </w:tc>
        <w:tc>
          <w:tcPr>
            <w:tcW w:w="1432" w:type="dxa"/>
            <w:noWrap w:val="0"/>
            <w:vAlign w:val="center"/>
          </w:tcPr>
          <w:p w14:paraId="5BF993D7">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0.0165</w:t>
            </w:r>
          </w:p>
        </w:tc>
        <w:tc>
          <w:tcPr>
            <w:tcW w:w="1418" w:type="dxa"/>
            <w:noWrap w:val="0"/>
            <w:vAlign w:val="center"/>
          </w:tcPr>
          <w:p w14:paraId="37F5639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0.0038</w:t>
            </w:r>
          </w:p>
        </w:tc>
        <w:tc>
          <w:tcPr>
            <w:tcW w:w="1473" w:type="dxa"/>
            <w:noWrap w:val="0"/>
            <w:vAlign w:val="center"/>
          </w:tcPr>
          <w:p w14:paraId="4C6B0AE1">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0.0165</w:t>
            </w:r>
          </w:p>
        </w:tc>
        <w:tc>
          <w:tcPr>
            <w:tcW w:w="1009" w:type="dxa"/>
            <w:noWrap w:val="0"/>
            <w:vAlign w:val="center"/>
          </w:tcPr>
          <w:p w14:paraId="449825EB">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w:t>
            </w:r>
            <w:r>
              <w:rPr>
                <w:rFonts w:hint="default"/>
                <w:szCs w:val="22"/>
                <w:lang w:val="en-US" w:eastAsia="zh-CN"/>
              </w:rPr>
              <w:t>0.0127</w:t>
            </w:r>
          </w:p>
        </w:tc>
      </w:tr>
      <w:tr w14:paraId="41F32A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1742" w:type="dxa"/>
            <w:vMerge w:val="continue"/>
            <w:noWrap w:val="0"/>
            <w:vAlign w:val="center"/>
          </w:tcPr>
          <w:p w14:paraId="3842008D">
            <w:pPr>
              <w:pStyle w:val="38"/>
              <w:keepNext w:val="0"/>
              <w:keepLines w:val="0"/>
              <w:widowControl/>
              <w:suppressLineNumbers w:val="0"/>
              <w:bidi w:val="0"/>
              <w:spacing w:before="0" w:beforeAutospacing="0" w:after="0" w:afterAutospacing="0"/>
              <w:ind w:left="0" w:right="0"/>
              <w:rPr>
                <w:rFonts w:hint="default"/>
                <w:szCs w:val="22"/>
                <w:lang w:val="en-GB" w:eastAsia="zh-CN"/>
              </w:rPr>
            </w:pPr>
          </w:p>
        </w:tc>
        <w:tc>
          <w:tcPr>
            <w:tcW w:w="2100" w:type="dxa"/>
            <w:noWrap w:val="0"/>
            <w:vAlign w:val="center"/>
          </w:tcPr>
          <w:p w14:paraId="7454BD5C">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default"/>
                <w:szCs w:val="22"/>
                <w:lang w:val="en-US" w:eastAsia="zh-CN"/>
              </w:rPr>
              <w:t>NH</w:t>
            </w:r>
            <w:r>
              <w:rPr>
                <w:rFonts w:hint="eastAsia"/>
                <w:szCs w:val="22"/>
                <w:vertAlign w:val="subscript"/>
                <w:lang w:val="en-US" w:eastAsia="zh-CN"/>
              </w:rPr>
              <w:t>3</w:t>
            </w:r>
            <w:r>
              <w:rPr>
                <w:rFonts w:hint="default"/>
                <w:szCs w:val="22"/>
                <w:lang w:val="en-US" w:eastAsia="zh-CN"/>
              </w:rPr>
              <w:t>-N</w:t>
            </w:r>
          </w:p>
        </w:tc>
        <w:tc>
          <w:tcPr>
            <w:tcW w:w="1487" w:type="dxa"/>
            <w:noWrap w:val="0"/>
            <w:vAlign w:val="center"/>
          </w:tcPr>
          <w:p w14:paraId="78C9790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0.0052</w:t>
            </w:r>
          </w:p>
        </w:tc>
        <w:tc>
          <w:tcPr>
            <w:tcW w:w="1595" w:type="dxa"/>
            <w:noWrap w:val="0"/>
            <w:vAlign w:val="center"/>
          </w:tcPr>
          <w:p w14:paraId="426C5E6C">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w:t>
            </w:r>
          </w:p>
        </w:tc>
        <w:tc>
          <w:tcPr>
            <w:tcW w:w="1527" w:type="dxa"/>
            <w:noWrap w:val="0"/>
            <w:vAlign w:val="center"/>
          </w:tcPr>
          <w:p w14:paraId="3CDBD1C3">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w:t>
            </w:r>
          </w:p>
        </w:tc>
        <w:tc>
          <w:tcPr>
            <w:tcW w:w="1432" w:type="dxa"/>
            <w:noWrap w:val="0"/>
            <w:vAlign w:val="center"/>
          </w:tcPr>
          <w:p w14:paraId="549F8D58">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0.0053</w:t>
            </w:r>
          </w:p>
        </w:tc>
        <w:tc>
          <w:tcPr>
            <w:tcW w:w="1418" w:type="dxa"/>
            <w:noWrap w:val="0"/>
            <w:vAlign w:val="center"/>
          </w:tcPr>
          <w:p w14:paraId="12B12528">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0.0052</w:t>
            </w:r>
          </w:p>
        </w:tc>
        <w:tc>
          <w:tcPr>
            <w:tcW w:w="1473" w:type="dxa"/>
            <w:noWrap w:val="0"/>
            <w:vAlign w:val="center"/>
          </w:tcPr>
          <w:p w14:paraId="14972CC3">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0.0053</w:t>
            </w:r>
          </w:p>
        </w:tc>
        <w:tc>
          <w:tcPr>
            <w:tcW w:w="1009" w:type="dxa"/>
            <w:noWrap w:val="0"/>
            <w:vAlign w:val="center"/>
          </w:tcPr>
          <w:p w14:paraId="644A5894">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+0.0001</w:t>
            </w:r>
          </w:p>
        </w:tc>
      </w:tr>
      <w:tr w14:paraId="257B3D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742" w:type="dxa"/>
            <w:noWrap w:val="0"/>
            <w:vAlign w:val="center"/>
          </w:tcPr>
          <w:p w14:paraId="07A5EDD4">
            <w:pPr>
              <w:pStyle w:val="38"/>
              <w:keepNext w:val="0"/>
              <w:keepLines w:val="0"/>
              <w:widowControl/>
              <w:suppressLineNumbers w:val="0"/>
              <w:bidi w:val="0"/>
              <w:spacing w:before="0" w:beforeAutospacing="0" w:after="0" w:afterAutospacing="0"/>
              <w:ind w:left="0" w:right="0"/>
              <w:rPr>
                <w:rFonts w:hint="default"/>
                <w:szCs w:val="22"/>
                <w:lang w:val="en-GB" w:eastAsia="zh-CN"/>
              </w:rPr>
            </w:pPr>
            <w:r>
              <w:rPr>
                <w:rFonts w:hint="eastAsia"/>
                <w:szCs w:val="22"/>
                <w:lang w:val="en-US" w:eastAsia="zh-CN"/>
              </w:rPr>
              <w:t>一般工业固体废物</w:t>
            </w:r>
          </w:p>
        </w:tc>
        <w:tc>
          <w:tcPr>
            <w:tcW w:w="2100" w:type="dxa"/>
            <w:noWrap w:val="0"/>
            <w:vAlign w:val="center"/>
          </w:tcPr>
          <w:p w14:paraId="4745B461">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不合格产品</w:t>
            </w:r>
          </w:p>
        </w:tc>
        <w:tc>
          <w:tcPr>
            <w:tcW w:w="1487" w:type="dxa"/>
            <w:noWrap w:val="0"/>
            <w:vAlign w:val="center"/>
          </w:tcPr>
          <w:p w14:paraId="648C9F15">
            <w:pPr>
              <w:pStyle w:val="38"/>
              <w:keepNext w:val="0"/>
              <w:keepLines w:val="0"/>
              <w:widowControl/>
              <w:suppressLineNumbers w:val="0"/>
              <w:bidi w:val="0"/>
              <w:spacing w:before="0" w:beforeAutospacing="0" w:after="0" w:afterAutospacing="0"/>
              <w:ind w:left="0" w:right="0"/>
              <w:rPr>
                <w:rFonts w:hint="default"/>
                <w:szCs w:val="22"/>
                <w:lang w:val="en-US"/>
              </w:rPr>
            </w:pPr>
            <w:r>
              <w:rPr>
                <w:rFonts w:hint="default"/>
                <w:szCs w:val="22"/>
                <w:lang w:val="en-US" w:eastAsia="zh-CN"/>
              </w:rPr>
              <w:t>0.9万套/年</w:t>
            </w:r>
          </w:p>
        </w:tc>
        <w:tc>
          <w:tcPr>
            <w:tcW w:w="1595" w:type="dxa"/>
            <w:noWrap w:val="0"/>
            <w:vAlign w:val="center"/>
          </w:tcPr>
          <w:p w14:paraId="4BDB3614">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w:t>
            </w:r>
          </w:p>
        </w:tc>
        <w:tc>
          <w:tcPr>
            <w:tcW w:w="1527" w:type="dxa"/>
            <w:noWrap w:val="0"/>
            <w:vAlign w:val="center"/>
          </w:tcPr>
          <w:p w14:paraId="3050D391">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w:t>
            </w:r>
          </w:p>
        </w:tc>
        <w:tc>
          <w:tcPr>
            <w:tcW w:w="1432" w:type="dxa"/>
            <w:noWrap w:val="0"/>
            <w:vAlign w:val="center"/>
          </w:tcPr>
          <w:p w14:paraId="4CCEF4CF">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1.854万套/年</w:t>
            </w:r>
          </w:p>
        </w:tc>
        <w:tc>
          <w:tcPr>
            <w:tcW w:w="1418" w:type="dxa"/>
            <w:noWrap w:val="0"/>
            <w:vAlign w:val="center"/>
          </w:tcPr>
          <w:p w14:paraId="4A8DE14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0.9万套/年</w:t>
            </w:r>
          </w:p>
        </w:tc>
        <w:tc>
          <w:tcPr>
            <w:tcW w:w="1473" w:type="dxa"/>
            <w:noWrap w:val="0"/>
            <w:vAlign w:val="center"/>
          </w:tcPr>
          <w:p w14:paraId="4A742156">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1.854万套/年</w:t>
            </w:r>
          </w:p>
        </w:tc>
        <w:tc>
          <w:tcPr>
            <w:tcW w:w="1009" w:type="dxa"/>
            <w:noWrap w:val="0"/>
            <w:vAlign w:val="center"/>
          </w:tcPr>
          <w:p w14:paraId="3390460F">
            <w:pPr>
              <w:pStyle w:val="38"/>
              <w:keepNext w:val="0"/>
              <w:keepLines w:val="0"/>
              <w:widowControl/>
              <w:suppressLineNumbers w:val="0"/>
              <w:bidi w:val="0"/>
              <w:spacing w:before="0" w:beforeAutospacing="0" w:after="0" w:afterAutospacing="0"/>
              <w:ind w:left="0" w:right="0"/>
              <w:rPr>
                <w:rFonts w:hint="default"/>
                <w:szCs w:val="22"/>
              </w:rPr>
            </w:pPr>
            <w:r>
              <w:rPr>
                <w:rFonts w:hint="default"/>
                <w:szCs w:val="22"/>
                <w:lang w:val="en-US" w:eastAsia="zh-CN"/>
              </w:rPr>
              <w:t>+0.954</w:t>
            </w:r>
            <w:r>
              <w:rPr>
                <w:rFonts w:hint="eastAsia"/>
                <w:szCs w:val="22"/>
                <w:lang w:val="en-US" w:eastAsia="zh-CN"/>
              </w:rPr>
              <w:t>万套</w:t>
            </w:r>
            <w:r>
              <w:rPr>
                <w:rFonts w:hint="default"/>
                <w:szCs w:val="22"/>
                <w:lang w:val="en-US" w:eastAsia="zh-CN"/>
              </w:rPr>
              <w:t>/</w:t>
            </w:r>
            <w:r>
              <w:rPr>
                <w:rFonts w:hint="eastAsia"/>
                <w:szCs w:val="22"/>
                <w:lang w:val="en-US" w:eastAsia="zh-CN"/>
              </w:rPr>
              <w:t>年</w:t>
            </w:r>
          </w:p>
        </w:tc>
      </w:tr>
      <w:tr w14:paraId="5D2068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3842" w:type="dxa"/>
            <w:gridSpan w:val="2"/>
            <w:noWrap w:val="0"/>
            <w:vAlign w:val="center"/>
          </w:tcPr>
          <w:p w14:paraId="608FD26B">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生活垃圾</w:t>
            </w:r>
          </w:p>
        </w:tc>
        <w:tc>
          <w:tcPr>
            <w:tcW w:w="1487" w:type="dxa"/>
            <w:noWrap w:val="0"/>
            <w:vAlign w:val="center"/>
          </w:tcPr>
          <w:p w14:paraId="0B03BC7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1.5</w:t>
            </w:r>
          </w:p>
        </w:tc>
        <w:tc>
          <w:tcPr>
            <w:tcW w:w="1595" w:type="dxa"/>
            <w:noWrap w:val="0"/>
            <w:vAlign w:val="center"/>
          </w:tcPr>
          <w:p w14:paraId="3864A4DC">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w:t>
            </w:r>
          </w:p>
        </w:tc>
        <w:tc>
          <w:tcPr>
            <w:tcW w:w="1527" w:type="dxa"/>
            <w:noWrap w:val="0"/>
            <w:vAlign w:val="center"/>
          </w:tcPr>
          <w:p w14:paraId="442787EB">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w:t>
            </w:r>
          </w:p>
        </w:tc>
        <w:tc>
          <w:tcPr>
            <w:tcW w:w="1432" w:type="dxa"/>
            <w:noWrap w:val="0"/>
            <w:vAlign w:val="center"/>
          </w:tcPr>
          <w:p w14:paraId="34FA80C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1.95</w:t>
            </w:r>
          </w:p>
        </w:tc>
        <w:tc>
          <w:tcPr>
            <w:tcW w:w="1418" w:type="dxa"/>
            <w:noWrap w:val="0"/>
            <w:vAlign w:val="center"/>
          </w:tcPr>
          <w:p w14:paraId="51815384">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1.5</w:t>
            </w:r>
          </w:p>
        </w:tc>
        <w:tc>
          <w:tcPr>
            <w:tcW w:w="1473" w:type="dxa"/>
            <w:noWrap w:val="0"/>
            <w:vAlign w:val="center"/>
          </w:tcPr>
          <w:p w14:paraId="3325AEE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1.95</w:t>
            </w:r>
          </w:p>
        </w:tc>
        <w:tc>
          <w:tcPr>
            <w:tcW w:w="1009" w:type="dxa"/>
            <w:noWrap w:val="0"/>
            <w:vAlign w:val="center"/>
          </w:tcPr>
          <w:p w14:paraId="768C6727">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w:t>
            </w:r>
            <w:r>
              <w:rPr>
                <w:rFonts w:hint="default"/>
                <w:szCs w:val="22"/>
                <w:lang w:val="en-US" w:eastAsia="zh-CN"/>
              </w:rPr>
              <w:t>0.45</w:t>
            </w:r>
          </w:p>
        </w:tc>
      </w:tr>
      <w:tr w14:paraId="5FCF48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1742" w:type="dxa"/>
            <w:vMerge w:val="restart"/>
            <w:noWrap w:val="0"/>
            <w:vAlign w:val="center"/>
          </w:tcPr>
          <w:p w14:paraId="1EEC2A95">
            <w:pPr>
              <w:pStyle w:val="38"/>
              <w:keepNext w:val="0"/>
              <w:keepLines w:val="0"/>
              <w:widowControl/>
              <w:suppressLineNumbers w:val="0"/>
              <w:bidi w:val="0"/>
              <w:spacing w:before="0" w:beforeAutospacing="0" w:after="0" w:afterAutospacing="0"/>
              <w:ind w:left="0" w:right="0"/>
              <w:rPr>
                <w:rFonts w:hint="default"/>
                <w:szCs w:val="22"/>
                <w:lang w:eastAsia="zh-CN"/>
              </w:rPr>
            </w:pPr>
            <w:r>
              <w:rPr>
                <w:rFonts w:hint="eastAsia"/>
                <w:szCs w:val="22"/>
                <w:lang w:val="en-US" w:eastAsia="zh-CN"/>
              </w:rPr>
              <w:t>危险废物</w:t>
            </w:r>
          </w:p>
        </w:tc>
        <w:tc>
          <w:tcPr>
            <w:tcW w:w="2100" w:type="dxa"/>
            <w:tcBorders>
              <w:top w:val="single" w:color="000000" w:sz="4" w:space="0"/>
              <w:bottom w:val="single" w:color="000000" w:sz="4" w:space="0"/>
            </w:tcBorders>
            <w:noWrap w:val="0"/>
            <w:vAlign w:val="center"/>
          </w:tcPr>
          <w:p w14:paraId="5394C504">
            <w:pPr>
              <w:pStyle w:val="38"/>
              <w:keepNext w:val="0"/>
              <w:keepLines w:val="0"/>
              <w:widowControl/>
              <w:suppressLineNumbers w:val="0"/>
              <w:bidi w:val="0"/>
              <w:spacing w:before="0" w:beforeAutospacing="0" w:after="0" w:afterAutospacing="0"/>
              <w:ind w:left="0" w:right="0"/>
              <w:rPr>
                <w:rFonts w:hint="default"/>
                <w:szCs w:val="22"/>
                <w:lang w:eastAsia="zh-CN"/>
              </w:rPr>
            </w:pPr>
            <w:r>
              <w:rPr>
                <w:rFonts w:hint="eastAsia"/>
                <w:szCs w:val="22"/>
                <w:lang w:val="en-US" w:eastAsia="zh-CN"/>
              </w:rPr>
              <w:t>水帘柜废液</w:t>
            </w:r>
          </w:p>
        </w:tc>
        <w:tc>
          <w:tcPr>
            <w:tcW w:w="1487" w:type="dxa"/>
            <w:noWrap w:val="0"/>
            <w:vAlign w:val="center"/>
          </w:tcPr>
          <w:p w14:paraId="137108FB">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0.3</w:t>
            </w:r>
          </w:p>
        </w:tc>
        <w:tc>
          <w:tcPr>
            <w:tcW w:w="1595" w:type="dxa"/>
            <w:noWrap w:val="0"/>
            <w:vAlign w:val="center"/>
          </w:tcPr>
          <w:p w14:paraId="0739D6F7">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w:t>
            </w:r>
          </w:p>
        </w:tc>
        <w:tc>
          <w:tcPr>
            <w:tcW w:w="1527" w:type="dxa"/>
            <w:noWrap w:val="0"/>
            <w:vAlign w:val="center"/>
          </w:tcPr>
          <w:p w14:paraId="474802F4">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w:t>
            </w:r>
          </w:p>
        </w:tc>
        <w:tc>
          <w:tcPr>
            <w:tcW w:w="1432" w:type="dxa"/>
            <w:noWrap w:val="0"/>
            <w:vAlign w:val="center"/>
          </w:tcPr>
          <w:p w14:paraId="2EA96F40">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w:t>
            </w:r>
            <w:r>
              <w:rPr>
                <w:rFonts w:hint="eastAsia"/>
                <w:szCs w:val="22"/>
                <w:lang w:val="en-US" w:eastAsia="zh-CN"/>
              </w:rPr>
              <w:t>.45</w:t>
            </w:r>
          </w:p>
        </w:tc>
        <w:tc>
          <w:tcPr>
            <w:tcW w:w="1418" w:type="dxa"/>
            <w:noWrap w:val="0"/>
            <w:vAlign w:val="center"/>
          </w:tcPr>
          <w:p w14:paraId="01A36300">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0.3</w:t>
            </w:r>
          </w:p>
        </w:tc>
        <w:tc>
          <w:tcPr>
            <w:tcW w:w="1473" w:type="dxa"/>
            <w:noWrap w:val="0"/>
            <w:vAlign w:val="center"/>
          </w:tcPr>
          <w:p w14:paraId="1943EEBA">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0.45</w:t>
            </w:r>
          </w:p>
        </w:tc>
        <w:tc>
          <w:tcPr>
            <w:tcW w:w="1009" w:type="dxa"/>
            <w:noWrap w:val="0"/>
            <w:vAlign w:val="center"/>
          </w:tcPr>
          <w:p w14:paraId="1B0E992D">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+0.15</w:t>
            </w:r>
          </w:p>
        </w:tc>
      </w:tr>
      <w:tr w14:paraId="614C9F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742" w:type="dxa"/>
            <w:vMerge w:val="continue"/>
            <w:noWrap w:val="0"/>
            <w:vAlign w:val="center"/>
          </w:tcPr>
          <w:p w14:paraId="7C6CDBA0">
            <w:pPr>
              <w:pStyle w:val="38"/>
              <w:keepNext w:val="0"/>
              <w:keepLines w:val="0"/>
              <w:widowControl/>
              <w:suppressLineNumbers w:val="0"/>
              <w:bidi w:val="0"/>
              <w:spacing w:before="0" w:beforeAutospacing="0" w:after="0" w:afterAutospacing="0"/>
              <w:ind w:left="0" w:right="0"/>
              <w:rPr>
                <w:rFonts w:hint="default"/>
                <w:szCs w:val="22"/>
                <w:lang w:eastAsia="zh-CN"/>
              </w:rPr>
            </w:pPr>
          </w:p>
        </w:tc>
        <w:tc>
          <w:tcPr>
            <w:tcW w:w="2100" w:type="dxa"/>
            <w:tcBorders>
              <w:top w:val="single" w:color="000000" w:sz="4" w:space="0"/>
              <w:bottom w:val="single" w:color="000000" w:sz="4" w:space="0"/>
            </w:tcBorders>
            <w:noWrap w:val="0"/>
            <w:vAlign w:val="center"/>
          </w:tcPr>
          <w:p w14:paraId="621A5A84">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废漆渣</w:t>
            </w:r>
          </w:p>
        </w:tc>
        <w:tc>
          <w:tcPr>
            <w:tcW w:w="1487" w:type="dxa"/>
            <w:noWrap w:val="0"/>
            <w:vAlign w:val="center"/>
          </w:tcPr>
          <w:p w14:paraId="48EBF319">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0.05</w:t>
            </w:r>
          </w:p>
        </w:tc>
        <w:tc>
          <w:tcPr>
            <w:tcW w:w="1595" w:type="dxa"/>
            <w:noWrap w:val="0"/>
            <w:vAlign w:val="center"/>
          </w:tcPr>
          <w:p w14:paraId="51CF8860">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w:t>
            </w:r>
          </w:p>
        </w:tc>
        <w:tc>
          <w:tcPr>
            <w:tcW w:w="1527" w:type="dxa"/>
            <w:noWrap w:val="0"/>
            <w:vAlign w:val="center"/>
          </w:tcPr>
          <w:p w14:paraId="3785347C">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w:t>
            </w:r>
          </w:p>
        </w:tc>
        <w:tc>
          <w:tcPr>
            <w:tcW w:w="1432" w:type="dxa"/>
            <w:noWrap w:val="0"/>
            <w:vAlign w:val="center"/>
          </w:tcPr>
          <w:p w14:paraId="550817B3">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0.69</w:t>
            </w:r>
          </w:p>
        </w:tc>
        <w:tc>
          <w:tcPr>
            <w:tcW w:w="1418" w:type="dxa"/>
            <w:noWrap w:val="0"/>
            <w:vAlign w:val="center"/>
          </w:tcPr>
          <w:p w14:paraId="2173686F">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0.05</w:t>
            </w:r>
          </w:p>
        </w:tc>
        <w:tc>
          <w:tcPr>
            <w:tcW w:w="1473" w:type="dxa"/>
            <w:noWrap w:val="0"/>
            <w:vAlign w:val="center"/>
          </w:tcPr>
          <w:p w14:paraId="28E33291">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0.69</w:t>
            </w:r>
          </w:p>
        </w:tc>
        <w:tc>
          <w:tcPr>
            <w:tcW w:w="1009" w:type="dxa"/>
            <w:noWrap w:val="0"/>
            <w:vAlign w:val="center"/>
          </w:tcPr>
          <w:p w14:paraId="2941E225">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eastAsia"/>
                <w:szCs w:val="22"/>
                <w:lang w:val="en-US" w:eastAsia="zh-CN"/>
              </w:rPr>
              <w:t>+</w:t>
            </w:r>
            <w:r>
              <w:rPr>
                <w:rFonts w:hint="default"/>
                <w:szCs w:val="22"/>
                <w:lang w:val="en-US" w:eastAsia="zh-CN"/>
              </w:rPr>
              <w:t>0.64</w:t>
            </w:r>
          </w:p>
        </w:tc>
      </w:tr>
      <w:tr w14:paraId="4A6EA8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742" w:type="dxa"/>
            <w:vMerge w:val="continue"/>
            <w:noWrap w:val="0"/>
            <w:vAlign w:val="center"/>
          </w:tcPr>
          <w:p w14:paraId="5FC0161C">
            <w:pPr>
              <w:pStyle w:val="38"/>
              <w:keepNext w:val="0"/>
              <w:keepLines w:val="0"/>
              <w:widowControl/>
              <w:suppressLineNumbers w:val="0"/>
              <w:bidi w:val="0"/>
              <w:spacing w:before="0" w:beforeAutospacing="0" w:after="0" w:afterAutospacing="0"/>
              <w:ind w:left="0" w:right="0"/>
              <w:rPr>
                <w:rFonts w:hint="default"/>
                <w:szCs w:val="22"/>
                <w:lang w:eastAsia="zh-CN"/>
              </w:rPr>
            </w:pPr>
          </w:p>
        </w:tc>
        <w:tc>
          <w:tcPr>
            <w:tcW w:w="2100" w:type="dxa"/>
            <w:tcBorders>
              <w:top w:val="single" w:color="000000" w:sz="4" w:space="0"/>
              <w:bottom w:val="single" w:color="000000" w:sz="4" w:space="0"/>
            </w:tcBorders>
            <w:noWrap w:val="0"/>
            <w:vAlign w:val="center"/>
          </w:tcPr>
          <w:p w14:paraId="5C343B1E">
            <w:pPr>
              <w:pStyle w:val="38"/>
              <w:keepNext w:val="0"/>
              <w:keepLines w:val="0"/>
              <w:widowControl/>
              <w:suppressLineNumbers w:val="0"/>
              <w:bidi w:val="0"/>
              <w:spacing w:before="0" w:beforeAutospacing="0" w:after="0" w:afterAutospacing="0"/>
              <w:ind w:left="0" w:right="0"/>
              <w:rPr>
                <w:rFonts w:hint="default"/>
                <w:szCs w:val="22"/>
                <w:lang w:eastAsia="zh-CN"/>
              </w:rPr>
            </w:pPr>
            <w:r>
              <w:rPr>
                <w:rFonts w:hint="eastAsia"/>
                <w:szCs w:val="22"/>
                <w:lang w:val="en-US" w:eastAsia="zh-CN"/>
              </w:rPr>
              <w:t>废水性漆桶</w:t>
            </w:r>
          </w:p>
        </w:tc>
        <w:tc>
          <w:tcPr>
            <w:tcW w:w="1487" w:type="dxa"/>
            <w:noWrap w:val="0"/>
            <w:vAlign w:val="center"/>
          </w:tcPr>
          <w:p w14:paraId="51AD9B67">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0.05</w:t>
            </w:r>
          </w:p>
        </w:tc>
        <w:tc>
          <w:tcPr>
            <w:tcW w:w="1595" w:type="dxa"/>
            <w:noWrap w:val="0"/>
            <w:vAlign w:val="center"/>
          </w:tcPr>
          <w:p w14:paraId="32897C23">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w:t>
            </w:r>
          </w:p>
        </w:tc>
        <w:tc>
          <w:tcPr>
            <w:tcW w:w="1527" w:type="dxa"/>
            <w:noWrap w:val="0"/>
            <w:vAlign w:val="center"/>
          </w:tcPr>
          <w:p w14:paraId="54CB78B3">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0</w:t>
            </w:r>
          </w:p>
        </w:tc>
        <w:tc>
          <w:tcPr>
            <w:tcW w:w="1432" w:type="dxa"/>
            <w:noWrap w:val="0"/>
            <w:vAlign w:val="center"/>
          </w:tcPr>
          <w:p w14:paraId="2F74D373">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0.01</w:t>
            </w:r>
          </w:p>
        </w:tc>
        <w:tc>
          <w:tcPr>
            <w:tcW w:w="1418" w:type="dxa"/>
            <w:noWrap w:val="0"/>
            <w:vAlign w:val="center"/>
          </w:tcPr>
          <w:p w14:paraId="415E190F">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0.05</w:t>
            </w:r>
          </w:p>
        </w:tc>
        <w:tc>
          <w:tcPr>
            <w:tcW w:w="1473" w:type="dxa"/>
            <w:noWrap w:val="0"/>
            <w:vAlign w:val="center"/>
          </w:tcPr>
          <w:p w14:paraId="63F9FCA3">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0.01</w:t>
            </w:r>
          </w:p>
        </w:tc>
        <w:tc>
          <w:tcPr>
            <w:tcW w:w="1009" w:type="dxa"/>
            <w:noWrap w:val="0"/>
            <w:vAlign w:val="center"/>
          </w:tcPr>
          <w:p w14:paraId="53854D22">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-0.04</w:t>
            </w:r>
          </w:p>
        </w:tc>
      </w:tr>
      <w:tr w14:paraId="3A4C50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1742" w:type="dxa"/>
            <w:vMerge w:val="continue"/>
            <w:noWrap w:val="0"/>
            <w:vAlign w:val="center"/>
          </w:tcPr>
          <w:p w14:paraId="754F3876">
            <w:pPr>
              <w:pStyle w:val="38"/>
              <w:keepNext w:val="0"/>
              <w:keepLines w:val="0"/>
              <w:widowControl/>
              <w:suppressLineNumbers w:val="0"/>
              <w:bidi w:val="0"/>
              <w:spacing w:before="0" w:beforeAutospacing="0" w:after="0" w:afterAutospacing="0"/>
              <w:ind w:left="0" w:right="0"/>
              <w:rPr>
                <w:rFonts w:hint="default"/>
                <w:szCs w:val="22"/>
                <w:lang w:eastAsia="zh-CN"/>
              </w:rPr>
            </w:pPr>
          </w:p>
        </w:tc>
        <w:tc>
          <w:tcPr>
            <w:tcW w:w="2100" w:type="dxa"/>
            <w:tcBorders>
              <w:top w:val="single" w:color="000000" w:sz="4" w:space="0"/>
              <w:bottom w:val="single" w:color="000000" w:sz="4" w:space="0"/>
            </w:tcBorders>
            <w:noWrap w:val="0"/>
            <w:vAlign w:val="center"/>
          </w:tcPr>
          <w:p w14:paraId="6D22BF69">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val="en-US" w:eastAsia="zh-CN"/>
              </w:rPr>
              <w:t>废油性漆桶</w:t>
            </w:r>
          </w:p>
        </w:tc>
        <w:tc>
          <w:tcPr>
            <w:tcW w:w="1487" w:type="dxa"/>
            <w:noWrap w:val="0"/>
            <w:vAlign w:val="center"/>
          </w:tcPr>
          <w:p w14:paraId="0A56DE73">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0.02</w:t>
            </w:r>
          </w:p>
        </w:tc>
        <w:tc>
          <w:tcPr>
            <w:tcW w:w="1595" w:type="dxa"/>
            <w:noWrap w:val="0"/>
            <w:vAlign w:val="center"/>
          </w:tcPr>
          <w:p w14:paraId="6B27DF8B">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w:t>
            </w:r>
          </w:p>
        </w:tc>
        <w:tc>
          <w:tcPr>
            <w:tcW w:w="1527" w:type="dxa"/>
            <w:noWrap w:val="0"/>
            <w:vAlign w:val="center"/>
          </w:tcPr>
          <w:p w14:paraId="0B772CC2">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0</w:t>
            </w:r>
          </w:p>
        </w:tc>
        <w:tc>
          <w:tcPr>
            <w:tcW w:w="1432" w:type="dxa"/>
            <w:noWrap w:val="0"/>
            <w:vAlign w:val="center"/>
          </w:tcPr>
          <w:p w14:paraId="0EA4B87E">
            <w:pPr>
              <w:pStyle w:val="38"/>
              <w:keepNext w:val="0"/>
              <w:keepLines w:val="0"/>
              <w:widowControl/>
              <w:suppressLineNumbers w:val="0"/>
              <w:bidi w:val="0"/>
              <w:spacing w:before="0" w:beforeAutospacing="0" w:after="0" w:afterAutospacing="0"/>
              <w:ind w:left="0" w:right="0"/>
              <w:rPr>
                <w:rFonts w:hint="default"/>
                <w:szCs w:val="22"/>
                <w:lang w:val="en-US" w:eastAsia="zh-CN"/>
              </w:rPr>
            </w:pPr>
            <w:r>
              <w:rPr>
                <w:rFonts w:hint="default"/>
                <w:szCs w:val="22"/>
                <w:lang w:val="en-US" w:eastAsia="zh-CN"/>
              </w:rPr>
              <w:t>0.04</w:t>
            </w:r>
          </w:p>
        </w:tc>
        <w:tc>
          <w:tcPr>
            <w:tcW w:w="1418" w:type="dxa"/>
            <w:noWrap w:val="0"/>
            <w:vAlign w:val="center"/>
          </w:tcPr>
          <w:p w14:paraId="4166CFC3">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0.02</w:t>
            </w:r>
          </w:p>
        </w:tc>
        <w:tc>
          <w:tcPr>
            <w:tcW w:w="1473" w:type="dxa"/>
            <w:noWrap w:val="0"/>
            <w:vAlign w:val="center"/>
          </w:tcPr>
          <w:p w14:paraId="02C1B9A0">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0.04</w:t>
            </w:r>
          </w:p>
        </w:tc>
        <w:tc>
          <w:tcPr>
            <w:tcW w:w="1009" w:type="dxa"/>
            <w:noWrap w:val="0"/>
            <w:vAlign w:val="center"/>
          </w:tcPr>
          <w:p w14:paraId="469C0639">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w:t>
            </w:r>
            <w:r>
              <w:rPr>
                <w:rFonts w:hint="default"/>
                <w:szCs w:val="22"/>
                <w:lang w:val="en-US" w:eastAsia="zh-CN"/>
              </w:rPr>
              <w:t>0.02</w:t>
            </w:r>
          </w:p>
        </w:tc>
      </w:tr>
      <w:tr w14:paraId="718277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42" w:type="dxa"/>
            <w:vMerge w:val="continue"/>
            <w:noWrap w:val="0"/>
            <w:vAlign w:val="center"/>
          </w:tcPr>
          <w:p w14:paraId="5EBAE156">
            <w:pPr>
              <w:pStyle w:val="38"/>
              <w:keepNext w:val="0"/>
              <w:keepLines w:val="0"/>
              <w:widowControl/>
              <w:suppressLineNumbers w:val="0"/>
              <w:bidi w:val="0"/>
              <w:spacing w:before="0" w:beforeAutospacing="0" w:after="0" w:afterAutospacing="0"/>
              <w:ind w:left="0" w:right="0"/>
              <w:rPr>
                <w:rFonts w:hint="default"/>
                <w:szCs w:val="22"/>
                <w:lang w:eastAsia="zh-CN"/>
              </w:rPr>
            </w:pPr>
          </w:p>
        </w:tc>
        <w:tc>
          <w:tcPr>
            <w:tcW w:w="2100" w:type="dxa"/>
            <w:tcBorders>
              <w:top w:val="single" w:color="000000" w:sz="4" w:space="0"/>
              <w:bottom w:val="single" w:color="000000" w:sz="4" w:space="0"/>
            </w:tcBorders>
            <w:noWrap w:val="0"/>
            <w:vAlign w:val="center"/>
          </w:tcPr>
          <w:p w14:paraId="29781C22">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val="en-US" w:eastAsia="zh-CN"/>
              </w:rPr>
              <w:t>废活性炭</w:t>
            </w:r>
          </w:p>
        </w:tc>
        <w:tc>
          <w:tcPr>
            <w:tcW w:w="1487" w:type="dxa"/>
            <w:noWrap w:val="0"/>
            <w:vAlign w:val="center"/>
          </w:tcPr>
          <w:p w14:paraId="7DED3F1F">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3.135</w:t>
            </w:r>
          </w:p>
        </w:tc>
        <w:tc>
          <w:tcPr>
            <w:tcW w:w="1595" w:type="dxa"/>
            <w:noWrap w:val="0"/>
            <w:vAlign w:val="center"/>
          </w:tcPr>
          <w:p w14:paraId="711671FA">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w:t>
            </w:r>
          </w:p>
        </w:tc>
        <w:tc>
          <w:tcPr>
            <w:tcW w:w="1527" w:type="dxa"/>
            <w:noWrap w:val="0"/>
            <w:vAlign w:val="center"/>
          </w:tcPr>
          <w:p w14:paraId="5C999C85">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0</w:t>
            </w:r>
          </w:p>
        </w:tc>
        <w:tc>
          <w:tcPr>
            <w:tcW w:w="1432" w:type="dxa"/>
            <w:noWrap w:val="0"/>
            <w:vAlign w:val="center"/>
          </w:tcPr>
          <w:p w14:paraId="699DA6E3">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4.95</w:t>
            </w:r>
          </w:p>
        </w:tc>
        <w:tc>
          <w:tcPr>
            <w:tcW w:w="1418" w:type="dxa"/>
            <w:noWrap w:val="0"/>
            <w:vAlign w:val="center"/>
          </w:tcPr>
          <w:p w14:paraId="139522BB">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3.135</w:t>
            </w:r>
          </w:p>
        </w:tc>
        <w:tc>
          <w:tcPr>
            <w:tcW w:w="1473" w:type="dxa"/>
            <w:noWrap w:val="0"/>
            <w:vAlign w:val="center"/>
          </w:tcPr>
          <w:p w14:paraId="2EF1D5F5">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4.95</w:t>
            </w:r>
          </w:p>
        </w:tc>
        <w:tc>
          <w:tcPr>
            <w:tcW w:w="1009" w:type="dxa"/>
            <w:noWrap w:val="0"/>
            <w:vAlign w:val="center"/>
          </w:tcPr>
          <w:p w14:paraId="3E3508CF">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w:t>
            </w:r>
            <w:r>
              <w:rPr>
                <w:rFonts w:hint="default"/>
                <w:szCs w:val="22"/>
                <w:lang w:val="en-US" w:eastAsia="zh-CN"/>
              </w:rPr>
              <w:t>1.815</w:t>
            </w:r>
          </w:p>
        </w:tc>
      </w:tr>
      <w:tr w14:paraId="4EABEA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742" w:type="dxa"/>
            <w:vMerge w:val="continue"/>
            <w:noWrap w:val="0"/>
            <w:vAlign w:val="center"/>
          </w:tcPr>
          <w:p w14:paraId="1F0B8E3E">
            <w:pPr>
              <w:pStyle w:val="38"/>
              <w:keepNext w:val="0"/>
              <w:keepLines w:val="0"/>
              <w:widowControl/>
              <w:suppressLineNumbers w:val="0"/>
              <w:bidi w:val="0"/>
              <w:spacing w:before="0" w:beforeAutospacing="0" w:after="0" w:afterAutospacing="0"/>
              <w:ind w:left="0" w:right="0"/>
              <w:rPr>
                <w:rFonts w:hint="default"/>
                <w:szCs w:val="22"/>
                <w:lang w:eastAsia="zh-CN"/>
              </w:rPr>
            </w:pPr>
          </w:p>
        </w:tc>
        <w:tc>
          <w:tcPr>
            <w:tcW w:w="2100" w:type="dxa"/>
            <w:tcBorders>
              <w:top w:val="single" w:color="000000" w:sz="4" w:space="0"/>
              <w:bottom w:val="single" w:color="000000" w:sz="4" w:space="0"/>
            </w:tcBorders>
            <w:noWrap w:val="0"/>
            <w:vAlign w:val="center"/>
          </w:tcPr>
          <w:p w14:paraId="2D68965D">
            <w:pPr>
              <w:pStyle w:val="38"/>
              <w:keepNext w:val="0"/>
              <w:keepLines w:val="0"/>
              <w:widowControl/>
              <w:suppressLineNumbers w:val="0"/>
              <w:bidi w:val="0"/>
              <w:spacing w:before="0" w:beforeAutospacing="0" w:after="0" w:afterAutospacing="0"/>
              <w:ind w:left="0" w:right="0"/>
              <w:rPr>
                <w:rFonts w:hint="eastAsia"/>
                <w:szCs w:val="22"/>
                <w:lang w:eastAsia="zh-CN"/>
              </w:rPr>
            </w:pPr>
            <w:r>
              <w:rPr>
                <w:rFonts w:hint="eastAsia"/>
                <w:szCs w:val="22"/>
                <w:lang w:val="en-US" w:eastAsia="zh-CN"/>
              </w:rPr>
              <w:t>废过滤棉</w:t>
            </w:r>
          </w:p>
        </w:tc>
        <w:tc>
          <w:tcPr>
            <w:tcW w:w="1487" w:type="dxa"/>
            <w:noWrap w:val="0"/>
            <w:vAlign w:val="center"/>
          </w:tcPr>
          <w:p w14:paraId="7ED0CCC3">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0.09</w:t>
            </w:r>
          </w:p>
        </w:tc>
        <w:tc>
          <w:tcPr>
            <w:tcW w:w="1595" w:type="dxa"/>
            <w:noWrap w:val="0"/>
            <w:vAlign w:val="center"/>
          </w:tcPr>
          <w:p w14:paraId="6FA82E9E">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w:t>
            </w:r>
          </w:p>
        </w:tc>
        <w:tc>
          <w:tcPr>
            <w:tcW w:w="1527" w:type="dxa"/>
            <w:noWrap w:val="0"/>
            <w:vAlign w:val="center"/>
          </w:tcPr>
          <w:p w14:paraId="15FFBD8A">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0</w:t>
            </w:r>
          </w:p>
        </w:tc>
        <w:tc>
          <w:tcPr>
            <w:tcW w:w="1432" w:type="dxa"/>
            <w:noWrap w:val="0"/>
            <w:vAlign w:val="center"/>
          </w:tcPr>
          <w:p w14:paraId="7CD70EA6">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0.2</w:t>
            </w:r>
          </w:p>
        </w:tc>
        <w:tc>
          <w:tcPr>
            <w:tcW w:w="1418" w:type="dxa"/>
            <w:noWrap w:val="0"/>
            <w:vAlign w:val="center"/>
          </w:tcPr>
          <w:p w14:paraId="1F069488">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0.09</w:t>
            </w:r>
          </w:p>
        </w:tc>
        <w:tc>
          <w:tcPr>
            <w:tcW w:w="1473" w:type="dxa"/>
            <w:noWrap w:val="0"/>
            <w:vAlign w:val="center"/>
          </w:tcPr>
          <w:p w14:paraId="6B7B76E8">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default"/>
                <w:szCs w:val="22"/>
                <w:lang w:val="en-US" w:eastAsia="zh-CN"/>
              </w:rPr>
              <w:t>0.2</w:t>
            </w:r>
          </w:p>
        </w:tc>
        <w:tc>
          <w:tcPr>
            <w:tcW w:w="1009" w:type="dxa"/>
            <w:noWrap w:val="0"/>
            <w:vAlign w:val="center"/>
          </w:tcPr>
          <w:p w14:paraId="6F1C4136">
            <w:pPr>
              <w:pStyle w:val="38"/>
              <w:keepNext w:val="0"/>
              <w:keepLines w:val="0"/>
              <w:widowControl/>
              <w:suppressLineNumbers w:val="0"/>
              <w:bidi w:val="0"/>
              <w:spacing w:before="0" w:beforeAutospacing="0" w:after="0" w:afterAutospacing="0"/>
              <w:ind w:left="0" w:right="0"/>
              <w:rPr>
                <w:rFonts w:hint="eastAsia"/>
                <w:szCs w:val="22"/>
                <w:lang w:val="en-US" w:eastAsia="zh-CN"/>
              </w:rPr>
            </w:pPr>
            <w:r>
              <w:rPr>
                <w:rFonts w:hint="eastAsia"/>
                <w:szCs w:val="22"/>
                <w:lang w:val="en-US" w:eastAsia="zh-CN"/>
              </w:rPr>
              <w:t>+</w:t>
            </w:r>
            <w:r>
              <w:rPr>
                <w:rFonts w:hint="default"/>
                <w:szCs w:val="22"/>
                <w:lang w:val="en-US" w:eastAsia="zh-CN"/>
              </w:rPr>
              <w:t>0.11</w:t>
            </w:r>
          </w:p>
        </w:tc>
      </w:tr>
    </w:tbl>
    <w:p w14:paraId="7F52EF94">
      <w:pPr>
        <w:pStyle w:val="38"/>
        <w:bidi w:val="0"/>
        <w:jc w:val="left"/>
      </w:pPr>
      <w:r>
        <w:rPr>
          <w:rFonts w:hint="default"/>
        </w:rPr>
        <w:t>注：</w:t>
      </w:r>
      <w:r>
        <w:rPr>
          <w:rFonts w:hint="default"/>
        </w:rPr>
        <w:fldChar w:fldCharType="begin"/>
      </w:r>
      <w:r>
        <w:rPr>
          <w:rFonts w:hint="default"/>
        </w:rPr>
        <w:instrText xml:space="preserve"> = 6 \* GB3 \* MERGEFORMAT </w:instrText>
      </w:r>
      <w:r>
        <w:rPr>
          <w:rFonts w:hint="default"/>
        </w:rPr>
        <w:fldChar w:fldCharType="separate"/>
      </w:r>
      <w:r>
        <w:rPr>
          <w:rFonts w:hint="default"/>
        </w:rPr>
        <w:t>⑥</w:t>
      </w:r>
      <w:r>
        <w:rPr>
          <w:rFonts w:hint="default"/>
        </w:rPr>
        <w:fldChar w:fldCharType="end"/>
      </w:r>
      <w:r>
        <w:rPr>
          <w:rFonts w:hint="default"/>
        </w:rPr>
        <w:t>=</w:t>
      </w:r>
      <w:r>
        <w:rPr>
          <w:rFonts w:hint="default"/>
        </w:rPr>
        <w:fldChar w:fldCharType="begin"/>
      </w:r>
      <w:r>
        <w:rPr>
          <w:rFonts w:hint="default"/>
        </w:rPr>
        <w:instrText xml:space="preserve"> = 1 \* GB3 \* MERGEFORMAT </w:instrText>
      </w:r>
      <w:r>
        <w:rPr>
          <w:rFonts w:hint="default"/>
        </w:rPr>
        <w:fldChar w:fldCharType="separate"/>
      </w:r>
      <w:r>
        <w:rPr>
          <w:rFonts w:hint="default"/>
        </w:rPr>
        <w:t>①</w:t>
      </w:r>
      <w:r>
        <w:rPr>
          <w:rFonts w:hint="default"/>
        </w:rPr>
        <w:fldChar w:fldCharType="end"/>
      </w:r>
      <w:r>
        <w:rPr>
          <w:rFonts w:hint="default"/>
        </w:rPr>
        <w:t>+</w:t>
      </w:r>
      <w:r>
        <w:rPr>
          <w:rFonts w:hint="default"/>
        </w:rPr>
        <w:fldChar w:fldCharType="begin"/>
      </w:r>
      <w:r>
        <w:rPr>
          <w:rFonts w:hint="default"/>
        </w:rPr>
        <w:instrText xml:space="preserve"> = 3 \* GB3 \* MERGEFORMAT </w:instrText>
      </w:r>
      <w:r>
        <w:rPr>
          <w:rFonts w:hint="default"/>
        </w:rPr>
        <w:fldChar w:fldCharType="separate"/>
      </w:r>
      <w:r>
        <w:rPr>
          <w:rFonts w:hint="default"/>
        </w:rPr>
        <w:t>③</w:t>
      </w:r>
      <w:r>
        <w:rPr>
          <w:rFonts w:hint="default"/>
        </w:rPr>
        <w:fldChar w:fldCharType="end"/>
      </w:r>
      <w:r>
        <w:rPr>
          <w:rFonts w:hint="default"/>
        </w:rPr>
        <w:t>+</w:t>
      </w:r>
      <w:r>
        <w:rPr>
          <w:rFonts w:hint="default"/>
        </w:rPr>
        <w:fldChar w:fldCharType="begin"/>
      </w:r>
      <w:r>
        <w:rPr>
          <w:rFonts w:hint="default"/>
        </w:rPr>
        <w:instrText xml:space="preserve"> = 4 \* GB3 \* MERGEFORMAT </w:instrText>
      </w:r>
      <w:r>
        <w:rPr>
          <w:rFonts w:hint="default"/>
        </w:rPr>
        <w:fldChar w:fldCharType="separate"/>
      </w:r>
      <w:r>
        <w:rPr>
          <w:rFonts w:hint="default"/>
        </w:rPr>
        <w:t>④</w:t>
      </w:r>
      <w:r>
        <w:rPr>
          <w:rFonts w:hint="default"/>
        </w:rPr>
        <w:fldChar w:fldCharType="end"/>
      </w:r>
      <w:r>
        <w:rPr>
          <w:rFonts w:hint="default"/>
        </w:rPr>
        <w:t>-</w:t>
      </w:r>
      <w:r>
        <w:rPr>
          <w:rFonts w:hint="default"/>
        </w:rPr>
        <w:fldChar w:fldCharType="begin"/>
      </w:r>
      <w:r>
        <w:rPr>
          <w:rFonts w:hint="default"/>
        </w:rPr>
        <w:instrText xml:space="preserve"> = 5 \* GB3 \* MERGEFORMAT </w:instrText>
      </w:r>
      <w:r>
        <w:rPr>
          <w:rFonts w:hint="default"/>
        </w:rPr>
        <w:fldChar w:fldCharType="separate"/>
      </w:r>
      <w:r>
        <w:rPr>
          <w:rFonts w:hint="default"/>
        </w:rPr>
        <w:t>⑤</w:t>
      </w:r>
      <w:r>
        <w:rPr>
          <w:rFonts w:hint="default"/>
        </w:rPr>
        <w:fldChar w:fldCharType="end"/>
      </w:r>
      <w:r>
        <w:rPr>
          <w:rFonts w:hint="default"/>
        </w:rPr>
        <w:t>；</w:t>
      </w:r>
      <w:r>
        <w:rPr>
          <w:rFonts w:hint="default"/>
        </w:rPr>
        <w:fldChar w:fldCharType="begin"/>
      </w:r>
      <w:r>
        <w:rPr>
          <w:rFonts w:hint="default"/>
        </w:rPr>
        <w:instrText xml:space="preserve"> = 7 \* GB3 \* MERGEFORMAT </w:instrText>
      </w:r>
      <w:r>
        <w:rPr>
          <w:rFonts w:hint="default"/>
        </w:rPr>
        <w:fldChar w:fldCharType="separate"/>
      </w:r>
      <w:r>
        <w:rPr>
          <w:rFonts w:hint="default"/>
        </w:rPr>
        <w:t>⑦</w:t>
      </w:r>
      <w:r>
        <w:rPr>
          <w:rFonts w:hint="default"/>
        </w:rPr>
        <w:fldChar w:fldCharType="end"/>
      </w:r>
      <w:r>
        <w:rPr>
          <w:rFonts w:hint="default"/>
        </w:rPr>
        <w:t>=</w:t>
      </w:r>
      <w:r>
        <w:rPr>
          <w:rFonts w:hint="default"/>
        </w:rPr>
        <w:fldChar w:fldCharType="begin"/>
      </w:r>
      <w:r>
        <w:rPr>
          <w:rFonts w:hint="default"/>
        </w:rPr>
        <w:instrText xml:space="preserve"> = 6 \* GB3 \* MERGEFORMAT </w:instrText>
      </w:r>
      <w:r>
        <w:rPr>
          <w:rFonts w:hint="default"/>
        </w:rPr>
        <w:fldChar w:fldCharType="separate"/>
      </w:r>
      <w:r>
        <w:rPr>
          <w:rFonts w:hint="default"/>
        </w:rPr>
        <w:t>⑥</w:t>
      </w:r>
      <w:r>
        <w:rPr>
          <w:rFonts w:hint="default"/>
        </w:rPr>
        <w:fldChar w:fldCharType="end"/>
      </w:r>
      <w:r>
        <w:rPr>
          <w:rFonts w:hint="default"/>
        </w:rPr>
        <w:t>-</w:t>
      </w:r>
      <w:r>
        <w:rPr>
          <w:rFonts w:hint="default"/>
        </w:rPr>
        <w:fldChar w:fldCharType="begin"/>
      </w:r>
      <w:r>
        <w:rPr>
          <w:rFonts w:hint="default"/>
        </w:rPr>
        <w:instrText xml:space="preserve"> = 1 \* GB3 \* MERGEFORMAT </w:instrText>
      </w:r>
      <w:r>
        <w:rPr>
          <w:rFonts w:hint="default"/>
        </w:rPr>
        <w:fldChar w:fldCharType="separate"/>
      </w:r>
      <w:r>
        <w:rPr>
          <w:rFonts w:hint="default"/>
        </w:rPr>
        <w:t>①</w:t>
      </w:r>
      <w:r>
        <w:rPr>
          <w:rFonts w:hint="default"/>
        </w:rPr>
        <w:fldChar w:fldCharType="end"/>
      </w:r>
    </w:p>
    <w:p w14:paraId="5D42A131">
      <w:pPr>
        <w:rPr>
          <w:color w:val="auto"/>
        </w:rPr>
        <w:sectPr>
          <w:footerReference r:id="rId7" w:type="default"/>
          <w:pgSz w:w="16838" w:h="11906" w:orient="landscape"/>
          <w:pgMar w:top="1418"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4D132940">
      <w:pPr>
        <w:pStyle w:val="37"/>
        <w:bidi w:val="0"/>
        <w:rPr>
          <w:rFonts w:hint="eastAsia"/>
          <w:lang w:eastAsia="zh-CN"/>
        </w:rPr>
      </w:pPr>
      <w:bookmarkStart w:id="65" w:name="_Ref22029"/>
      <w:bookmarkStart w:id="66" w:name="_Toc17864"/>
      <w:r>
        <w:t xml:space="preserve">附件 </w:t>
      </w:r>
      <w:r>
        <w:fldChar w:fldCharType="begin"/>
      </w:r>
      <w:r>
        <w:instrText xml:space="preserve"> SEQ 附件 \* ARABIC </w:instrText>
      </w:r>
      <w:r>
        <w:fldChar w:fldCharType="separate"/>
      </w:r>
      <w:r>
        <w:t>4</w:t>
      </w:r>
      <w:r>
        <w:fldChar w:fldCharType="end"/>
      </w:r>
      <w:bookmarkEnd w:id="65"/>
      <w:r>
        <w:rPr>
          <w:rFonts w:hint="eastAsia"/>
          <w:lang w:eastAsia="zh-CN"/>
        </w:rPr>
        <w:t>备案表</w:t>
      </w:r>
    </w:p>
    <w:p w14:paraId="6610C21A">
      <w:pPr>
        <w:pStyle w:val="15"/>
        <w:bidi w:val="0"/>
        <w:rPr>
          <w:rFonts w:hint="default" w:eastAsia="宋体"/>
          <w:color w:val="auto"/>
          <w:lang w:val="en-US" w:eastAsia="zh-CN"/>
        </w:rPr>
      </w:pPr>
      <w:r>
        <w:rPr>
          <w:rFonts w:hint="default"/>
          <w:lang w:val="en-US" w:eastAsia="zh-CN"/>
        </w:rPr>
        <w:drawing>
          <wp:inline distT="0" distB="0" distL="114300" distR="114300">
            <wp:extent cx="7073265" cy="5128260"/>
            <wp:effectExtent l="0" t="0" r="13335" b="15240"/>
            <wp:docPr id="81" name="图片 81" descr="72d281e07f07b1794c088f547c0b7f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72d281e07f07b1794c088f547c0b7f89"/>
                    <pic:cNvPicPr>
                      <a:picLocks noChangeAspect="1"/>
                    </pic:cNvPicPr>
                  </pic:nvPicPr>
                  <pic:blipFill>
                    <a:blip r:embed="rId59"/>
                    <a:stretch>
                      <a:fillRect/>
                    </a:stretch>
                  </pic:blipFill>
                  <pic:spPr>
                    <a:xfrm>
                      <a:off x="0" y="0"/>
                      <a:ext cx="7073265" cy="5128260"/>
                    </a:xfrm>
                    <a:prstGeom prst="rect">
                      <a:avLst/>
                    </a:prstGeom>
                  </pic:spPr>
                </pic:pic>
              </a:graphicData>
            </a:graphic>
          </wp:inline>
        </w:drawing>
      </w:r>
      <w:r>
        <w:rPr>
          <w:rFonts w:hint="default" w:eastAsia="宋体"/>
          <w:color w:val="auto"/>
          <w:lang w:val="en-US" w:eastAsia="zh-CN"/>
        </w:rPr>
        <w:br w:type="page"/>
      </w:r>
    </w:p>
    <w:bookmarkEnd w:id="66"/>
    <w:p w14:paraId="0275604C">
      <w:pPr>
        <w:rPr>
          <w:rFonts w:hint="eastAsia"/>
        </w:rPr>
        <w:sectPr>
          <w:headerReference r:id="rId8" w:type="default"/>
          <w:footerReference r:id="rId9" w:type="default"/>
          <w:pgSz w:w="16838" w:h="11906" w:orient="landscape"/>
          <w:pgMar w:top="1531" w:right="1418"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77FEFE7D">
      <w:pPr>
        <w:pStyle w:val="37"/>
        <w:bidi w:val="0"/>
        <w:rPr>
          <w:rFonts w:hint="eastAsia"/>
          <w:lang w:eastAsia="zh-CN"/>
        </w:rPr>
      </w:pPr>
      <w:bookmarkStart w:id="67" w:name="_Ref5002"/>
      <w:bookmarkStart w:id="68" w:name="_Ref7199"/>
      <w:r>
        <w:t xml:space="preserve">附件 </w:t>
      </w:r>
      <w:r>
        <w:fldChar w:fldCharType="begin"/>
      </w:r>
      <w:r>
        <w:instrText xml:space="preserve"> SEQ 附件 \* ARABIC </w:instrText>
      </w:r>
      <w:r>
        <w:fldChar w:fldCharType="separate"/>
      </w:r>
      <w:r>
        <w:t>6</w:t>
      </w:r>
      <w:r>
        <w:fldChar w:fldCharType="end"/>
      </w:r>
      <w:bookmarkEnd w:id="67"/>
      <w:r>
        <w:rPr>
          <w:rFonts w:hint="eastAsia"/>
          <w:lang w:val="en-US" w:eastAsia="zh-CN"/>
        </w:rPr>
        <w:t>产权证</w:t>
      </w:r>
      <w:bookmarkEnd w:id="68"/>
    </w:p>
    <w:p w14:paraId="6B592263">
      <w:pPr>
        <w:pStyle w:val="15"/>
        <w:bidi w:val="0"/>
        <w:rPr>
          <w:rFonts w:hint="eastAsia"/>
          <w:lang w:eastAsia="zh-CN"/>
        </w:rPr>
      </w:pPr>
      <w:r>
        <w:rPr>
          <w:rFonts w:hint="eastAsia"/>
          <w:lang w:eastAsia="zh-CN"/>
        </w:rPr>
        <w:drawing>
          <wp:inline distT="0" distB="0" distL="114300" distR="114300">
            <wp:extent cx="4848225" cy="8150860"/>
            <wp:effectExtent l="0" t="0" r="2540" b="9525"/>
            <wp:docPr id="65" name="图片 65" descr="f64b650dcf27a3e0eb112c639524b8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f64b650dcf27a3e0eb112c639524b87b"/>
                    <pic:cNvPicPr>
                      <a:picLocks noChangeAspect="1"/>
                    </pic:cNvPicPr>
                  </pic:nvPicPr>
                  <pic:blipFill>
                    <a:blip r:embed="rId60"/>
                    <a:srcRect l="13877" t="15190" r="9648" b="2909"/>
                    <a:stretch>
                      <a:fillRect/>
                    </a:stretch>
                  </pic:blipFill>
                  <pic:spPr>
                    <a:xfrm rot="5400000">
                      <a:off x="0" y="0"/>
                      <a:ext cx="4848225" cy="8150860"/>
                    </a:xfrm>
                    <a:prstGeom prst="rect">
                      <a:avLst/>
                    </a:prstGeom>
                  </pic:spPr>
                </pic:pic>
              </a:graphicData>
            </a:graphic>
          </wp:inline>
        </w:drawing>
      </w:r>
      <w:r>
        <w:rPr>
          <w:rFonts w:hint="eastAsia"/>
          <w:lang w:eastAsia="zh-CN"/>
        </w:rPr>
        <w:drawing>
          <wp:inline distT="0" distB="0" distL="114300" distR="114300">
            <wp:extent cx="5553710" cy="8267700"/>
            <wp:effectExtent l="0" t="0" r="0" b="8890"/>
            <wp:docPr id="71" name="图片 71" descr="3c8deb19bbff957fa5b8d1f307cb8b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3c8deb19bbff957fa5b8d1f307cb8b48"/>
                    <pic:cNvPicPr>
                      <a:picLocks noChangeAspect="1"/>
                    </pic:cNvPicPr>
                  </pic:nvPicPr>
                  <pic:blipFill>
                    <a:blip r:embed="rId61"/>
                    <a:stretch>
                      <a:fillRect/>
                    </a:stretch>
                  </pic:blipFill>
                  <pic:spPr>
                    <a:xfrm rot="16200000">
                      <a:off x="0" y="0"/>
                      <a:ext cx="5553710" cy="8267700"/>
                    </a:xfrm>
                    <a:prstGeom prst="rect">
                      <a:avLst/>
                    </a:prstGeom>
                  </pic:spPr>
                </pic:pic>
              </a:graphicData>
            </a:graphic>
          </wp:inline>
        </w:drawing>
      </w:r>
      <w:r>
        <mc:AlternateContent>
          <mc:Choice Requires="wps">
            <w:drawing>
              <wp:anchor distT="0" distB="0" distL="114300" distR="114300" simplePos="0" relativeHeight="251670528" behindDoc="0" locked="0" layoutInCell="1" allowOverlap="1">
                <wp:simplePos x="0" y="0"/>
                <wp:positionH relativeFrom="column">
                  <wp:posOffset>2111375</wp:posOffset>
                </wp:positionH>
                <wp:positionV relativeFrom="paragraph">
                  <wp:posOffset>635635</wp:posOffset>
                </wp:positionV>
                <wp:extent cx="1040765" cy="338455"/>
                <wp:effectExtent l="12700" t="12700" r="546735" b="1416685"/>
                <wp:wrapNone/>
                <wp:docPr id="6" name="矩形标注 6"/>
                <wp:cNvGraphicFramePr/>
                <a:graphic xmlns:a="http://schemas.openxmlformats.org/drawingml/2006/main">
                  <a:graphicData uri="http://schemas.microsoft.com/office/word/2010/wordprocessingShape">
                    <wps:wsp>
                      <wps:cNvSpPr/>
                      <wps:spPr>
                        <a:xfrm>
                          <a:off x="3538855" y="1506220"/>
                          <a:ext cx="1040765" cy="338455"/>
                        </a:xfrm>
                        <a:prstGeom prst="wedgeRectCallout">
                          <a:avLst>
                            <a:gd name="adj1" fmla="val 101201"/>
                            <a:gd name="adj2" fmla="val 462757"/>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CDDEEE0">
                            <w:pPr>
                              <w:ind w:left="0" w:leftChars="0" w:firstLine="0" w:firstLineChars="0"/>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66.25pt;margin-top:50.05pt;height:26.65pt;width:81.95pt;z-index:251670528;v-text-anchor:middle;mso-width-relative:page;mso-height-relative:page;" fillcolor="#FFFFFF [3212]" filled="t" stroked="t" coordsize="21600,21600" o:gfxdata="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UxNd22AAAAAsBAAAPAAAAAAAAAAEAIAAAACIAAABkcnMv&#10;ZG93bnJldi54bWxQSwECFAAUAAAACACHTuJAT35GBK4CAABZBQAADgAAAAAAAAABACAAAAAnAQAA&#10;ZHJzL2Uyb0RvYy54bWxQSwUGAAAAAAYABgBZAQAARwYAAAAA&#10;" adj="32659,110756">
                <v:fill on="t" focussize="0,0"/>
                <v:stroke weight="2pt" color="#FF0000 [2404]" joinstyle="round"/>
                <v:imagedata o:title=""/>
                <o:lock v:ext="edit" aspectratio="f"/>
                <v:textbox>
                  <w:txbxContent>
                    <w:p w14:paraId="0CDDEEE0">
                      <w:pPr>
                        <w:ind w:left="0" w:leftChars="0" w:firstLine="0" w:firstLineChars="0"/>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本项目位置</w:t>
                      </w:r>
                    </w:p>
                  </w:txbxContent>
                </v:textbox>
              </v:shape>
            </w:pict>
          </mc:Fallback>
        </mc:AlternateContent>
      </w:r>
      <w:r>
        <w:rPr>
          <w:rFonts w:hint="eastAsia"/>
          <w:lang w:eastAsia="zh-CN"/>
        </w:rPr>
        <w:drawing>
          <wp:inline distT="0" distB="0" distL="114300" distR="114300">
            <wp:extent cx="5125085" cy="5201920"/>
            <wp:effectExtent l="0" t="0" r="10795" b="10160"/>
            <wp:docPr id="73" name="图片 73" descr="dec8a190fc97a7fb36b4571f37aa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dec8a190fc97a7fb36b4571f37aa0979"/>
                    <pic:cNvPicPr>
                      <a:picLocks noChangeAspect="1"/>
                    </pic:cNvPicPr>
                  </pic:nvPicPr>
                  <pic:blipFill>
                    <a:blip r:embed="rId62"/>
                    <a:srcRect t="16037" b="15662"/>
                    <a:stretch>
                      <a:fillRect/>
                    </a:stretch>
                  </pic:blipFill>
                  <pic:spPr>
                    <a:xfrm>
                      <a:off x="0" y="0"/>
                      <a:ext cx="5125085" cy="5201920"/>
                    </a:xfrm>
                    <a:prstGeom prst="rect">
                      <a:avLst/>
                    </a:prstGeom>
                  </pic:spPr>
                </pic:pic>
              </a:graphicData>
            </a:graphic>
          </wp:inline>
        </w:drawing>
      </w:r>
      <w:r>
        <mc:AlternateContent>
          <mc:Choice Requires="wps">
            <w:drawing>
              <wp:anchor distT="0" distB="0" distL="114300" distR="114300" simplePos="0" relativeHeight="251669504" behindDoc="0" locked="0" layoutInCell="1" allowOverlap="1">
                <wp:simplePos x="0" y="0"/>
                <wp:positionH relativeFrom="column">
                  <wp:posOffset>3053715</wp:posOffset>
                </wp:positionH>
                <wp:positionV relativeFrom="paragraph">
                  <wp:posOffset>2092960</wp:posOffset>
                </wp:positionV>
                <wp:extent cx="1117600" cy="1068070"/>
                <wp:effectExtent l="245110" t="224155" r="256540" b="227965"/>
                <wp:wrapNone/>
                <wp:docPr id="5" name="矩形 5"/>
                <wp:cNvGraphicFramePr/>
                <a:graphic xmlns:a="http://schemas.openxmlformats.org/drawingml/2006/main">
                  <a:graphicData uri="http://schemas.microsoft.com/office/word/2010/wordprocessingShape">
                    <wps:wsp>
                      <wps:cNvSpPr/>
                      <wps:spPr>
                        <a:xfrm rot="18540000">
                          <a:off x="4123055" y="2420620"/>
                          <a:ext cx="1117600" cy="106807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0.45pt;margin-top:164.8pt;height:84.1pt;width:88pt;rotation:-3342336f;z-index:251669504;v-text-anchor:middle;mso-width-relative:page;mso-height-relative:page;" filled="f" stroked="t" coordsize="21600,21600" o:gfxdata="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ICgyRLWAAAACwEAAA8AAAAAAAAAAQAgAAAAIgAAAGRycy9kb3du&#10;cmV2LnhtbFBLAQIUABQAAAAIAIdO4kB88Q4XcwIAANAEAAAOAAAAAAAAAAEAIAAAACUBAABkcnMv&#10;ZTJvRG9jLnhtbFBLBQYAAAAABgAGAFkBAAAKBgAAAAA=&#10;">
                <v:fill on="f" focussize="0,0"/>
                <v:stroke weight="2pt" color="#FF0000 [2404]" joinstyle="round"/>
                <v:imagedata o:title=""/>
                <o:lock v:ext="edit" aspectratio="f"/>
              </v:rect>
            </w:pict>
          </mc:Fallback>
        </mc:AlternateContent>
      </w:r>
      <w:r>
        <w:rPr>
          <w:rFonts w:hint="eastAsia"/>
          <w:lang w:eastAsia="zh-CN"/>
        </w:rPr>
        <w:br w:type="page"/>
      </w:r>
    </w:p>
    <w:p w14:paraId="527C08DA">
      <w:pPr>
        <w:ind w:left="0" w:leftChars="0" w:firstLine="0" w:firstLineChars="0"/>
        <w:rPr>
          <w:rFonts w:hint="eastAsia"/>
          <w:color w:val="auto"/>
        </w:rPr>
        <w:sectPr>
          <w:pgSz w:w="16838" w:h="11906" w:orient="landscape"/>
          <w:pgMar w:top="1531" w:right="1418"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62304571">
      <w:pPr>
        <w:pStyle w:val="37"/>
        <w:bidi w:val="0"/>
        <w:rPr>
          <w:rFonts w:hint="eastAsia"/>
          <w:lang w:val="en-US" w:eastAsia="zh-CN"/>
        </w:rPr>
      </w:pPr>
      <w:bookmarkStart w:id="69" w:name="_Ref4970"/>
      <w:bookmarkStart w:id="70" w:name="_Toc9393"/>
      <w:bookmarkStart w:id="71" w:name="_Toc26433"/>
      <w:r>
        <w:t xml:space="preserve">附件 </w:t>
      </w:r>
      <w:r>
        <w:fldChar w:fldCharType="begin"/>
      </w:r>
      <w:r>
        <w:instrText xml:space="preserve"> SEQ 附件 \* ARABIC </w:instrText>
      </w:r>
      <w:r>
        <w:fldChar w:fldCharType="separate"/>
      </w:r>
      <w:r>
        <w:t>7</w:t>
      </w:r>
      <w:r>
        <w:fldChar w:fldCharType="end"/>
      </w:r>
      <w:bookmarkEnd w:id="69"/>
      <w:r>
        <w:rPr>
          <w:rFonts w:hint="eastAsia"/>
          <w:lang w:val="en-US" w:eastAsia="zh-CN"/>
        </w:rPr>
        <w:t xml:space="preserve"> 厂房租赁合同</w:t>
      </w:r>
    </w:p>
    <w:p w14:paraId="5FBA6FF8">
      <w:pPr>
        <w:pStyle w:val="15"/>
        <w:bidi w:val="0"/>
        <w:rPr>
          <w:rFonts w:hint="default"/>
        </w:rPr>
      </w:pPr>
      <w:r>
        <w:rPr>
          <w:rFonts w:hint="default"/>
        </w:rPr>
        <w:drawing>
          <wp:inline distT="0" distB="0" distL="114300" distR="114300">
            <wp:extent cx="5507990" cy="8331200"/>
            <wp:effectExtent l="0" t="0" r="16510" b="12700"/>
            <wp:docPr id="47" name="图片 47" descr="a6ef4a1e8ce33b36c7dd226669d5c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a6ef4a1e8ce33b36c7dd226669d5c570"/>
                    <pic:cNvPicPr>
                      <a:picLocks noChangeAspect="1"/>
                    </pic:cNvPicPr>
                  </pic:nvPicPr>
                  <pic:blipFill>
                    <a:blip r:embed="rId63"/>
                    <a:stretch>
                      <a:fillRect/>
                    </a:stretch>
                  </pic:blipFill>
                  <pic:spPr>
                    <a:xfrm>
                      <a:off x="0" y="0"/>
                      <a:ext cx="5507990" cy="8331200"/>
                    </a:xfrm>
                    <a:prstGeom prst="rect">
                      <a:avLst/>
                    </a:prstGeom>
                  </pic:spPr>
                </pic:pic>
              </a:graphicData>
            </a:graphic>
          </wp:inline>
        </w:drawing>
      </w:r>
      <w:r>
        <w:rPr>
          <w:rFonts w:hint="default"/>
        </w:rPr>
        <w:br w:type="page"/>
      </w:r>
    </w:p>
    <w:bookmarkEnd w:id="70"/>
    <w:bookmarkEnd w:id="71"/>
    <w:p w14:paraId="51CB8EC7">
      <w:pPr>
        <w:pStyle w:val="15"/>
        <w:bidi w:val="0"/>
        <w:rPr>
          <w:rFonts w:hint="eastAsia" w:eastAsia="宋体"/>
          <w:color w:val="auto"/>
          <w:lang w:eastAsia="zh-CN"/>
        </w:rPr>
        <w:sectPr>
          <w:pgSz w:w="11906" w:h="16838"/>
          <w:pgMar w:top="1440" w:right="1803" w:bottom="1440" w:left="1363" w:header="851" w:footer="992" w:gutter="0"/>
          <w:pgBorders>
            <w:top w:val="none" w:sz="0" w:space="0"/>
            <w:left w:val="none" w:sz="0" w:space="0"/>
            <w:bottom w:val="none" w:sz="0" w:space="0"/>
            <w:right w:val="none" w:sz="0" w:space="0"/>
          </w:pgBorders>
          <w:cols w:space="0" w:num="1"/>
          <w:docGrid w:type="lines" w:linePitch="319" w:charSpace="0"/>
        </w:sectPr>
      </w:pPr>
    </w:p>
    <w:p w14:paraId="18FF0F17">
      <w:pPr>
        <w:pStyle w:val="37"/>
        <w:bidi w:val="0"/>
        <w:rPr>
          <w:rFonts w:hint="default"/>
          <w:lang w:val="en-US" w:eastAsia="zh-CN"/>
        </w:rPr>
      </w:pPr>
      <w:r>
        <w:t xml:space="preserve">附件 </w:t>
      </w:r>
      <w:r>
        <w:fldChar w:fldCharType="begin"/>
      </w:r>
      <w:r>
        <w:instrText xml:space="preserve"> SEQ 附件 \* ARABIC </w:instrText>
      </w:r>
      <w:r>
        <w:fldChar w:fldCharType="separate"/>
      </w:r>
      <w:r>
        <w:t>21</w:t>
      </w:r>
      <w:r>
        <w:fldChar w:fldCharType="end"/>
      </w:r>
      <w:r>
        <w:rPr>
          <w:rFonts w:hint="eastAsia"/>
          <w:lang w:val="en-US" w:eastAsia="zh-CN"/>
        </w:rPr>
        <w:t xml:space="preserve"> </w:t>
      </w:r>
      <w:r>
        <w:rPr>
          <w:rFonts w:hint="eastAsia"/>
        </w:rPr>
        <w:t>关于公开建设项目环评文件等信息情况的说明</w:t>
      </w:r>
    </w:p>
    <w:p w14:paraId="79A8A95F">
      <w:pPr>
        <w:bidi w:val="0"/>
        <w:rPr>
          <w:rFonts w:hint="eastAsia" w:eastAsia="宋体"/>
          <w:b/>
          <w:bCs w:val="0"/>
          <w:iCs w:val="0"/>
          <w:lang w:eastAsia="zh-CN"/>
        </w:rPr>
      </w:pPr>
      <w:r>
        <w:rPr>
          <w:rFonts w:hint="eastAsia" w:eastAsia="宋体"/>
          <w:b/>
          <w:bCs w:val="0"/>
          <w:iCs w:val="0"/>
          <w:lang w:eastAsia="zh-CN"/>
        </w:rPr>
        <w:drawing>
          <wp:anchor distT="0" distB="0" distL="114300" distR="114300" simplePos="0" relativeHeight="251672576" behindDoc="0" locked="0" layoutInCell="1" allowOverlap="1">
            <wp:simplePos x="0" y="0"/>
            <wp:positionH relativeFrom="column">
              <wp:posOffset>-224790</wp:posOffset>
            </wp:positionH>
            <wp:positionV relativeFrom="paragraph">
              <wp:posOffset>21590</wp:posOffset>
            </wp:positionV>
            <wp:extent cx="5946140" cy="8435975"/>
            <wp:effectExtent l="0" t="0" r="16510" b="3175"/>
            <wp:wrapNone/>
            <wp:docPr id="131" name="图片 131" descr="45a1882d77dba4e82d131ae8dc6f2d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45a1882d77dba4e82d131ae8dc6f2dc5"/>
                    <pic:cNvPicPr>
                      <a:picLocks noChangeAspect="1"/>
                    </pic:cNvPicPr>
                  </pic:nvPicPr>
                  <pic:blipFill>
                    <a:blip r:embed="rId64"/>
                    <a:stretch>
                      <a:fillRect/>
                    </a:stretch>
                  </pic:blipFill>
                  <pic:spPr>
                    <a:xfrm>
                      <a:off x="0" y="0"/>
                      <a:ext cx="5946140" cy="8435975"/>
                    </a:xfrm>
                    <a:prstGeom prst="rect">
                      <a:avLst/>
                    </a:prstGeom>
                  </pic:spPr>
                </pic:pic>
              </a:graphicData>
            </a:graphic>
          </wp:anchor>
        </w:drawing>
      </w:r>
    </w:p>
    <w:p w14:paraId="0EDBDFAB">
      <w:pPr>
        <w:keepNext w:val="0"/>
        <w:keepLines w:val="0"/>
        <w:pageBreakBefore w:val="0"/>
        <w:widowControl w:val="0"/>
        <w:kinsoku/>
        <w:wordWrap/>
        <w:overflowPunct/>
        <w:topLinePunct w:val="0"/>
        <w:autoSpaceDE/>
        <w:autoSpaceDN/>
        <w:bidi w:val="0"/>
        <w:adjustRightInd w:val="0"/>
        <w:snapToGrid w:val="0"/>
        <w:spacing w:line="480" w:lineRule="auto"/>
        <w:ind w:firstLine="0" w:firstLineChars="0"/>
        <w:jc w:val="center"/>
        <w:textAlignment w:val="auto"/>
        <w:rPr>
          <w:rFonts w:hint="eastAsia"/>
          <w:b/>
          <w:bCs w:val="0"/>
          <w:iCs w:val="0"/>
          <w:sz w:val="32"/>
          <w:szCs w:val="32"/>
          <w:lang w:val="en-US" w:eastAsia="zh-CN"/>
        </w:rPr>
      </w:pPr>
      <w:r>
        <w:rPr>
          <w:rFonts w:hint="eastAsia"/>
          <w:b/>
          <w:bCs w:val="0"/>
          <w:iCs w:val="0"/>
          <w:sz w:val="32"/>
          <w:szCs w:val="32"/>
          <w:lang w:val="en-US" w:eastAsia="zh-CN"/>
        </w:rPr>
        <w:t>关于公开建设项目环评文件等信息情况的说明</w:t>
      </w:r>
    </w:p>
    <w:p w14:paraId="55141B5B">
      <w:pPr>
        <w:bidi w:val="0"/>
        <w:rPr>
          <w:b/>
          <w:bCs w:val="0"/>
          <w:iCs w:val="0"/>
        </w:rPr>
      </w:pPr>
    </w:p>
    <w:p w14:paraId="39840FC0">
      <w:pPr>
        <w:bidi w:val="0"/>
        <w:rPr>
          <w:rFonts w:hint="eastAsia"/>
          <w:sz w:val="28"/>
          <w:szCs w:val="28"/>
        </w:rPr>
      </w:pPr>
      <w:r>
        <w:rPr>
          <w:rFonts w:hint="eastAsia"/>
          <w:sz w:val="28"/>
          <w:szCs w:val="28"/>
          <w:lang w:eastAsia="zh-CN"/>
        </w:rPr>
        <w:t>福州市福清生态环境局</w:t>
      </w:r>
      <w:r>
        <w:rPr>
          <w:rFonts w:hint="eastAsia"/>
          <w:sz w:val="28"/>
          <w:szCs w:val="28"/>
        </w:rPr>
        <w:t>：</w:t>
      </w:r>
    </w:p>
    <w:p w14:paraId="49BF9469">
      <w:pPr>
        <w:bidi w:val="0"/>
        <w:rPr>
          <w:sz w:val="28"/>
          <w:szCs w:val="28"/>
        </w:rPr>
      </w:pPr>
      <w:r>
        <w:rPr>
          <w:sz w:val="28"/>
          <w:szCs w:val="28"/>
        </w:rPr>
        <w:t>我单位已按照《</w:t>
      </w:r>
      <w:r>
        <w:rPr>
          <w:rFonts w:hint="eastAsia"/>
          <w:sz w:val="28"/>
          <w:szCs w:val="28"/>
        </w:rPr>
        <w:t>中华人民共和国环境保护法</w:t>
      </w:r>
      <w:r>
        <w:rPr>
          <w:sz w:val="28"/>
          <w:szCs w:val="28"/>
        </w:rPr>
        <w:t>》《建设项目环境影响评价信息公开机制方案》</w:t>
      </w:r>
      <w:r>
        <w:rPr>
          <w:rFonts w:hint="eastAsia"/>
          <w:sz w:val="28"/>
          <w:szCs w:val="28"/>
        </w:rPr>
        <w:t>（</w:t>
      </w:r>
      <w:r>
        <w:rPr>
          <w:sz w:val="28"/>
          <w:szCs w:val="28"/>
        </w:rPr>
        <w:t>环发</w:t>
      </w:r>
      <w:r>
        <w:rPr>
          <w:rFonts w:hint="eastAsia"/>
          <w:sz w:val="28"/>
          <w:szCs w:val="28"/>
        </w:rPr>
        <w:t>〔2015〕162号）</w:t>
      </w:r>
      <w:r>
        <w:rPr>
          <w:sz w:val="28"/>
          <w:szCs w:val="28"/>
        </w:rPr>
        <w:t>等相关规定，通过福建环保网</w:t>
      </w:r>
      <w:r>
        <w:rPr>
          <w:rFonts w:hint="eastAsia"/>
          <w:sz w:val="28"/>
          <w:szCs w:val="28"/>
        </w:rPr>
        <w:t>（</w:t>
      </w:r>
      <w:r>
        <w:rPr>
          <w:sz w:val="28"/>
          <w:szCs w:val="28"/>
        </w:rPr>
        <w:t>链接</w:t>
      </w:r>
      <w:r>
        <w:rPr>
          <w:rFonts w:hint="eastAsia"/>
          <w:sz w:val="28"/>
          <w:szCs w:val="28"/>
        </w:rPr>
        <w:t>：https://www.fjhb.org/huanping/quanben/44832.html）</w:t>
      </w:r>
      <w:r>
        <w:rPr>
          <w:sz w:val="28"/>
          <w:szCs w:val="28"/>
        </w:rPr>
        <w:t>公开建设项目环评文件等信息</w:t>
      </w:r>
      <w:r>
        <w:rPr>
          <w:rFonts w:hint="eastAsia"/>
          <w:sz w:val="28"/>
          <w:szCs w:val="28"/>
        </w:rPr>
        <w:t>（</w:t>
      </w:r>
      <w:r>
        <w:rPr>
          <w:sz w:val="28"/>
          <w:szCs w:val="28"/>
        </w:rPr>
        <w:t>具体见下图</w:t>
      </w:r>
      <w:r>
        <w:rPr>
          <w:rFonts w:hint="eastAsia"/>
          <w:sz w:val="28"/>
          <w:szCs w:val="28"/>
        </w:rPr>
        <w:t>）。</w:t>
      </w:r>
    </w:p>
    <w:p w14:paraId="1D716903">
      <w:pPr>
        <w:pStyle w:val="15"/>
        <w:bidi w:val="0"/>
      </w:pPr>
      <w:r>
        <w:drawing>
          <wp:inline distT="0" distB="0" distL="114300" distR="114300">
            <wp:extent cx="5605780" cy="4329430"/>
            <wp:effectExtent l="0" t="0" r="13970" b="13970"/>
            <wp:docPr id="1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1"/>
                    <pic:cNvPicPr>
                      <a:picLocks noChangeAspect="1"/>
                    </pic:cNvPicPr>
                  </pic:nvPicPr>
                  <pic:blipFill>
                    <a:blip r:embed="rId65"/>
                    <a:stretch>
                      <a:fillRect/>
                    </a:stretch>
                  </pic:blipFill>
                  <pic:spPr>
                    <a:xfrm>
                      <a:off x="0" y="0"/>
                      <a:ext cx="5605780" cy="4329430"/>
                    </a:xfrm>
                    <a:prstGeom prst="rect">
                      <a:avLst/>
                    </a:prstGeom>
                    <a:noFill/>
                    <a:ln>
                      <a:noFill/>
                    </a:ln>
                  </pic:spPr>
                </pic:pic>
              </a:graphicData>
            </a:graphic>
          </wp:inline>
        </w:drawing>
      </w:r>
    </w:p>
    <w:p w14:paraId="15966E38">
      <w:pPr>
        <w:pStyle w:val="15"/>
        <w:bidi w:val="0"/>
      </w:pPr>
    </w:p>
    <w:p w14:paraId="267B60CE">
      <w:pPr>
        <w:bidi w:val="0"/>
        <w:jc w:val="right"/>
        <w:rPr>
          <w:rFonts w:hint="eastAsia"/>
          <w:sz w:val="28"/>
          <w:szCs w:val="28"/>
          <w:lang w:eastAsia="zh-CN"/>
        </w:rPr>
      </w:pPr>
      <w:r>
        <w:rPr>
          <w:rFonts w:hint="eastAsia"/>
          <w:sz w:val="28"/>
          <w:szCs w:val="28"/>
          <w:lang w:eastAsia="zh-CN"/>
        </w:rPr>
        <w:t>福清市三合电子科技有限公司</w:t>
      </w:r>
    </w:p>
    <w:p w14:paraId="3FA94CD7">
      <w:pPr>
        <w:jc w:val="right"/>
        <w:rPr>
          <w:rFonts w:hint="default" w:ascii="Times New Roman" w:hAnsi="Times New Roman" w:eastAsia="宋体" w:cs="Times New Roman"/>
          <w:b/>
          <w:bCs/>
          <w:color w:val="auto"/>
          <w:kern w:val="2"/>
          <w:szCs w:val="32"/>
          <w:lang w:val="en-US" w:eastAsia="zh-CN" w:bidi="ar-SA"/>
        </w:rPr>
      </w:pPr>
      <w:r>
        <w:rPr>
          <w:rFonts w:hint="eastAsia"/>
          <w:sz w:val="28"/>
          <w:szCs w:val="28"/>
        </w:rPr>
        <w:t>202</w:t>
      </w:r>
      <w:r>
        <w:rPr>
          <w:rFonts w:hint="eastAsia"/>
          <w:sz w:val="28"/>
          <w:szCs w:val="28"/>
          <w:lang w:val="en-US" w:eastAsia="zh-CN"/>
        </w:rPr>
        <w:t>6</w:t>
      </w:r>
      <w:r>
        <w:rPr>
          <w:rFonts w:hint="eastAsia"/>
          <w:sz w:val="28"/>
          <w:szCs w:val="28"/>
        </w:rPr>
        <w:t>年</w:t>
      </w:r>
      <w:r>
        <w:rPr>
          <w:rFonts w:hint="eastAsia"/>
          <w:sz w:val="28"/>
          <w:szCs w:val="28"/>
          <w:lang w:val="en-US" w:eastAsia="zh-CN"/>
        </w:rPr>
        <w:t>1</w:t>
      </w:r>
      <w:r>
        <w:rPr>
          <w:rFonts w:hint="eastAsia"/>
          <w:sz w:val="28"/>
          <w:szCs w:val="28"/>
        </w:rPr>
        <w:t>月</w:t>
      </w:r>
      <w:r>
        <w:rPr>
          <w:rFonts w:hint="eastAsia"/>
          <w:sz w:val="28"/>
          <w:szCs w:val="28"/>
          <w:lang w:val="en-US" w:eastAsia="zh-CN"/>
        </w:rPr>
        <w:t>20</w:t>
      </w:r>
      <w:r>
        <w:rPr>
          <w:rFonts w:hint="eastAsia"/>
          <w:sz w:val="28"/>
          <w:szCs w:val="28"/>
        </w:rPr>
        <w:t>日</w:t>
      </w:r>
      <w:r>
        <w:rPr>
          <w:rFonts w:hint="default" w:ascii="Times New Roman" w:hAnsi="Times New Roman" w:eastAsia="宋体" w:cs="Times New Roman"/>
          <w:b/>
          <w:bCs/>
          <w:color w:val="auto"/>
          <w:kern w:val="2"/>
          <w:szCs w:val="32"/>
          <w:lang w:val="en-US" w:eastAsia="zh-CN" w:bidi="ar-SA"/>
        </w:rPr>
        <w:br w:type="page"/>
      </w:r>
    </w:p>
    <w:p w14:paraId="35A87772">
      <w:pPr>
        <w:pStyle w:val="37"/>
        <w:bidi w:val="0"/>
        <w:rPr>
          <w:rFonts w:hint="default"/>
          <w:lang w:val="en-US" w:eastAsia="zh-CN"/>
        </w:rPr>
      </w:pPr>
      <w:r>
        <w:drawing>
          <wp:anchor distT="0" distB="0" distL="114300" distR="114300" simplePos="0" relativeHeight="251675648" behindDoc="0" locked="0" layoutInCell="1" allowOverlap="1">
            <wp:simplePos x="0" y="0"/>
            <wp:positionH relativeFrom="column">
              <wp:posOffset>-436245</wp:posOffset>
            </wp:positionH>
            <wp:positionV relativeFrom="paragraph">
              <wp:posOffset>274320</wp:posOffset>
            </wp:positionV>
            <wp:extent cx="6353175" cy="8225790"/>
            <wp:effectExtent l="0" t="0" r="9525" b="3810"/>
            <wp:wrapNone/>
            <wp:docPr id="1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
                    <pic:cNvPicPr>
                      <a:picLocks noChangeAspect="1"/>
                    </pic:cNvPicPr>
                  </pic:nvPicPr>
                  <pic:blipFill>
                    <a:blip r:embed="rId66"/>
                    <a:stretch>
                      <a:fillRect/>
                    </a:stretch>
                  </pic:blipFill>
                  <pic:spPr>
                    <a:xfrm>
                      <a:off x="0" y="0"/>
                      <a:ext cx="6353175" cy="8225790"/>
                    </a:xfrm>
                    <a:prstGeom prst="rect">
                      <a:avLst/>
                    </a:prstGeom>
                    <a:noFill/>
                    <a:ln>
                      <a:noFill/>
                    </a:ln>
                  </pic:spPr>
                </pic:pic>
              </a:graphicData>
            </a:graphic>
          </wp:anchor>
        </w:drawing>
      </w:r>
      <w:r>
        <w:t xml:space="preserve">附件 </w:t>
      </w:r>
      <w:r>
        <w:fldChar w:fldCharType="begin"/>
      </w:r>
      <w:r>
        <w:instrText xml:space="preserve"> SEQ 附件 \* ARABIC </w:instrText>
      </w:r>
      <w:r>
        <w:fldChar w:fldCharType="separate"/>
      </w:r>
      <w:r>
        <w:t>22</w:t>
      </w:r>
      <w:r>
        <w:fldChar w:fldCharType="end"/>
      </w:r>
      <w:r>
        <w:rPr>
          <w:rFonts w:hint="default"/>
          <w:lang w:val="en-US" w:eastAsia="zh-CN"/>
        </w:rPr>
        <w:t>关于环评文件公开文本删除的涉及国家秘密、商业秘密等内容的说明</w:t>
      </w:r>
    </w:p>
    <w:p w14:paraId="7B2665D2">
      <w:pPr>
        <w:bidi w:val="0"/>
        <w:rPr>
          <w:b/>
          <w:bCs w:val="0"/>
          <w:iCs w:val="0"/>
        </w:rPr>
      </w:pPr>
    </w:p>
    <w:p w14:paraId="5F8AC372">
      <w:pPr>
        <w:keepNext w:val="0"/>
        <w:keepLines w:val="0"/>
        <w:pageBreakBefore w:val="0"/>
        <w:widowControl w:val="0"/>
        <w:kinsoku/>
        <w:wordWrap/>
        <w:overflowPunct/>
        <w:topLinePunct w:val="0"/>
        <w:autoSpaceDE/>
        <w:autoSpaceDN/>
        <w:bidi w:val="0"/>
        <w:adjustRightInd w:val="0"/>
        <w:snapToGrid w:val="0"/>
        <w:spacing w:line="480" w:lineRule="auto"/>
        <w:ind w:firstLine="0" w:firstLineChars="0"/>
        <w:jc w:val="center"/>
        <w:textAlignment w:val="auto"/>
        <w:rPr>
          <w:rFonts w:hint="eastAsia"/>
          <w:b/>
          <w:bCs w:val="0"/>
          <w:iCs w:val="0"/>
          <w:sz w:val="32"/>
          <w:szCs w:val="32"/>
          <w:lang w:val="en-US" w:eastAsia="zh-CN"/>
        </w:rPr>
      </w:pPr>
      <w:r>
        <w:rPr>
          <w:rFonts w:hint="eastAsia"/>
          <w:b/>
          <w:bCs w:val="0"/>
          <w:iCs w:val="0"/>
          <w:sz w:val="32"/>
          <w:szCs w:val="32"/>
          <w:lang w:val="en-US" w:eastAsia="zh-CN"/>
        </w:rPr>
        <w:t>关于环评文件公开文本删除的涉及国家秘密、商业秘密等内容的删除依据和理由说明</w:t>
      </w:r>
    </w:p>
    <w:p w14:paraId="3E09178A">
      <w:pPr>
        <w:bidi w:val="0"/>
        <w:spacing w:line="480" w:lineRule="auto"/>
        <w:rPr>
          <w:rFonts w:hint="eastAsia"/>
          <w:b w:val="0"/>
          <w:bCs/>
          <w:iCs w:val="0"/>
          <w:sz w:val="28"/>
          <w:szCs w:val="28"/>
          <w:lang w:val="en-US" w:eastAsia="zh-CN"/>
        </w:rPr>
      </w:pPr>
      <w:r>
        <w:rPr>
          <w:rFonts w:hint="eastAsia"/>
          <w:b w:val="0"/>
          <w:bCs/>
          <w:iCs w:val="0"/>
          <w:sz w:val="28"/>
          <w:szCs w:val="28"/>
          <w:lang w:val="en-US" w:eastAsia="zh-CN"/>
        </w:rPr>
        <w:t>福州市福清生态环境局：</w:t>
      </w:r>
    </w:p>
    <w:p w14:paraId="047CD7A8">
      <w:pPr>
        <w:bidi w:val="0"/>
        <w:spacing w:line="480" w:lineRule="auto"/>
        <w:rPr>
          <w:rFonts w:hint="eastAsia"/>
          <w:b w:val="0"/>
          <w:bCs/>
          <w:iCs w:val="0"/>
          <w:sz w:val="28"/>
          <w:szCs w:val="28"/>
          <w:lang w:val="en-US" w:eastAsia="zh-CN"/>
        </w:rPr>
      </w:pPr>
      <w:r>
        <w:rPr>
          <w:rFonts w:hint="eastAsia"/>
          <w:b w:val="0"/>
          <w:bCs/>
          <w:iCs w:val="0"/>
          <w:sz w:val="28"/>
          <w:szCs w:val="28"/>
          <w:lang w:val="en-US" w:eastAsia="zh-CN"/>
        </w:rPr>
        <w:t>我司福清市三合电子科技有限公司年新增塑胶件25万套、钣金件5万套项目已完成环境影响评价报告表编制，现报送贵局审批。我司已删除涉及国家秘密、商业秘密、个人隐私等内容（具体删除内容、删除依据详见附件）。报送贵局的环境影响评价报告表公开文本已经我司审核，我司同意对《福清市三合电子科技有限公司年新增塑胶件25万套、钣金件5万套项目环境影响评价报告表》公开文本全文进行公示，特此声明。</w:t>
      </w:r>
    </w:p>
    <w:p w14:paraId="6011960B">
      <w:pPr>
        <w:bidi w:val="0"/>
        <w:spacing w:line="480" w:lineRule="auto"/>
        <w:rPr>
          <w:rFonts w:hint="eastAsia"/>
          <w:b w:val="0"/>
          <w:bCs/>
          <w:iCs w:val="0"/>
          <w:sz w:val="28"/>
          <w:szCs w:val="28"/>
          <w:lang w:val="en-US" w:eastAsia="zh-CN"/>
        </w:rPr>
      </w:pPr>
      <w:r>
        <w:rPr>
          <w:rFonts w:hint="eastAsia"/>
          <w:b w:val="0"/>
          <w:bCs/>
          <w:iCs w:val="0"/>
          <w:sz w:val="28"/>
          <w:szCs w:val="28"/>
          <w:lang w:val="en-US" w:eastAsia="zh-CN"/>
        </w:rPr>
        <w:t>附件：关于福清市三合电子科技有限公司年新增塑胶件25万套、钣金件5万套项目的环境影响评价报告表公开文本删除内容、删除依据的说明</w:t>
      </w:r>
    </w:p>
    <w:p w14:paraId="1BEF9C30">
      <w:pPr>
        <w:bidi w:val="0"/>
      </w:pPr>
    </w:p>
    <w:p w14:paraId="34D75FC5">
      <w:pPr>
        <w:tabs>
          <w:tab w:val="left" w:pos="5920"/>
        </w:tabs>
        <w:spacing w:line="480" w:lineRule="auto"/>
        <w:jc w:val="right"/>
        <w:rPr>
          <w:b/>
          <w:bCs w:val="0"/>
          <w:iCs w:val="0"/>
          <w:color w:val="auto"/>
        </w:rPr>
      </w:pPr>
      <w:r>
        <w:rPr>
          <w:rFonts w:hint="eastAsia"/>
          <w:b/>
          <w:bCs w:val="0"/>
          <w:iCs w:val="0"/>
          <w:color w:val="auto"/>
        </w:rPr>
        <w:t>单位盖章</w:t>
      </w:r>
    </w:p>
    <w:p w14:paraId="4025FDA1">
      <w:pPr>
        <w:tabs>
          <w:tab w:val="left" w:pos="5920"/>
        </w:tabs>
        <w:spacing w:line="480" w:lineRule="auto"/>
        <w:jc w:val="right"/>
        <w:rPr>
          <w:b/>
          <w:bCs w:val="0"/>
          <w:iCs w:val="0"/>
          <w:color w:val="auto"/>
        </w:rPr>
      </w:pPr>
      <w:r>
        <w:rPr>
          <w:rFonts w:hint="eastAsia"/>
          <w:b/>
          <w:bCs w:val="0"/>
          <w:iCs w:val="0"/>
          <w:color w:val="auto"/>
        </w:rPr>
        <w:t>20</w:t>
      </w:r>
      <w:r>
        <w:rPr>
          <w:rFonts w:hint="eastAsia"/>
          <w:b/>
          <w:bCs w:val="0"/>
          <w:iCs w:val="0"/>
          <w:color w:val="auto"/>
          <w:lang w:val="en-US" w:eastAsia="zh-CN"/>
        </w:rPr>
        <w:t>26</w:t>
      </w:r>
      <w:r>
        <w:rPr>
          <w:rFonts w:hint="eastAsia"/>
          <w:b/>
          <w:bCs w:val="0"/>
          <w:iCs w:val="0"/>
          <w:color w:val="auto"/>
        </w:rPr>
        <w:t>年</w:t>
      </w:r>
      <w:r>
        <w:rPr>
          <w:rFonts w:hint="eastAsia"/>
          <w:b/>
          <w:bCs w:val="0"/>
          <w:iCs w:val="0"/>
          <w:color w:val="auto"/>
          <w:lang w:val="en-US" w:eastAsia="zh-CN"/>
        </w:rPr>
        <w:t>1</w:t>
      </w:r>
      <w:r>
        <w:rPr>
          <w:rFonts w:hint="eastAsia"/>
          <w:b/>
          <w:bCs w:val="0"/>
          <w:iCs w:val="0"/>
          <w:color w:val="auto"/>
        </w:rPr>
        <w:t>月</w:t>
      </w:r>
      <w:r>
        <w:rPr>
          <w:rFonts w:hint="eastAsia"/>
          <w:b/>
          <w:bCs w:val="0"/>
          <w:iCs w:val="0"/>
          <w:color w:val="auto"/>
          <w:lang w:val="en-US" w:eastAsia="zh-CN"/>
        </w:rPr>
        <w:t>9</w:t>
      </w:r>
      <w:r>
        <w:rPr>
          <w:rFonts w:hint="eastAsia"/>
          <w:b/>
          <w:bCs w:val="0"/>
          <w:iCs w:val="0"/>
          <w:color w:val="auto"/>
        </w:rPr>
        <w:t>日</w:t>
      </w:r>
    </w:p>
    <w:p w14:paraId="09D4E9B5">
      <w:pPr>
        <w:rPr>
          <w:rFonts w:hint="default" w:ascii="Times New Roman" w:hAnsi="Times New Roman" w:eastAsia="宋体" w:cs="Times New Roman"/>
          <w:b/>
          <w:bCs/>
          <w:color w:val="auto"/>
          <w:kern w:val="2"/>
          <w:sz w:val="32"/>
          <w:szCs w:val="32"/>
          <w:lang w:val="en-US" w:eastAsia="zh-CN" w:bidi="ar-SA"/>
        </w:rPr>
      </w:pPr>
      <w:r>
        <w:rPr>
          <w:rFonts w:hint="default" w:ascii="Times New Roman" w:hAnsi="Times New Roman" w:eastAsia="宋体" w:cs="Times New Roman"/>
          <w:b/>
          <w:bCs/>
          <w:color w:val="auto"/>
          <w:kern w:val="2"/>
          <w:sz w:val="32"/>
          <w:szCs w:val="32"/>
          <w:lang w:val="en-US" w:eastAsia="zh-CN" w:bidi="ar-SA"/>
        </w:rPr>
        <w:br w:type="page"/>
      </w:r>
    </w:p>
    <w:p w14:paraId="23290F26">
      <w:pPr>
        <w:pStyle w:val="37"/>
        <w:bidi w:val="0"/>
        <w:rPr>
          <w:rFonts w:hint="eastAsia"/>
          <w:lang w:val="en-US" w:eastAsia="zh-CN"/>
        </w:rPr>
      </w:pPr>
      <w:bookmarkStart w:id="72" w:name="_Toc2427"/>
      <w:r>
        <w:rPr>
          <w:rFonts w:hint="eastAsia" w:ascii="Times New Roman" w:hAnsi="Times New Roman" w:eastAsia="宋体" w:cs="Times New Roman"/>
          <w:b/>
          <w:bCs/>
          <w:color w:val="000000"/>
          <w:sz w:val="32"/>
          <w:szCs w:val="32"/>
        </w:rPr>
        <w:drawing>
          <wp:anchor distT="0" distB="0" distL="114300" distR="114300" simplePos="0" relativeHeight="251673600" behindDoc="0" locked="0" layoutInCell="1" allowOverlap="1">
            <wp:simplePos x="0" y="0"/>
            <wp:positionH relativeFrom="column">
              <wp:posOffset>-85090</wp:posOffset>
            </wp:positionH>
            <wp:positionV relativeFrom="paragraph">
              <wp:posOffset>539115</wp:posOffset>
            </wp:positionV>
            <wp:extent cx="5873115" cy="8300085"/>
            <wp:effectExtent l="0" t="0" r="13335" b="5715"/>
            <wp:wrapNone/>
            <wp:docPr id="150" name="图片 150" descr="76a5a401f1461bf93e12e119885b26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76a5a401f1461bf93e12e119885b26d7"/>
                    <pic:cNvPicPr>
                      <a:picLocks noChangeAspect="1"/>
                    </pic:cNvPicPr>
                  </pic:nvPicPr>
                  <pic:blipFill>
                    <a:blip r:embed="rId67"/>
                    <a:stretch>
                      <a:fillRect/>
                    </a:stretch>
                  </pic:blipFill>
                  <pic:spPr>
                    <a:xfrm>
                      <a:off x="0" y="0"/>
                      <a:ext cx="5873115" cy="8300085"/>
                    </a:xfrm>
                    <a:prstGeom prst="rect">
                      <a:avLst/>
                    </a:prstGeom>
                  </pic:spPr>
                </pic:pic>
              </a:graphicData>
            </a:graphic>
          </wp:anchor>
        </w:drawing>
      </w:r>
      <w:r>
        <w:t xml:space="preserve">附件 </w:t>
      </w:r>
      <w:r>
        <w:fldChar w:fldCharType="begin"/>
      </w:r>
      <w:r>
        <w:instrText xml:space="preserve"> SEQ 附件 \* ARABIC </w:instrText>
      </w:r>
      <w:r>
        <w:fldChar w:fldCharType="separate"/>
      </w:r>
      <w:r>
        <w:t>23</w:t>
      </w:r>
      <w:r>
        <w:fldChar w:fldCharType="end"/>
      </w:r>
      <w:r>
        <w:rPr>
          <w:rFonts w:hint="eastAsia"/>
          <w:lang w:val="en-US" w:eastAsia="zh-CN"/>
        </w:rPr>
        <w:t xml:space="preserve"> 关于福清市三合电子科技有限公司年新增塑胶件25万套、钣金件5万套项目的环境影响评价报告表公开文本删除内容、删除依据的说明</w:t>
      </w:r>
      <w:bookmarkEnd w:id="72"/>
    </w:p>
    <w:p w14:paraId="73E499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b/>
          <w:bCs/>
          <w:color w:val="000000"/>
          <w:sz w:val="32"/>
          <w:szCs w:val="32"/>
        </w:rPr>
      </w:pPr>
      <w:r>
        <w:rPr>
          <w:rFonts w:hint="eastAsia" w:ascii="Times New Roman" w:hAnsi="Times New Roman" w:eastAsia="宋体" w:cs="Times New Roman"/>
          <w:b/>
          <w:bCs/>
          <w:color w:val="000000"/>
          <w:sz w:val="32"/>
          <w:szCs w:val="32"/>
        </w:rPr>
        <w:t>关于</w:t>
      </w:r>
      <w:r>
        <w:rPr>
          <w:rFonts w:hint="eastAsia" w:cs="Times New Roman"/>
          <w:b/>
          <w:bCs/>
          <w:color w:val="000000"/>
          <w:sz w:val="32"/>
          <w:szCs w:val="32"/>
          <w:lang w:eastAsia="zh-CN"/>
        </w:rPr>
        <w:t>福清市三合电子科技有限公司年新增塑胶件25万套、钣金件5万套项目</w:t>
      </w:r>
      <w:r>
        <w:rPr>
          <w:rFonts w:hint="eastAsia" w:ascii="Times New Roman" w:hAnsi="Times New Roman" w:eastAsia="宋体" w:cs="Times New Roman"/>
          <w:b/>
          <w:bCs/>
          <w:color w:val="000000"/>
          <w:sz w:val="32"/>
          <w:szCs w:val="32"/>
        </w:rPr>
        <w:t>的环境影响评价报告表公开文本删除内容、删除依据的说明</w:t>
      </w:r>
    </w:p>
    <w:p w14:paraId="31CCA625">
      <w:pPr>
        <w:tabs>
          <w:tab w:val="left" w:pos="5920"/>
        </w:tabs>
        <w:spacing w:line="480" w:lineRule="auto"/>
        <w:ind w:firstLine="482" w:firstLineChars="200"/>
        <w:rPr>
          <w:b/>
          <w:bCs w:val="0"/>
          <w:iCs w:val="0"/>
          <w:color w:val="auto"/>
        </w:rPr>
      </w:pPr>
    </w:p>
    <w:p w14:paraId="78E96178">
      <w:pPr>
        <w:tabs>
          <w:tab w:val="left" w:pos="5920"/>
        </w:tabs>
        <w:spacing w:line="480" w:lineRule="auto"/>
        <w:ind w:firstLine="560" w:firstLineChars="200"/>
        <w:rPr>
          <w:b w:val="0"/>
          <w:bCs/>
          <w:iCs w:val="0"/>
          <w:color w:val="auto"/>
          <w:sz w:val="28"/>
          <w:szCs w:val="28"/>
        </w:rPr>
      </w:pPr>
      <w:r>
        <w:rPr>
          <w:rFonts w:hint="eastAsia"/>
          <w:b w:val="0"/>
          <w:bCs/>
          <w:iCs w:val="0"/>
          <w:color w:val="auto"/>
          <w:sz w:val="28"/>
          <w:szCs w:val="28"/>
        </w:rPr>
        <w:t>我司</w:t>
      </w:r>
      <w:r>
        <w:rPr>
          <w:rFonts w:hint="eastAsia"/>
          <w:b w:val="0"/>
          <w:bCs/>
          <w:iCs w:val="0"/>
          <w:color w:val="auto"/>
          <w:sz w:val="28"/>
          <w:szCs w:val="28"/>
          <w:lang w:eastAsia="zh-CN"/>
        </w:rPr>
        <w:t>福清市三合电子科技有限公司年新增塑胶件25万套、钣金件5万套项目</w:t>
      </w:r>
      <w:r>
        <w:rPr>
          <w:rFonts w:hint="eastAsia"/>
          <w:b w:val="0"/>
          <w:bCs/>
          <w:iCs w:val="0"/>
          <w:color w:val="auto"/>
          <w:sz w:val="28"/>
          <w:szCs w:val="28"/>
        </w:rPr>
        <w:t>的环境影响评价报告表部分内容涉及国家秘密、商业秘密、个人隐私等内容，我司删除了环境影响评价报告表中相应内容具体删除内容和删除依据如下：</w:t>
      </w:r>
    </w:p>
    <w:p w14:paraId="7FA7E7F4">
      <w:pPr>
        <w:tabs>
          <w:tab w:val="left" w:pos="5920"/>
        </w:tabs>
        <w:spacing w:line="480" w:lineRule="auto"/>
        <w:ind w:firstLine="560" w:firstLineChars="200"/>
        <w:rPr>
          <w:b w:val="0"/>
          <w:bCs/>
          <w:iCs w:val="0"/>
          <w:color w:val="auto"/>
          <w:sz w:val="28"/>
          <w:szCs w:val="28"/>
        </w:rPr>
      </w:pPr>
      <w:r>
        <w:rPr>
          <w:rFonts w:hint="eastAsia"/>
          <w:b w:val="0"/>
          <w:bCs/>
          <w:iCs w:val="0"/>
          <w:color w:val="auto"/>
          <w:sz w:val="28"/>
          <w:szCs w:val="28"/>
        </w:rPr>
        <w:t>1、删除附图、附件部分，删除理由：涉及商业秘密及个人隐私；</w:t>
      </w:r>
    </w:p>
    <w:p w14:paraId="0A92D50A">
      <w:pPr>
        <w:tabs>
          <w:tab w:val="left" w:pos="5920"/>
        </w:tabs>
        <w:spacing w:line="480" w:lineRule="auto"/>
        <w:ind w:firstLine="560" w:firstLineChars="200"/>
        <w:rPr>
          <w:b w:val="0"/>
          <w:bCs/>
          <w:iCs w:val="0"/>
          <w:color w:val="auto"/>
          <w:sz w:val="28"/>
          <w:szCs w:val="28"/>
        </w:rPr>
      </w:pPr>
      <w:r>
        <w:rPr>
          <w:rFonts w:hint="eastAsia"/>
          <w:b w:val="0"/>
          <w:bCs/>
          <w:iCs w:val="0"/>
          <w:color w:val="auto"/>
          <w:sz w:val="28"/>
          <w:szCs w:val="28"/>
        </w:rPr>
        <w:t>2、删除建设单位联系方式，删除理由：涉及个人隐私；</w:t>
      </w:r>
    </w:p>
    <w:p w14:paraId="20E45D72">
      <w:pPr>
        <w:tabs>
          <w:tab w:val="left" w:pos="5920"/>
        </w:tabs>
        <w:spacing w:line="480" w:lineRule="auto"/>
        <w:ind w:firstLine="560" w:firstLineChars="200"/>
        <w:rPr>
          <w:b w:val="0"/>
          <w:bCs/>
          <w:iCs w:val="0"/>
          <w:color w:val="auto"/>
          <w:sz w:val="28"/>
          <w:szCs w:val="28"/>
        </w:rPr>
      </w:pPr>
      <w:r>
        <w:rPr>
          <w:rFonts w:hint="eastAsia"/>
          <w:b w:val="0"/>
          <w:bCs/>
          <w:iCs w:val="0"/>
          <w:color w:val="auto"/>
          <w:sz w:val="28"/>
          <w:szCs w:val="28"/>
        </w:rPr>
        <w:t>3、删除项目编制单位统一社会信用代码及编制主持人证书编号、信用编号等，删除理由：涉及商业秘密及个人隐私。</w:t>
      </w:r>
    </w:p>
    <w:p w14:paraId="726CF9B4">
      <w:pPr>
        <w:tabs>
          <w:tab w:val="left" w:pos="5920"/>
        </w:tabs>
        <w:spacing w:line="480" w:lineRule="auto"/>
        <w:ind w:firstLine="482" w:firstLineChars="200"/>
        <w:rPr>
          <w:b/>
          <w:bCs w:val="0"/>
          <w:iCs w:val="0"/>
          <w:color w:val="auto"/>
        </w:rPr>
      </w:pPr>
    </w:p>
    <w:p w14:paraId="196ACA7F">
      <w:pPr>
        <w:tabs>
          <w:tab w:val="left" w:pos="5920"/>
        </w:tabs>
        <w:spacing w:line="480" w:lineRule="auto"/>
        <w:ind w:firstLine="482" w:firstLineChars="200"/>
        <w:rPr>
          <w:b/>
          <w:bCs w:val="0"/>
          <w:iCs w:val="0"/>
          <w:color w:val="auto"/>
        </w:rPr>
      </w:pPr>
    </w:p>
    <w:p w14:paraId="7AB247B3">
      <w:pPr>
        <w:tabs>
          <w:tab w:val="left" w:pos="5920"/>
        </w:tabs>
        <w:spacing w:line="480" w:lineRule="auto"/>
        <w:jc w:val="right"/>
        <w:rPr>
          <w:b/>
          <w:bCs w:val="0"/>
          <w:iCs w:val="0"/>
          <w:color w:val="auto"/>
        </w:rPr>
      </w:pPr>
      <w:r>
        <w:rPr>
          <w:rFonts w:hint="eastAsia"/>
          <w:b/>
          <w:bCs w:val="0"/>
          <w:iCs w:val="0"/>
          <w:color w:val="auto"/>
        </w:rPr>
        <w:t>单位盖章</w:t>
      </w:r>
    </w:p>
    <w:p w14:paraId="0BED543C">
      <w:pPr>
        <w:tabs>
          <w:tab w:val="left" w:pos="5920"/>
        </w:tabs>
        <w:spacing w:line="480" w:lineRule="auto"/>
        <w:jc w:val="right"/>
        <w:rPr>
          <w:rFonts w:hint="eastAsia" w:eastAsia="宋体"/>
          <w:b/>
          <w:bCs w:val="0"/>
          <w:iCs w:val="0"/>
          <w:color w:val="auto"/>
          <w:lang w:eastAsia="zh-CN"/>
        </w:rPr>
      </w:pPr>
      <w:r>
        <w:rPr>
          <w:rFonts w:hint="eastAsia"/>
          <w:b/>
          <w:bCs w:val="0"/>
          <w:iCs w:val="0"/>
          <w:color w:val="auto"/>
          <w:lang w:eastAsia="zh-CN"/>
        </w:rPr>
        <w:t>2026年1月9日</w:t>
      </w:r>
    </w:p>
    <w:p w14:paraId="63CF8D03">
      <w:pPr>
        <w:tabs>
          <w:tab w:val="left" w:pos="5920"/>
        </w:tabs>
        <w:jc w:val="right"/>
        <w:rPr>
          <w:b/>
          <w:bCs w:val="0"/>
          <w:iCs w:val="0"/>
          <w:color w:val="auto"/>
        </w:rPr>
        <w:sectPr>
          <w:pgSz w:w="11906" w:h="16838"/>
          <w:pgMar w:top="1418"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047B0E3">
      <w:pPr>
        <w:pStyle w:val="37"/>
        <w:bidi w:val="0"/>
        <w:rPr>
          <w:rFonts w:hint="default"/>
          <w:lang w:val="en-US" w:eastAsia="zh-CN"/>
        </w:rPr>
      </w:pPr>
      <w:r>
        <w:t xml:space="preserve">附件 </w:t>
      </w:r>
      <w:r>
        <w:fldChar w:fldCharType="begin"/>
      </w:r>
      <w:r>
        <w:instrText xml:space="preserve"> SEQ 附件 \* ARABIC </w:instrText>
      </w:r>
      <w:r>
        <w:fldChar w:fldCharType="separate"/>
      </w:r>
      <w:r>
        <w:t>24</w:t>
      </w:r>
      <w:r>
        <w:fldChar w:fldCharType="end"/>
      </w:r>
      <w:r>
        <w:rPr>
          <w:rFonts w:hint="eastAsia"/>
          <w:lang w:val="en-US" w:eastAsia="zh-CN"/>
        </w:rPr>
        <w:t xml:space="preserve"> </w:t>
      </w:r>
      <w:r>
        <w:rPr>
          <w:rFonts w:hint="default"/>
          <w:lang w:val="en-US" w:eastAsia="zh-CN"/>
        </w:rPr>
        <w:t>审批申请报告</w:t>
      </w:r>
    </w:p>
    <w:p w14:paraId="22DDA6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bCs/>
          <w:color w:val="000000"/>
          <w:sz w:val="48"/>
          <w:szCs w:val="48"/>
          <w:lang w:val="en-US" w:eastAsia="zh-CN"/>
        </w:rPr>
      </w:pPr>
      <w:r>
        <w:drawing>
          <wp:anchor distT="0" distB="0" distL="114300" distR="114300" simplePos="0" relativeHeight="251676672" behindDoc="0" locked="0" layoutInCell="1" allowOverlap="1">
            <wp:simplePos x="0" y="0"/>
            <wp:positionH relativeFrom="column">
              <wp:posOffset>7620</wp:posOffset>
            </wp:positionH>
            <wp:positionV relativeFrom="paragraph">
              <wp:posOffset>0</wp:posOffset>
            </wp:positionV>
            <wp:extent cx="5591175" cy="7829550"/>
            <wp:effectExtent l="0" t="0" r="9525" b="0"/>
            <wp:wrapNone/>
            <wp:docPr id="1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
                    <pic:cNvPicPr>
                      <a:picLocks noChangeAspect="1"/>
                    </pic:cNvPicPr>
                  </pic:nvPicPr>
                  <pic:blipFill>
                    <a:blip r:embed="rId68"/>
                    <a:stretch>
                      <a:fillRect/>
                    </a:stretch>
                  </pic:blipFill>
                  <pic:spPr>
                    <a:xfrm>
                      <a:off x="0" y="0"/>
                      <a:ext cx="5591175" cy="7829550"/>
                    </a:xfrm>
                    <a:prstGeom prst="rect">
                      <a:avLst/>
                    </a:prstGeom>
                    <a:noFill/>
                    <a:ln>
                      <a:noFill/>
                    </a:ln>
                  </pic:spPr>
                </pic:pic>
              </a:graphicData>
            </a:graphic>
          </wp:anchor>
        </w:drawing>
      </w:r>
      <w:r>
        <w:rPr>
          <w:rFonts w:hint="eastAsia"/>
          <w:b/>
          <w:bCs/>
          <w:color w:val="000000"/>
          <w:sz w:val="48"/>
          <w:szCs w:val="48"/>
          <w:lang w:val="en-US" w:eastAsia="zh-CN"/>
        </w:rPr>
        <w:t>申请环评批复报告</w:t>
      </w:r>
    </w:p>
    <w:p w14:paraId="74FAC1D3">
      <w:pPr>
        <w:jc w:val="left"/>
        <w:rPr>
          <w:rFonts w:hint="default" w:ascii="Times New Roman" w:hAnsi="Times New Roman" w:cs="Times New Roman"/>
          <w:color w:val="000000"/>
          <w:sz w:val="28"/>
        </w:rPr>
      </w:pPr>
      <w:r>
        <w:rPr>
          <w:rFonts w:hint="eastAsia" w:cs="Times New Roman"/>
          <w:color w:val="000000"/>
          <w:sz w:val="28"/>
          <w:szCs w:val="28"/>
          <w:lang w:eastAsia="zh-CN"/>
        </w:rPr>
        <w:t>福州市福清生态环境局</w:t>
      </w:r>
      <w:r>
        <w:rPr>
          <w:rFonts w:hint="default" w:ascii="Times New Roman" w:hAnsi="Times New Roman" w:cs="Times New Roman"/>
          <w:color w:val="000000"/>
          <w:sz w:val="28"/>
        </w:rPr>
        <w:t>：</w:t>
      </w:r>
    </w:p>
    <w:p w14:paraId="4A68973C">
      <w:pPr>
        <w:jc w:val="left"/>
        <w:rPr>
          <w:rFonts w:hint="default" w:ascii="Times New Roman" w:hAnsi="Times New Roman" w:cs="Times New Roman"/>
          <w:color w:val="000000"/>
          <w:sz w:val="28"/>
          <w:szCs w:val="22"/>
          <w:u w:val="none"/>
          <w:lang w:val="en-US" w:eastAsia="zh-CN"/>
        </w:rPr>
      </w:pPr>
      <w:r>
        <w:rPr>
          <w:rFonts w:hint="default" w:ascii="Times New Roman" w:hAnsi="Times New Roman" w:cs="Times New Roman"/>
          <w:color w:val="000000"/>
          <w:sz w:val="28"/>
          <w:szCs w:val="22"/>
          <w:u w:val="none"/>
          <w:lang w:val="en-US" w:eastAsia="zh-CN"/>
        </w:rPr>
        <w:t>我单位申请</w:t>
      </w:r>
      <w:r>
        <w:rPr>
          <w:rFonts w:hint="eastAsia" w:ascii="Times New Roman" w:hAnsi="Times New Roman" w:cs="Times New Roman"/>
          <w:color w:val="000000"/>
          <w:sz w:val="28"/>
          <w:szCs w:val="22"/>
          <w:u w:val="none"/>
          <w:lang w:val="en-US" w:eastAsia="zh-CN"/>
        </w:rPr>
        <w:t>福清市三合电子科技有限公司年新增塑胶件25万套、钣金件5万套项目</w:t>
      </w:r>
      <w:r>
        <w:rPr>
          <w:rFonts w:hint="default" w:ascii="Times New Roman" w:hAnsi="Times New Roman" w:cs="Times New Roman"/>
          <w:color w:val="000000"/>
          <w:sz w:val="28"/>
          <w:szCs w:val="22"/>
          <w:u w:val="none"/>
          <w:lang w:val="en-US" w:eastAsia="zh-CN"/>
        </w:rPr>
        <w:t>环评文件审批，选址</w:t>
      </w:r>
      <w:r>
        <w:rPr>
          <w:rFonts w:hint="eastAsia" w:cs="Times New Roman"/>
          <w:color w:val="000000"/>
          <w:sz w:val="28"/>
          <w:szCs w:val="22"/>
          <w:u w:val="none"/>
          <w:lang w:val="en-US" w:eastAsia="zh-CN"/>
        </w:rPr>
        <w:t>于福建省福州市福清市阳下街道玉岭村147号车间2三楼</w:t>
      </w:r>
      <w:r>
        <w:rPr>
          <w:rFonts w:hint="default" w:ascii="Times New Roman" w:hAnsi="Times New Roman" w:cs="Times New Roman"/>
          <w:color w:val="000000"/>
          <w:sz w:val="28"/>
          <w:szCs w:val="22"/>
          <w:u w:val="none"/>
          <w:lang w:val="en-US" w:eastAsia="zh-CN"/>
        </w:rPr>
        <w:t>。</w:t>
      </w:r>
    </w:p>
    <w:p w14:paraId="2B5306CF">
      <w:pPr>
        <w:jc w:val="left"/>
        <w:rPr>
          <w:rFonts w:hint="default" w:ascii="Times New Roman" w:hAnsi="Times New Roman" w:cs="Times New Roman"/>
          <w:color w:val="000000"/>
          <w:sz w:val="28"/>
          <w:szCs w:val="22"/>
          <w:u w:val="none"/>
          <w:lang w:val="en-US" w:eastAsia="zh-CN"/>
        </w:rPr>
      </w:pPr>
      <w:r>
        <w:rPr>
          <w:rFonts w:hint="default" w:ascii="Times New Roman" w:hAnsi="Times New Roman" w:cs="Times New Roman"/>
          <w:color w:val="000000"/>
          <w:sz w:val="28"/>
          <w:szCs w:val="22"/>
          <w:u w:val="none"/>
          <w:lang w:val="en-US" w:eastAsia="zh-CN"/>
        </w:rPr>
        <w:t>建设规模：项目拟总投资</w:t>
      </w:r>
      <w:r>
        <w:rPr>
          <w:rFonts w:hint="eastAsia" w:ascii="Times New Roman" w:hAnsi="Times New Roman" w:cs="Times New Roman"/>
          <w:color w:val="000000"/>
          <w:sz w:val="28"/>
          <w:szCs w:val="22"/>
          <w:u w:val="none"/>
          <w:lang w:val="en-US" w:eastAsia="zh-CN"/>
        </w:rPr>
        <w:t>120</w:t>
      </w:r>
      <w:r>
        <w:rPr>
          <w:rFonts w:hint="default" w:ascii="Times New Roman" w:hAnsi="Times New Roman" w:cs="Times New Roman"/>
          <w:color w:val="000000"/>
          <w:sz w:val="28"/>
          <w:szCs w:val="22"/>
          <w:u w:val="none"/>
          <w:lang w:val="en-US" w:eastAsia="zh-CN"/>
        </w:rPr>
        <w:t>万元，建筑面积为</w:t>
      </w:r>
      <w:r>
        <w:rPr>
          <w:rFonts w:hint="eastAsia"/>
          <w:lang w:val="en-US" w:eastAsia="zh-CN"/>
        </w:rPr>
        <w:t>2212.46</w:t>
      </w:r>
      <w:r>
        <w:rPr>
          <w:rFonts w:hint="default" w:ascii="Times New Roman" w:hAnsi="Times New Roman" w:cs="Times New Roman"/>
          <w:color w:val="000000"/>
          <w:sz w:val="28"/>
          <w:szCs w:val="22"/>
          <w:u w:val="none"/>
          <w:lang w:val="en-US" w:eastAsia="zh-CN"/>
        </w:rPr>
        <w:t>m</w:t>
      </w:r>
      <w:r>
        <w:rPr>
          <w:rFonts w:hint="default" w:ascii="Times New Roman" w:hAnsi="Times New Roman" w:cs="Times New Roman"/>
          <w:color w:val="000000"/>
          <w:sz w:val="28"/>
          <w:szCs w:val="22"/>
          <w:u w:val="none"/>
          <w:vertAlign w:val="superscript"/>
          <w:lang w:val="en-US" w:eastAsia="zh-CN"/>
        </w:rPr>
        <w:t>2</w:t>
      </w:r>
      <w:r>
        <w:rPr>
          <w:rFonts w:hint="default" w:ascii="Times New Roman" w:hAnsi="Times New Roman" w:cs="Times New Roman"/>
          <w:color w:val="000000"/>
          <w:sz w:val="28"/>
          <w:szCs w:val="22"/>
          <w:u w:val="none"/>
          <w:lang w:val="en-US" w:eastAsia="zh-CN"/>
        </w:rPr>
        <w:t>，生产能力：年加工铝合金</w:t>
      </w:r>
      <w:r>
        <w:rPr>
          <w:rFonts w:hint="eastAsia" w:ascii="Times New Roman" w:hAnsi="Times New Roman" w:cs="Times New Roman"/>
          <w:color w:val="000000"/>
          <w:sz w:val="28"/>
          <w:szCs w:val="22"/>
          <w:u w:val="none"/>
          <w:lang w:val="en-US" w:eastAsia="zh-CN"/>
        </w:rPr>
        <w:t>20</w:t>
      </w:r>
      <w:r>
        <w:rPr>
          <w:rFonts w:hint="default" w:ascii="Times New Roman" w:hAnsi="Times New Roman" w:cs="Times New Roman"/>
          <w:color w:val="000000"/>
          <w:sz w:val="28"/>
          <w:szCs w:val="22"/>
          <w:u w:val="none"/>
          <w:lang w:val="en-US" w:eastAsia="zh-CN"/>
        </w:rPr>
        <w:t>万套、塑胶件</w:t>
      </w:r>
      <w:r>
        <w:rPr>
          <w:rFonts w:hint="eastAsia" w:ascii="Times New Roman" w:hAnsi="Times New Roman" w:cs="Times New Roman"/>
          <w:color w:val="000000"/>
          <w:sz w:val="28"/>
          <w:szCs w:val="22"/>
          <w:u w:val="none"/>
          <w:lang w:val="en-US" w:eastAsia="zh-CN"/>
        </w:rPr>
        <w:t>30</w:t>
      </w:r>
      <w:r>
        <w:rPr>
          <w:rFonts w:hint="default" w:ascii="Times New Roman" w:hAnsi="Times New Roman" w:cs="Times New Roman"/>
          <w:color w:val="000000"/>
          <w:sz w:val="28"/>
          <w:szCs w:val="22"/>
          <w:u w:val="none"/>
          <w:lang w:val="en-US" w:eastAsia="zh-CN"/>
        </w:rPr>
        <w:t>万套、钣金件</w:t>
      </w:r>
      <w:r>
        <w:rPr>
          <w:rFonts w:hint="eastAsia" w:ascii="Times New Roman" w:hAnsi="Times New Roman" w:cs="Times New Roman"/>
          <w:color w:val="000000"/>
          <w:sz w:val="28"/>
          <w:szCs w:val="22"/>
          <w:u w:val="none"/>
          <w:lang w:val="en-US" w:eastAsia="zh-CN"/>
        </w:rPr>
        <w:t>10</w:t>
      </w:r>
      <w:r>
        <w:rPr>
          <w:rFonts w:hint="default" w:ascii="Times New Roman" w:hAnsi="Times New Roman" w:cs="Times New Roman"/>
          <w:color w:val="000000"/>
          <w:sz w:val="28"/>
          <w:szCs w:val="22"/>
          <w:u w:val="none"/>
          <w:lang w:val="en-US" w:eastAsia="zh-CN"/>
        </w:rPr>
        <w:t>万套。</w:t>
      </w:r>
    </w:p>
    <w:p w14:paraId="7FD516DE">
      <w:pPr>
        <w:keepNext w:val="0"/>
        <w:keepLines w:val="0"/>
        <w:widowControl/>
        <w:suppressLineNumbers w:val="0"/>
        <w:jc w:val="left"/>
      </w:pPr>
      <w:r>
        <w:rPr>
          <w:rFonts w:hint="default" w:ascii="Times New Roman" w:hAnsi="Times New Roman" w:cs="Times New Roman"/>
          <w:color w:val="000000"/>
          <w:sz w:val="28"/>
          <w:szCs w:val="22"/>
          <w:u w:val="none"/>
          <w:lang w:val="en-US" w:eastAsia="zh-CN"/>
        </w:rPr>
        <w:t>根据《建设项目环境保护管理条例》等有关法律法规规定，我单位委托</w:t>
      </w:r>
      <w:r>
        <w:rPr>
          <w:rFonts w:hint="eastAsia" w:cs="Times New Roman"/>
          <w:color w:val="000000"/>
          <w:sz w:val="28"/>
          <w:szCs w:val="22"/>
          <w:lang w:val="en-US" w:eastAsia="zh-CN"/>
        </w:rPr>
        <w:t>福州朴诚至信环保科技有限公司</w:t>
      </w:r>
      <w:r>
        <w:rPr>
          <w:rFonts w:hint="default" w:ascii="Times New Roman" w:hAnsi="Times New Roman" w:cs="Times New Roman"/>
          <w:color w:val="000000"/>
          <w:sz w:val="28"/>
          <w:szCs w:val="22"/>
          <w:u w:val="none"/>
          <w:lang w:val="en-US" w:eastAsia="zh-CN"/>
        </w:rPr>
        <w:t>对“</w:t>
      </w:r>
      <w:r>
        <w:rPr>
          <w:rFonts w:hint="eastAsia" w:ascii="Times New Roman" w:hAnsi="Times New Roman" w:cs="Times New Roman"/>
          <w:color w:val="000000"/>
          <w:sz w:val="28"/>
          <w:szCs w:val="22"/>
          <w:u w:val="none"/>
          <w:lang w:val="en-US" w:eastAsia="zh-CN"/>
        </w:rPr>
        <w:t>福清市三合电子科技有限公司年新增塑胶件25万套、钣金件5万套项目</w:t>
      </w:r>
      <w:r>
        <w:rPr>
          <w:rFonts w:hint="default" w:ascii="Times New Roman" w:hAnsi="Times New Roman" w:cs="Times New Roman"/>
          <w:color w:val="000000"/>
          <w:sz w:val="28"/>
          <w:szCs w:val="22"/>
          <w:u w:val="none"/>
          <w:lang w:val="en-US" w:eastAsia="zh-CN"/>
        </w:rPr>
        <w:t>”开展环境影响评价工作，编制了《</w:t>
      </w:r>
      <w:r>
        <w:rPr>
          <w:rFonts w:hint="eastAsia" w:ascii="Times New Roman" w:hAnsi="Times New Roman" w:cs="Times New Roman"/>
          <w:color w:val="000000"/>
          <w:sz w:val="28"/>
          <w:szCs w:val="22"/>
          <w:u w:val="none"/>
          <w:lang w:val="en-US" w:eastAsia="zh-CN"/>
        </w:rPr>
        <w:t>福清市三合电子科技有限公司年新增塑胶件25万套、钣金件5万套项目</w:t>
      </w:r>
      <w:r>
        <w:rPr>
          <w:rFonts w:hint="default" w:ascii="Times New Roman" w:hAnsi="Times New Roman" w:cs="Times New Roman"/>
          <w:color w:val="000000"/>
          <w:sz w:val="28"/>
          <w:szCs w:val="22"/>
          <w:u w:val="none"/>
          <w:lang w:val="en-US" w:eastAsia="zh-CN"/>
        </w:rPr>
        <w:t>环境影响评价报告表》，现已完成并呈报贵局，请及时给予批复。专此报告</w:t>
      </w:r>
      <w:r>
        <w:rPr>
          <w:rFonts w:ascii="宋体" w:hAnsi="宋体" w:eastAsia="宋体" w:cs="宋体"/>
          <w:kern w:val="0"/>
          <w:sz w:val="24"/>
          <w:szCs w:val="24"/>
          <w:lang w:val="en-US" w:eastAsia="zh-CN" w:bidi="ar"/>
        </w:rPr>
        <w:fldChar w:fldCharType="begin"/>
      </w:r>
      <w:r>
        <w:rPr>
          <w:rFonts w:ascii="宋体" w:hAnsi="宋体" w:eastAsia="宋体" w:cs="宋体"/>
          <w:kern w:val="0"/>
          <w:sz w:val="24"/>
          <w:szCs w:val="24"/>
          <w:lang w:val="en-US" w:eastAsia="zh-CN" w:bidi="ar"/>
        </w:rPr>
        <w:instrText xml:space="preserve"> HYPERLINK "http://www.baidu.com/link?url=DZ497y8ccBXqzAlhx4i6ihp1imAZ57ulkj3LTJB9wfjNdhj_91MnXqwtERZA-2N7xqnjDx_TIRi34iHvp0Lao2J0SQaAEZMvem2N0X_GhsjY8G058sZCuRbNTm7ur_a-d8psmSsY2CaBf0U6TkB8194yN-3m2Z190e27tBCHXBC" \t "https://www.baidu.com/_blank" </w:instrText>
      </w:r>
      <w:r>
        <w:rPr>
          <w:rFonts w:ascii="宋体" w:hAnsi="宋体" w:eastAsia="宋体" w:cs="宋体"/>
          <w:kern w:val="0"/>
          <w:sz w:val="24"/>
          <w:szCs w:val="24"/>
          <w:lang w:val="en-US" w:eastAsia="zh-CN" w:bidi="ar"/>
        </w:rPr>
        <w:fldChar w:fldCharType="separate"/>
      </w:r>
      <w:r>
        <w:rPr>
          <w:rFonts w:ascii="宋体" w:hAnsi="宋体" w:eastAsia="宋体" w:cs="宋体"/>
          <w:kern w:val="0"/>
          <w:sz w:val="24"/>
          <w:szCs w:val="24"/>
          <w:lang w:val="en-US" w:eastAsia="zh-CN" w:bidi="ar"/>
        </w:rPr>
        <w:fldChar w:fldCharType="end"/>
      </w:r>
    </w:p>
    <w:p w14:paraId="28EA1202">
      <w:pPr>
        <w:jc w:val="left"/>
        <w:rPr>
          <w:rFonts w:hint="default" w:ascii="Times New Roman" w:hAnsi="Times New Roman" w:cs="Times New Roman"/>
          <w:color w:val="000000"/>
          <w:sz w:val="28"/>
          <w:szCs w:val="22"/>
          <w:u w:val="none"/>
          <w:lang w:val="en-US" w:eastAsia="zh-CN"/>
        </w:rPr>
      </w:pPr>
    </w:p>
    <w:p w14:paraId="2D9D0A15">
      <w:pPr>
        <w:wordWrap w:val="0"/>
        <w:jc w:val="right"/>
        <w:rPr>
          <w:rFonts w:hint="eastAsia"/>
          <w:color w:val="000000"/>
          <w:sz w:val="28"/>
          <w:szCs w:val="22"/>
          <w:u w:val="none"/>
          <w:lang w:val="en-US" w:eastAsia="zh-CN"/>
        </w:rPr>
      </w:pPr>
    </w:p>
    <w:p w14:paraId="3EF8C091">
      <w:pPr>
        <w:wordWrap w:val="0"/>
        <w:jc w:val="right"/>
        <w:rPr>
          <w:rFonts w:hint="eastAsia"/>
          <w:color w:val="000000"/>
          <w:sz w:val="28"/>
          <w:szCs w:val="22"/>
          <w:u w:val="none"/>
          <w:lang w:val="en-US" w:eastAsia="zh-CN"/>
        </w:rPr>
      </w:pPr>
    </w:p>
    <w:p w14:paraId="34252250">
      <w:pPr>
        <w:wordWrap w:val="0"/>
        <w:jc w:val="right"/>
        <w:rPr>
          <w:rFonts w:hint="eastAsia"/>
          <w:color w:val="000000"/>
          <w:sz w:val="28"/>
          <w:szCs w:val="22"/>
          <w:u w:val="none"/>
          <w:lang w:val="en-US" w:eastAsia="zh-CN"/>
        </w:rPr>
      </w:pPr>
    </w:p>
    <w:p w14:paraId="51F1238B">
      <w:pPr>
        <w:wordWrap w:val="0"/>
        <w:jc w:val="right"/>
        <w:rPr>
          <w:rFonts w:hint="eastAsia"/>
          <w:color w:val="000000"/>
          <w:sz w:val="28"/>
          <w:szCs w:val="22"/>
          <w:u w:val="none"/>
          <w:lang w:val="en-US" w:eastAsia="zh-CN"/>
        </w:rPr>
      </w:pPr>
      <w:r>
        <w:rPr>
          <w:rFonts w:hint="eastAsia"/>
          <w:color w:val="000000"/>
          <w:sz w:val="28"/>
          <w:szCs w:val="22"/>
          <w:u w:val="none"/>
          <w:lang w:val="en-US" w:eastAsia="zh-CN"/>
        </w:rPr>
        <w:t xml:space="preserve">申请单位（盖章）：         </w:t>
      </w:r>
    </w:p>
    <w:p w14:paraId="26B7EC7F">
      <w:pPr>
        <w:wordWrap w:val="0"/>
        <w:jc w:val="right"/>
        <w:rPr>
          <w:rFonts w:hint="eastAsia"/>
          <w:color w:val="000000"/>
          <w:sz w:val="28"/>
          <w:szCs w:val="22"/>
          <w:u w:val="none"/>
          <w:lang w:val="en-US" w:eastAsia="zh-CN"/>
        </w:rPr>
      </w:pPr>
      <w:r>
        <w:rPr>
          <w:rFonts w:hint="eastAsia"/>
          <w:color w:val="000000"/>
          <w:sz w:val="28"/>
          <w:szCs w:val="22"/>
          <w:u w:val="none"/>
          <w:lang w:val="en-US" w:eastAsia="zh-CN"/>
        </w:rPr>
        <w:t xml:space="preserve">法定代表人（盖章或签字）：  </w:t>
      </w:r>
    </w:p>
    <w:p w14:paraId="19665133">
      <w:pPr>
        <w:jc w:val="right"/>
        <w:rPr>
          <w:rFonts w:hint="default" w:ascii="Times New Roman" w:hAnsi="Times New Roman" w:eastAsia="宋体" w:cs="Times New Roman"/>
          <w:b/>
          <w:bCs/>
          <w:color w:val="auto"/>
          <w:kern w:val="2"/>
          <w:sz w:val="32"/>
          <w:szCs w:val="32"/>
          <w:lang w:val="en-US" w:eastAsia="zh-CN" w:bidi="ar-SA"/>
        </w:rPr>
      </w:pPr>
      <w:r>
        <w:rPr>
          <w:rFonts w:hint="default" w:ascii="Times New Roman" w:hAnsi="Times New Roman" w:cs="Times New Roman"/>
          <w:color w:val="000000"/>
          <w:sz w:val="28"/>
          <w:szCs w:val="22"/>
          <w:u w:val="none"/>
          <w:lang w:val="en-US" w:eastAsia="zh-CN"/>
        </w:rPr>
        <w:t>202</w:t>
      </w:r>
      <w:r>
        <w:rPr>
          <w:rFonts w:hint="eastAsia" w:ascii="Times New Roman" w:hAnsi="Times New Roman" w:cs="Times New Roman"/>
          <w:color w:val="000000"/>
          <w:sz w:val="28"/>
          <w:szCs w:val="22"/>
          <w:u w:val="none"/>
          <w:lang w:val="en-US" w:eastAsia="zh-CN"/>
        </w:rPr>
        <w:t>6</w:t>
      </w:r>
      <w:r>
        <w:rPr>
          <w:rFonts w:hint="eastAsia"/>
          <w:color w:val="000000"/>
          <w:sz w:val="28"/>
          <w:szCs w:val="22"/>
          <w:u w:val="none"/>
          <w:lang w:val="en-US" w:eastAsia="zh-CN"/>
        </w:rPr>
        <w:t>年</w:t>
      </w:r>
      <w:r>
        <w:rPr>
          <w:rFonts w:hint="eastAsia" w:ascii="Times New Roman" w:hAnsi="Times New Roman" w:eastAsia="宋体" w:cs="Times New Roman"/>
          <w:color w:val="000000"/>
          <w:sz w:val="28"/>
          <w:szCs w:val="22"/>
          <w:u w:val="none"/>
          <w:lang w:val="en-US" w:eastAsia="zh-CN"/>
        </w:rPr>
        <w:t xml:space="preserve"> </w:t>
      </w:r>
      <w:r>
        <w:rPr>
          <w:rFonts w:hint="eastAsia" w:cs="Times New Roman"/>
          <w:color w:val="000000"/>
          <w:sz w:val="28"/>
          <w:szCs w:val="22"/>
          <w:u w:val="none"/>
          <w:lang w:val="en-US" w:eastAsia="zh-CN"/>
        </w:rPr>
        <w:t>1</w:t>
      </w:r>
      <w:r>
        <w:rPr>
          <w:rFonts w:hint="eastAsia"/>
          <w:color w:val="000000"/>
          <w:sz w:val="28"/>
          <w:szCs w:val="22"/>
          <w:u w:val="none"/>
          <w:lang w:val="en-US" w:eastAsia="zh-CN"/>
        </w:rPr>
        <w:t>月</w:t>
      </w:r>
      <w:r>
        <w:rPr>
          <w:rFonts w:hint="eastAsia" w:ascii="Times New Roman" w:hAnsi="Times New Roman" w:cs="Times New Roman"/>
          <w:color w:val="000000"/>
          <w:sz w:val="28"/>
          <w:szCs w:val="22"/>
          <w:u w:val="none"/>
          <w:lang w:val="en-US" w:eastAsia="zh-CN"/>
        </w:rPr>
        <w:t xml:space="preserve"> </w:t>
      </w:r>
      <w:r>
        <w:rPr>
          <w:rFonts w:hint="eastAsia" w:cs="Times New Roman"/>
          <w:color w:val="000000"/>
          <w:sz w:val="28"/>
          <w:szCs w:val="22"/>
          <w:u w:val="none"/>
          <w:lang w:val="en-US" w:eastAsia="zh-CN"/>
        </w:rPr>
        <w:t>9</w:t>
      </w:r>
      <w:r>
        <w:rPr>
          <w:rFonts w:hint="eastAsia" w:ascii="Times New Roman" w:hAnsi="Times New Roman" w:cs="Times New Roman"/>
          <w:color w:val="000000"/>
          <w:sz w:val="28"/>
          <w:szCs w:val="22"/>
          <w:u w:val="none"/>
          <w:lang w:val="en-US" w:eastAsia="zh-CN"/>
        </w:rPr>
        <w:t xml:space="preserve"> </w:t>
      </w:r>
      <w:r>
        <w:rPr>
          <w:rFonts w:hint="eastAsia"/>
          <w:color w:val="000000"/>
          <w:sz w:val="28"/>
          <w:szCs w:val="22"/>
          <w:u w:val="none"/>
          <w:lang w:val="en-US" w:eastAsia="zh-CN"/>
        </w:rPr>
        <w:t xml:space="preserve">日 </w:t>
      </w:r>
      <w:r>
        <w:rPr>
          <w:rFonts w:hint="default" w:ascii="Times New Roman" w:hAnsi="Times New Roman" w:eastAsia="宋体" w:cs="Times New Roman"/>
          <w:b/>
          <w:bCs/>
          <w:color w:val="auto"/>
          <w:kern w:val="2"/>
          <w:sz w:val="32"/>
          <w:szCs w:val="32"/>
          <w:lang w:val="en-US" w:eastAsia="zh-CN" w:bidi="ar-SA"/>
        </w:rPr>
        <w:br w:type="page"/>
      </w:r>
    </w:p>
    <w:p w14:paraId="71D104CA">
      <w:pPr>
        <w:pStyle w:val="37"/>
        <w:bidi w:val="0"/>
        <w:rPr>
          <w:rFonts w:hint="default"/>
          <w:lang w:val="en-US" w:eastAsia="zh-CN"/>
        </w:rPr>
      </w:pPr>
      <w:r>
        <w:t xml:space="preserve">附件 </w:t>
      </w:r>
      <w:r>
        <w:fldChar w:fldCharType="begin"/>
      </w:r>
      <w:r>
        <w:instrText xml:space="preserve"> SEQ 附件 \* ARABIC </w:instrText>
      </w:r>
      <w:r>
        <w:fldChar w:fldCharType="separate"/>
      </w:r>
      <w:r>
        <w:t>25</w:t>
      </w:r>
      <w:r>
        <w:fldChar w:fldCharType="end"/>
      </w:r>
      <w:r>
        <w:rPr>
          <w:rFonts w:hint="eastAsia"/>
          <w:lang w:val="en-US" w:eastAsia="zh-CN"/>
        </w:rPr>
        <w:t xml:space="preserve">  </w:t>
      </w:r>
      <w:r>
        <w:rPr>
          <w:rFonts w:hint="default"/>
          <w:lang w:val="en-US" w:eastAsia="zh-CN"/>
        </w:rPr>
        <w:t>申请环评批复报告</w:t>
      </w:r>
    </w:p>
    <w:p w14:paraId="33B03AA9">
      <w:pPr>
        <w:tabs>
          <w:tab w:val="left" w:pos="5920"/>
        </w:tabs>
        <w:spacing w:line="480" w:lineRule="auto"/>
        <w:jc w:val="center"/>
        <w:rPr>
          <w:b/>
          <w:bCs w:val="0"/>
          <w:iCs w:val="0"/>
          <w:color w:val="auto"/>
          <w:sz w:val="32"/>
          <w:szCs w:val="32"/>
        </w:rPr>
      </w:pPr>
      <w:r>
        <w:drawing>
          <wp:anchor distT="0" distB="0" distL="114300" distR="114300" simplePos="0" relativeHeight="251677696" behindDoc="0" locked="0" layoutInCell="1" allowOverlap="1">
            <wp:simplePos x="0" y="0"/>
            <wp:positionH relativeFrom="column">
              <wp:posOffset>-76200</wp:posOffset>
            </wp:positionH>
            <wp:positionV relativeFrom="paragraph">
              <wp:posOffset>10160</wp:posOffset>
            </wp:positionV>
            <wp:extent cx="5855335" cy="8134350"/>
            <wp:effectExtent l="0" t="0" r="12065" b="0"/>
            <wp:wrapNone/>
            <wp:docPr id="1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6"/>
                    <pic:cNvPicPr>
                      <a:picLocks noChangeAspect="1"/>
                    </pic:cNvPicPr>
                  </pic:nvPicPr>
                  <pic:blipFill>
                    <a:blip r:embed="rId69"/>
                    <a:stretch>
                      <a:fillRect/>
                    </a:stretch>
                  </pic:blipFill>
                  <pic:spPr>
                    <a:xfrm>
                      <a:off x="0" y="0"/>
                      <a:ext cx="5855335" cy="8134350"/>
                    </a:xfrm>
                    <a:prstGeom prst="rect">
                      <a:avLst/>
                    </a:prstGeom>
                    <a:noFill/>
                    <a:ln>
                      <a:noFill/>
                    </a:ln>
                  </pic:spPr>
                </pic:pic>
              </a:graphicData>
            </a:graphic>
          </wp:anchor>
        </w:drawing>
      </w:r>
      <w:r>
        <w:rPr>
          <w:b/>
          <w:bCs w:val="0"/>
          <w:iCs w:val="0"/>
          <w:color w:val="auto"/>
          <w:sz w:val="32"/>
          <w:szCs w:val="32"/>
        </w:rPr>
        <w:t>申请环评批复报告</w:t>
      </w:r>
    </w:p>
    <w:p w14:paraId="075F8CEE">
      <w:pPr>
        <w:tabs>
          <w:tab w:val="left" w:pos="5920"/>
        </w:tabs>
        <w:spacing w:line="480" w:lineRule="auto"/>
        <w:rPr>
          <w:b w:val="0"/>
          <w:bCs/>
          <w:iCs w:val="0"/>
          <w:color w:val="auto"/>
        </w:rPr>
      </w:pPr>
      <w:r>
        <w:rPr>
          <w:rFonts w:hint="eastAsia"/>
          <w:b w:val="0"/>
          <w:bCs/>
          <w:iCs w:val="0"/>
          <w:color w:val="auto"/>
          <w:lang w:eastAsia="zh-CN"/>
        </w:rPr>
        <w:t>福州市福清生态环境局</w:t>
      </w:r>
      <w:r>
        <w:rPr>
          <w:rFonts w:hint="eastAsia"/>
          <w:b w:val="0"/>
          <w:bCs/>
          <w:iCs w:val="0"/>
          <w:color w:val="auto"/>
        </w:rPr>
        <w:t>：</w:t>
      </w:r>
    </w:p>
    <w:p w14:paraId="1C627131">
      <w:pPr>
        <w:tabs>
          <w:tab w:val="left" w:pos="5920"/>
        </w:tabs>
        <w:spacing w:line="480" w:lineRule="auto"/>
        <w:ind w:firstLine="480" w:firstLineChars="200"/>
        <w:rPr>
          <w:rFonts w:hint="eastAsia"/>
          <w:b w:val="0"/>
          <w:bCs/>
          <w:iCs w:val="0"/>
          <w:color w:val="auto"/>
          <w:u w:val="single"/>
        </w:rPr>
      </w:pPr>
      <w:r>
        <w:rPr>
          <w:rFonts w:hint="eastAsia"/>
          <w:b w:val="0"/>
          <w:bCs/>
          <w:iCs w:val="0"/>
          <w:color w:val="auto"/>
        </w:rPr>
        <w:t>我单位申请</w:t>
      </w:r>
      <w:r>
        <w:rPr>
          <w:rFonts w:hint="eastAsia"/>
          <w:b w:val="0"/>
          <w:bCs/>
          <w:iCs w:val="0"/>
          <w:color w:val="auto"/>
          <w:u w:val="single"/>
          <w:lang w:eastAsia="zh-CN"/>
        </w:rPr>
        <w:t>福清市三合电子科技有限公司年新增塑胶件25万套、钣金件5万套项目</w:t>
      </w:r>
      <w:r>
        <w:rPr>
          <w:rFonts w:hint="eastAsia"/>
          <w:b w:val="0"/>
          <w:bCs/>
          <w:iCs w:val="0"/>
          <w:color w:val="auto"/>
          <w:u w:val="single"/>
        </w:rPr>
        <w:t>环评文件审批，选址于</w:t>
      </w:r>
      <w:r>
        <w:rPr>
          <w:rFonts w:hint="eastAsia"/>
          <w:b w:val="0"/>
          <w:bCs/>
          <w:iCs w:val="0"/>
          <w:color w:val="auto"/>
          <w:u w:val="single"/>
          <w:lang w:eastAsia="zh-CN"/>
        </w:rPr>
        <w:t>福建省福州市福清市阳下街道玉岭村147号车间2三楼</w:t>
      </w:r>
      <w:r>
        <w:rPr>
          <w:rFonts w:hint="eastAsia"/>
          <w:b w:val="0"/>
          <w:bCs/>
          <w:iCs w:val="0"/>
          <w:color w:val="auto"/>
          <w:u w:val="single"/>
        </w:rPr>
        <w:t>。</w:t>
      </w:r>
    </w:p>
    <w:p w14:paraId="13CD04CB">
      <w:pPr>
        <w:tabs>
          <w:tab w:val="left" w:pos="5920"/>
        </w:tabs>
        <w:spacing w:line="480" w:lineRule="auto"/>
        <w:ind w:firstLine="480" w:firstLineChars="200"/>
        <w:rPr>
          <w:b w:val="0"/>
          <w:bCs/>
          <w:iCs w:val="0"/>
          <w:color w:val="auto"/>
          <w:u w:val="single"/>
        </w:rPr>
      </w:pPr>
      <w:r>
        <w:rPr>
          <w:rFonts w:hint="eastAsia"/>
          <w:b w:val="0"/>
          <w:bCs/>
          <w:iCs w:val="0"/>
          <w:color w:val="auto"/>
        </w:rPr>
        <w:t>建设规模：</w:t>
      </w:r>
      <w:r>
        <w:rPr>
          <w:rFonts w:hint="eastAsia"/>
          <w:b w:val="0"/>
          <w:bCs/>
          <w:iCs w:val="0"/>
          <w:color w:val="auto"/>
          <w:u w:val="single"/>
        </w:rPr>
        <w:t>项目拟总投资120万元，建筑面积为2212.46m2，生产能力：年加工铝合金20万套、塑胶件30万套、钣金件10万套。</w:t>
      </w:r>
    </w:p>
    <w:p w14:paraId="0D6B7C1D">
      <w:pPr>
        <w:tabs>
          <w:tab w:val="left" w:pos="5920"/>
        </w:tabs>
        <w:spacing w:line="480" w:lineRule="auto"/>
        <w:ind w:firstLine="480" w:firstLineChars="200"/>
        <w:rPr>
          <w:b w:val="0"/>
          <w:bCs/>
          <w:iCs w:val="0"/>
          <w:color w:val="auto"/>
        </w:rPr>
      </w:pPr>
      <w:r>
        <w:rPr>
          <w:rFonts w:hint="eastAsia"/>
          <w:b w:val="0"/>
          <w:bCs/>
          <w:iCs w:val="0"/>
          <w:color w:val="auto"/>
        </w:rPr>
        <w:t>根据《建设项目环境保护管理条例》等有关法律法规规定，</w:t>
      </w:r>
      <w:r>
        <w:rPr>
          <w:b w:val="0"/>
          <w:bCs/>
          <w:iCs w:val="0"/>
          <w:color w:val="auto"/>
        </w:rPr>
        <w:t>我单位</w:t>
      </w:r>
      <w:r>
        <w:rPr>
          <w:rFonts w:hint="eastAsia"/>
          <w:b w:val="0"/>
          <w:bCs/>
          <w:iCs w:val="0"/>
          <w:color w:val="auto"/>
        </w:rPr>
        <w:t>委托</w:t>
      </w:r>
      <w:r>
        <w:rPr>
          <w:rFonts w:hint="eastAsia"/>
          <w:b w:val="0"/>
          <w:bCs/>
          <w:iCs w:val="0"/>
          <w:color w:val="auto"/>
          <w:lang w:eastAsia="zh-CN"/>
        </w:rPr>
        <w:t>福州朴诚至信环保科技有限公司</w:t>
      </w:r>
      <w:r>
        <w:rPr>
          <w:rFonts w:hint="eastAsia"/>
          <w:b w:val="0"/>
          <w:bCs/>
          <w:iCs w:val="0"/>
          <w:color w:val="auto"/>
        </w:rPr>
        <w:t>对</w:t>
      </w:r>
      <w:r>
        <w:rPr>
          <w:rFonts w:hint="eastAsia"/>
          <w:b w:val="0"/>
          <w:bCs/>
          <w:iCs w:val="0"/>
          <w:color w:val="auto"/>
          <w:lang w:eastAsia="zh-CN"/>
        </w:rPr>
        <w:t>“福清市三合电子科技有限公司年新增塑胶件25万套、钣金件5万套项目”</w:t>
      </w:r>
      <w:r>
        <w:rPr>
          <w:rFonts w:hint="eastAsia"/>
          <w:b w:val="0"/>
          <w:bCs/>
          <w:iCs w:val="0"/>
          <w:color w:val="auto"/>
        </w:rPr>
        <w:t>开展环境影响评价工作，编制了《</w:t>
      </w:r>
      <w:r>
        <w:rPr>
          <w:rFonts w:hint="eastAsia"/>
          <w:b w:val="0"/>
          <w:bCs/>
          <w:iCs w:val="0"/>
          <w:color w:val="auto"/>
          <w:lang w:eastAsia="zh-CN"/>
        </w:rPr>
        <w:t>福清市三合电子科技有限公司年新增塑胶件25万套、钣金件5万套项目</w:t>
      </w:r>
      <w:r>
        <w:rPr>
          <w:rFonts w:hint="eastAsia"/>
          <w:b w:val="0"/>
          <w:bCs/>
          <w:iCs w:val="0"/>
          <w:color w:val="auto"/>
        </w:rPr>
        <w:t>环境影响评价报告表》，</w:t>
      </w:r>
      <w:r>
        <w:rPr>
          <w:b w:val="0"/>
          <w:bCs/>
          <w:iCs w:val="0"/>
          <w:color w:val="auto"/>
        </w:rPr>
        <w:t>现已完成并呈报贵局，请及时</w:t>
      </w:r>
      <w:r>
        <w:rPr>
          <w:rFonts w:hint="eastAsia"/>
          <w:b w:val="0"/>
          <w:bCs/>
          <w:iCs w:val="0"/>
          <w:color w:val="auto"/>
        </w:rPr>
        <w:t>给予</w:t>
      </w:r>
      <w:r>
        <w:rPr>
          <w:b w:val="0"/>
          <w:bCs/>
          <w:iCs w:val="0"/>
          <w:color w:val="auto"/>
        </w:rPr>
        <w:t>批复</w:t>
      </w:r>
      <w:r>
        <w:rPr>
          <w:rFonts w:hint="eastAsia"/>
          <w:b w:val="0"/>
          <w:bCs/>
          <w:iCs w:val="0"/>
          <w:color w:val="auto"/>
        </w:rPr>
        <w:t>。</w:t>
      </w:r>
    </w:p>
    <w:p w14:paraId="04DA821B">
      <w:pPr>
        <w:tabs>
          <w:tab w:val="left" w:pos="5920"/>
        </w:tabs>
        <w:spacing w:line="480" w:lineRule="auto"/>
        <w:ind w:firstLine="482" w:firstLineChars="200"/>
        <w:rPr>
          <w:b/>
          <w:bCs w:val="0"/>
          <w:iCs w:val="0"/>
          <w:color w:val="auto"/>
        </w:rPr>
      </w:pPr>
    </w:p>
    <w:p w14:paraId="15D8A523">
      <w:pPr>
        <w:tabs>
          <w:tab w:val="left" w:pos="5920"/>
        </w:tabs>
        <w:spacing w:line="480" w:lineRule="auto"/>
        <w:ind w:firstLine="482" w:firstLineChars="200"/>
        <w:rPr>
          <w:b/>
          <w:bCs w:val="0"/>
          <w:iCs w:val="0"/>
          <w:color w:val="auto"/>
        </w:rPr>
      </w:pPr>
    </w:p>
    <w:p w14:paraId="31C5C1CA">
      <w:pPr>
        <w:keepNext w:val="0"/>
        <w:keepLines w:val="0"/>
        <w:pageBreakBefore w:val="0"/>
        <w:widowControl w:val="0"/>
        <w:tabs>
          <w:tab w:val="left" w:pos="5920"/>
        </w:tabs>
        <w:kinsoku/>
        <w:wordWrap w:val="0"/>
        <w:overflowPunct/>
        <w:topLinePunct w:val="0"/>
        <w:autoSpaceDE/>
        <w:autoSpaceDN/>
        <w:bidi w:val="0"/>
        <w:adjustRightInd/>
        <w:snapToGrid/>
        <w:spacing w:line="480" w:lineRule="auto"/>
        <w:jc w:val="right"/>
        <w:textAlignment w:val="auto"/>
        <w:rPr>
          <w:rFonts w:hint="default" w:cs="Times New Roman"/>
          <w:b/>
          <w:bCs w:val="0"/>
          <w:iCs w:val="0"/>
          <w:color w:val="auto"/>
          <w:sz w:val="24"/>
          <w:szCs w:val="24"/>
          <w:highlight w:val="none"/>
          <w:lang w:val="en-US" w:eastAsia="zh-CN"/>
        </w:rPr>
      </w:pPr>
      <w:r>
        <w:rPr>
          <w:rFonts w:hint="eastAsia" w:cs="Times New Roman"/>
          <w:b/>
          <w:bCs w:val="0"/>
          <w:iCs w:val="0"/>
          <w:color w:val="auto"/>
          <w:sz w:val="24"/>
          <w:szCs w:val="24"/>
          <w:highlight w:val="none"/>
          <w:lang w:val="en-US" w:eastAsia="zh-CN"/>
        </w:rPr>
        <w:t xml:space="preserve">申请单位（盖章）：           </w:t>
      </w:r>
    </w:p>
    <w:p w14:paraId="4552029C">
      <w:pPr>
        <w:keepNext w:val="0"/>
        <w:keepLines w:val="0"/>
        <w:pageBreakBefore w:val="0"/>
        <w:widowControl w:val="0"/>
        <w:tabs>
          <w:tab w:val="left" w:pos="5920"/>
        </w:tabs>
        <w:kinsoku/>
        <w:wordWrap w:val="0"/>
        <w:overflowPunct/>
        <w:topLinePunct w:val="0"/>
        <w:autoSpaceDE/>
        <w:autoSpaceDN/>
        <w:bidi w:val="0"/>
        <w:adjustRightInd/>
        <w:snapToGrid/>
        <w:spacing w:line="480" w:lineRule="auto"/>
        <w:jc w:val="right"/>
        <w:textAlignment w:val="auto"/>
        <w:rPr>
          <w:rFonts w:hint="default" w:cs="Times New Roman"/>
          <w:b/>
          <w:bCs w:val="0"/>
          <w:iCs w:val="0"/>
          <w:color w:val="auto"/>
          <w:sz w:val="24"/>
          <w:szCs w:val="24"/>
          <w:highlight w:val="none"/>
          <w:lang w:val="en-US" w:eastAsia="zh-CN"/>
        </w:rPr>
      </w:pPr>
      <w:r>
        <w:rPr>
          <w:rFonts w:hint="eastAsia" w:cs="Times New Roman"/>
          <w:b/>
          <w:bCs w:val="0"/>
          <w:iCs w:val="0"/>
          <w:color w:val="auto"/>
          <w:sz w:val="24"/>
          <w:szCs w:val="24"/>
          <w:highlight w:val="none"/>
          <w:lang w:val="en-US" w:eastAsia="zh-CN"/>
        </w:rPr>
        <w:t xml:space="preserve">    法定代表人（盖章或签字）：          </w:t>
      </w:r>
    </w:p>
    <w:p w14:paraId="2E637189">
      <w:pPr>
        <w:keepNext w:val="0"/>
        <w:keepLines w:val="0"/>
        <w:pageBreakBefore w:val="0"/>
        <w:widowControl w:val="0"/>
        <w:tabs>
          <w:tab w:val="left" w:pos="5920"/>
        </w:tabs>
        <w:kinsoku/>
        <w:wordWrap/>
        <w:overflowPunct/>
        <w:topLinePunct w:val="0"/>
        <w:autoSpaceDE/>
        <w:autoSpaceDN/>
        <w:bidi w:val="0"/>
        <w:adjustRightInd/>
        <w:snapToGrid/>
        <w:spacing w:line="480" w:lineRule="auto"/>
        <w:jc w:val="right"/>
        <w:textAlignment w:val="auto"/>
        <w:rPr>
          <w:rFonts w:hint="eastAsia"/>
          <w:b/>
          <w:bCs w:val="0"/>
          <w:iCs w:val="0"/>
          <w:color w:val="auto"/>
          <w:highlight w:val="none"/>
          <w:lang w:val="en-US" w:eastAsia="zh-CN"/>
        </w:rPr>
      </w:pPr>
      <w:r>
        <w:rPr>
          <w:rFonts w:hint="eastAsia"/>
          <w:b/>
          <w:bCs w:val="0"/>
          <w:iCs w:val="0"/>
          <w:color w:val="auto"/>
          <w:highlight w:val="none"/>
          <w:lang w:val="en-US" w:eastAsia="zh-CN"/>
        </w:rPr>
        <w:t>2026年1月9日</w:t>
      </w:r>
    </w:p>
    <w:p w14:paraId="55B4B409">
      <w:pPr>
        <w:rPr>
          <w:rFonts w:hint="eastAsia"/>
          <w:b/>
          <w:bCs w:val="0"/>
          <w:iCs w:val="0"/>
          <w:color w:val="auto"/>
          <w:highlight w:val="none"/>
          <w:lang w:val="en-US" w:eastAsia="zh-CN"/>
        </w:rPr>
      </w:pPr>
      <w:r>
        <w:rPr>
          <w:rFonts w:hint="eastAsia"/>
          <w:b/>
          <w:bCs w:val="0"/>
          <w:iCs w:val="0"/>
          <w:color w:val="auto"/>
          <w:highlight w:val="none"/>
          <w:lang w:val="en-US" w:eastAsia="zh-CN"/>
        </w:rPr>
        <w:br w:type="page"/>
      </w:r>
    </w:p>
    <w:p w14:paraId="38582F17">
      <w:pPr>
        <w:pStyle w:val="37"/>
        <w:bidi w:val="0"/>
      </w:pPr>
      <w:bookmarkStart w:id="73" w:name="_Toc11441"/>
      <w:r>
        <w:drawing>
          <wp:anchor distT="0" distB="0" distL="114300" distR="114300" simplePos="0" relativeHeight="251678720" behindDoc="0" locked="0" layoutInCell="1" allowOverlap="1">
            <wp:simplePos x="0" y="0"/>
            <wp:positionH relativeFrom="column">
              <wp:posOffset>-64135</wp:posOffset>
            </wp:positionH>
            <wp:positionV relativeFrom="paragraph">
              <wp:posOffset>253365</wp:posOffset>
            </wp:positionV>
            <wp:extent cx="6019800" cy="6538595"/>
            <wp:effectExtent l="0" t="0" r="0" b="14605"/>
            <wp:wrapNone/>
            <wp:docPr id="1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7"/>
                    <pic:cNvPicPr>
                      <a:picLocks noChangeAspect="1"/>
                    </pic:cNvPicPr>
                  </pic:nvPicPr>
                  <pic:blipFill>
                    <a:blip r:embed="rId70"/>
                    <a:stretch>
                      <a:fillRect/>
                    </a:stretch>
                  </pic:blipFill>
                  <pic:spPr>
                    <a:xfrm>
                      <a:off x="0" y="0"/>
                      <a:ext cx="6019800" cy="6538595"/>
                    </a:xfrm>
                    <a:prstGeom prst="rect">
                      <a:avLst/>
                    </a:prstGeom>
                    <a:noFill/>
                    <a:ln>
                      <a:noFill/>
                    </a:ln>
                  </pic:spPr>
                </pic:pic>
              </a:graphicData>
            </a:graphic>
          </wp:anchor>
        </w:drawing>
      </w:r>
      <w:r>
        <w:t xml:space="preserve">附件 </w:t>
      </w:r>
      <w:r>
        <w:fldChar w:fldCharType="begin"/>
      </w:r>
      <w:r>
        <w:instrText xml:space="preserve"> SEQ 附件 \* ARABIC </w:instrText>
      </w:r>
      <w:r>
        <w:fldChar w:fldCharType="separate"/>
      </w:r>
      <w:r>
        <w:t>26</w:t>
      </w:r>
      <w:r>
        <w:fldChar w:fldCharType="end"/>
      </w:r>
      <w:r>
        <w:rPr>
          <w:rFonts w:hint="eastAsia"/>
          <w:lang w:val="en-US" w:eastAsia="zh-CN"/>
        </w:rPr>
        <w:t xml:space="preserve">  排污权取得事宜承诺书</w:t>
      </w:r>
      <w:bookmarkEnd w:id="73"/>
    </w:p>
    <w:p w14:paraId="6BE1E139">
      <w:pPr>
        <w:jc w:val="center"/>
        <w:rPr>
          <w:rFonts w:hint="eastAsia"/>
          <w:b/>
          <w:bCs/>
          <w:color w:val="000000"/>
          <w:sz w:val="52"/>
          <w:szCs w:val="52"/>
          <w:lang w:val="en-US" w:eastAsia="zh-CN"/>
        </w:rPr>
      </w:pPr>
      <w:r>
        <w:rPr>
          <w:rFonts w:hint="eastAsia"/>
          <w:b/>
          <w:bCs/>
          <w:color w:val="000000"/>
          <w:sz w:val="52"/>
          <w:szCs w:val="52"/>
          <w:lang w:val="en-US" w:eastAsia="zh-CN"/>
        </w:rPr>
        <w:t>承诺函</w:t>
      </w:r>
    </w:p>
    <w:p w14:paraId="21CFB788">
      <w:pPr>
        <w:bidi w:val="0"/>
        <w:rPr>
          <w:rFonts w:hint="default"/>
          <w:lang w:val="en-US" w:eastAsia="zh-CN"/>
        </w:rPr>
      </w:pPr>
    </w:p>
    <w:p w14:paraId="37E0A3DD">
      <w:pPr>
        <w:rPr>
          <w:rFonts w:hint="default" w:ascii="Times New Roman" w:hAnsi="Times New Roman" w:cs="Times New Roman"/>
          <w:color w:val="000000"/>
          <w:sz w:val="28"/>
          <w:szCs w:val="28"/>
          <w:lang w:eastAsia="zh-CN"/>
        </w:rPr>
      </w:pPr>
      <w:r>
        <w:rPr>
          <w:rFonts w:hint="eastAsia" w:cs="Times New Roman"/>
          <w:color w:val="000000"/>
          <w:sz w:val="28"/>
          <w:szCs w:val="28"/>
          <w:lang w:eastAsia="zh-CN"/>
        </w:rPr>
        <w:t>福州市福清生态环境局</w:t>
      </w:r>
      <w:r>
        <w:rPr>
          <w:rFonts w:hint="default" w:ascii="Times New Roman" w:hAnsi="Times New Roman" w:cs="Times New Roman"/>
          <w:color w:val="000000"/>
          <w:sz w:val="28"/>
          <w:szCs w:val="28"/>
          <w:lang w:eastAsia="zh-CN"/>
        </w:rPr>
        <w:t>：</w:t>
      </w:r>
    </w:p>
    <w:p w14:paraId="1BDCB4B9">
      <w:pPr>
        <w:spacing w:line="360" w:lineRule="auto"/>
        <w:rPr>
          <w:rFonts w:hint="eastAsia" w:ascii="Times New Roman" w:hAnsi="Times New Roman" w:eastAsia="宋体" w:cs="Times New Roman"/>
          <w:color w:val="000000"/>
          <w:sz w:val="28"/>
          <w:szCs w:val="22"/>
          <w:lang w:val="en-US" w:eastAsia="zh-CN"/>
        </w:rPr>
      </w:pPr>
      <w:r>
        <w:rPr>
          <w:rFonts w:hint="eastAsia" w:ascii="Times New Roman" w:hAnsi="Times New Roman" w:eastAsia="宋体" w:cs="Times New Roman"/>
          <w:color w:val="000000"/>
          <w:sz w:val="28"/>
          <w:szCs w:val="22"/>
          <w:lang w:val="en-US" w:eastAsia="en-US"/>
        </w:rPr>
        <w:t>我司</w:t>
      </w:r>
      <w:r>
        <w:rPr>
          <w:rFonts w:hint="eastAsia" w:ascii="Times New Roman" w:hAnsi="Times New Roman" w:eastAsia="宋体" w:cs="Times New Roman"/>
          <w:color w:val="000000"/>
          <w:sz w:val="28"/>
          <w:szCs w:val="22"/>
          <w:lang w:val="en-US" w:eastAsia="zh-CN"/>
        </w:rPr>
        <w:t>福清市三合电子科技有限公司年新增塑胶件25万套、钣金件5万套项目</w:t>
      </w:r>
      <w:r>
        <w:rPr>
          <w:rFonts w:hint="eastAsia" w:ascii="Times New Roman" w:hAnsi="Times New Roman" w:eastAsia="宋体" w:cs="Times New Roman"/>
          <w:color w:val="000000"/>
          <w:sz w:val="28"/>
          <w:szCs w:val="22"/>
          <w:lang w:val="en-US" w:eastAsia="en-US"/>
        </w:rPr>
        <w:t>位于</w:t>
      </w:r>
      <w:r>
        <w:rPr>
          <w:rFonts w:hint="eastAsia" w:cs="Times New Roman"/>
          <w:color w:val="000000"/>
          <w:sz w:val="28"/>
          <w:szCs w:val="22"/>
          <w:u w:val="none"/>
          <w:lang w:val="en-US" w:eastAsia="zh-CN"/>
        </w:rPr>
        <w:t>福建省福州市福清市阳下街道玉岭村147号车间2三楼</w:t>
      </w:r>
      <w:r>
        <w:rPr>
          <w:rFonts w:hint="eastAsia" w:ascii="Times New Roman" w:hAnsi="Times New Roman" w:eastAsia="宋体" w:cs="Times New Roman"/>
          <w:color w:val="000000"/>
          <w:sz w:val="28"/>
          <w:szCs w:val="22"/>
          <w:lang w:val="en-US" w:eastAsia="en-US"/>
        </w:rPr>
        <w:t>。年加工铝合金20万套、塑胶件30万套、钣金件10万套</w:t>
      </w:r>
      <w:r>
        <w:rPr>
          <w:rFonts w:hint="eastAsia" w:ascii="Times New Roman" w:hAnsi="Times New Roman" w:eastAsia="宋体" w:cs="Times New Roman"/>
          <w:color w:val="000000"/>
          <w:sz w:val="28"/>
          <w:szCs w:val="22"/>
          <w:lang w:val="en-US" w:eastAsia="zh-CN"/>
        </w:rPr>
        <w:t>。</w:t>
      </w:r>
    </w:p>
    <w:p w14:paraId="57BC6D82">
      <w:pPr>
        <w:spacing w:line="360" w:lineRule="auto"/>
        <w:ind w:firstLine="560" w:firstLineChars="200"/>
        <w:rPr>
          <w:rFonts w:hint="eastAsia" w:ascii="Times New Roman" w:hAnsi="Times New Roman" w:eastAsia="宋体" w:cs="Times New Roman"/>
          <w:color w:val="000000"/>
          <w:sz w:val="28"/>
          <w:szCs w:val="22"/>
          <w:lang w:val="en-US" w:eastAsia="en-US"/>
        </w:rPr>
      </w:pPr>
      <w:r>
        <w:rPr>
          <w:rFonts w:hint="eastAsia" w:ascii="Times New Roman" w:hAnsi="Times New Roman" w:eastAsia="宋体" w:cs="Times New Roman"/>
          <w:color w:val="000000"/>
          <w:sz w:val="28"/>
          <w:szCs w:val="22"/>
          <w:lang w:val="en-US" w:eastAsia="en-US"/>
        </w:rPr>
        <w:t>根据</w:t>
      </w:r>
      <w:r>
        <w:rPr>
          <w:rFonts w:hint="eastAsia" w:cs="Times New Roman"/>
          <w:color w:val="000000"/>
          <w:sz w:val="28"/>
          <w:szCs w:val="22"/>
          <w:lang w:val="en-US" w:eastAsia="zh-CN"/>
        </w:rPr>
        <w:t>福州朴诚至信环保科技有限公司</w:t>
      </w:r>
      <w:r>
        <w:rPr>
          <w:rFonts w:hint="eastAsia" w:ascii="Times New Roman" w:hAnsi="Times New Roman" w:eastAsia="宋体" w:cs="Times New Roman"/>
          <w:color w:val="000000"/>
          <w:sz w:val="28"/>
          <w:szCs w:val="22"/>
          <w:lang w:val="en-US" w:eastAsia="en-US"/>
        </w:rPr>
        <w:t>编制《</w:t>
      </w:r>
      <w:r>
        <w:rPr>
          <w:rFonts w:hint="eastAsia" w:ascii="Times New Roman" w:hAnsi="Times New Roman" w:eastAsia="宋体" w:cs="Times New Roman"/>
          <w:color w:val="000000"/>
          <w:sz w:val="28"/>
          <w:szCs w:val="22"/>
          <w:lang w:val="en-US" w:eastAsia="zh-CN"/>
        </w:rPr>
        <w:t>福清市三合电子科技有限公司年新增塑胶件25万套、钣金件5万套项目</w:t>
      </w:r>
      <w:r>
        <w:rPr>
          <w:rFonts w:hint="eastAsia" w:ascii="Times New Roman" w:hAnsi="Times New Roman" w:eastAsia="宋体" w:cs="Times New Roman"/>
          <w:color w:val="000000"/>
          <w:sz w:val="28"/>
          <w:szCs w:val="22"/>
          <w:lang w:val="en-US" w:eastAsia="en-US"/>
        </w:rPr>
        <w:t>生产线环境影响报告表》</w:t>
      </w:r>
      <w:r>
        <w:rPr>
          <w:rFonts w:hint="eastAsia" w:cs="Times New Roman"/>
          <w:color w:val="000000"/>
          <w:sz w:val="28"/>
          <w:szCs w:val="22"/>
          <w:lang w:val="en-US" w:eastAsia="zh-CN"/>
        </w:rPr>
        <w:t>，</w:t>
      </w:r>
      <w:r>
        <w:rPr>
          <w:rFonts w:hint="eastAsia" w:ascii="Times New Roman" w:hAnsi="Times New Roman" w:eastAsia="宋体" w:cs="Times New Roman"/>
          <w:color w:val="000000"/>
          <w:sz w:val="28"/>
          <w:szCs w:val="22"/>
          <w:lang w:val="en-US" w:eastAsia="en-US"/>
        </w:rPr>
        <w:t>本项目主要污染物为化学需氧量、氨氮，</w:t>
      </w:r>
      <w:r>
        <w:rPr>
          <w:rFonts w:hint="default" w:ascii="Times New Roman" w:hAnsi="Times New Roman" w:eastAsia="宋体" w:cs="Times New Roman"/>
          <w:color w:val="000000"/>
          <w:sz w:val="28"/>
          <w:szCs w:val="22"/>
          <w:lang w:val="en-US" w:eastAsia="en-US"/>
        </w:rPr>
        <w:t>VOCs</w:t>
      </w:r>
      <w:r>
        <w:rPr>
          <w:rFonts w:hint="eastAsia" w:cs="Times New Roman"/>
          <w:color w:val="000000"/>
          <w:sz w:val="28"/>
          <w:szCs w:val="22"/>
          <w:lang w:val="en-US" w:eastAsia="zh-CN"/>
        </w:rPr>
        <w:t>（以</w:t>
      </w:r>
      <w:r>
        <w:rPr>
          <w:rFonts w:hint="eastAsia" w:ascii="Times New Roman" w:hAnsi="Times New Roman" w:eastAsia="宋体" w:cs="Times New Roman"/>
          <w:color w:val="000000"/>
          <w:sz w:val="28"/>
          <w:szCs w:val="22"/>
          <w:lang w:val="en-US" w:eastAsia="en-US"/>
        </w:rPr>
        <w:t>非甲烷总烃</w:t>
      </w:r>
      <w:r>
        <w:rPr>
          <w:rFonts w:hint="eastAsia" w:cs="Times New Roman"/>
          <w:color w:val="000000"/>
          <w:sz w:val="28"/>
          <w:szCs w:val="22"/>
          <w:lang w:val="en-US" w:eastAsia="zh-CN"/>
        </w:rPr>
        <w:t>计），</w:t>
      </w:r>
      <w:r>
        <w:rPr>
          <w:rFonts w:hint="eastAsia" w:ascii="Times New Roman" w:hAnsi="Times New Roman" w:eastAsia="宋体" w:cs="Times New Roman"/>
          <w:color w:val="000000"/>
          <w:sz w:val="28"/>
          <w:szCs w:val="22"/>
          <w:lang w:val="en-US" w:eastAsia="en-US"/>
        </w:rPr>
        <w:t>计算结果为：</w:t>
      </w:r>
    </w:p>
    <w:p w14:paraId="790E79F8">
      <w:pPr>
        <w:spacing w:line="360" w:lineRule="auto"/>
        <w:ind w:firstLine="560" w:firstLineChars="200"/>
        <w:rPr>
          <w:rFonts w:hint="eastAsia" w:ascii="Times New Roman" w:hAnsi="Times New Roman" w:eastAsia="宋体" w:cs="Times New Roman"/>
          <w:color w:val="000000"/>
          <w:sz w:val="28"/>
          <w:szCs w:val="22"/>
          <w:lang w:val="en-US" w:eastAsia="zh-CN"/>
        </w:rPr>
      </w:pPr>
      <w:r>
        <w:rPr>
          <w:rFonts w:hint="default" w:ascii="Times New Roman" w:hAnsi="Times New Roman" w:eastAsia="宋体" w:cs="Times New Roman"/>
          <w:color w:val="000000"/>
          <w:sz w:val="28"/>
          <w:szCs w:val="22"/>
          <w:lang w:val="en-US" w:eastAsia="en-US"/>
        </w:rPr>
        <w:t>VOCs</w:t>
      </w:r>
      <w:r>
        <w:rPr>
          <w:rFonts w:hint="eastAsia" w:cs="Times New Roman"/>
          <w:color w:val="000000"/>
          <w:sz w:val="28"/>
          <w:szCs w:val="22"/>
          <w:lang w:val="en-US" w:eastAsia="zh-CN"/>
        </w:rPr>
        <w:t>（以</w:t>
      </w:r>
      <w:r>
        <w:rPr>
          <w:rFonts w:hint="eastAsia" w:ascii="Times New Roman" w:hAnsi="Times New Roman" w:eastAsia="宋体" w:cs="Times New Roman"/>
          <w:color w:val="000000"/>
          <w:sz w:val="28"/>
          <w:szCs w:val="22"/>
          <w:lang w:val="en-US" w:eastAsia="en-US"/>
        </w:rPr>
        <w:t>非甲烷总烃</w:t>
      </w:r>
      <w:r>
        <w:rPr>
          <w:rFonts w:hint="eastAsia" w:cs="Times New Roman"/>
          <w:color w:val="000000"/>
          <w:sz w:val="28"/>
          <w:szCs w:val="22"/>
          <w:lang w:val="en-US" w:eastAsia="zh-CN"/>
        </w:rPr>
        <w:t>计）</w:t>
      </w:r>
      <w:r>
        <w:rPr>
          <w:rFonts w:hint="eastAsia" w:ascii="Times New Roman" w:hAnsi="Times New Roman" w:eastAsia="宋体" w:cs="Times New Roman"/>
          <w:color w:val="000000"/>
          <w:sz w:val="28"/>
          <w:szCs w:val="22"/>
          <w:lang w:val="en-US" w:eastAsia="zh-CN"/>
        </w:rPr>
        <w:t>排放总量为</w:t>
      </w:r>
      <w:r>
        <w:rPr>
          <w:rFonts w:hint="eastAsia" w:cs="Times New Roman"/>
          <w:color w:val="000000"/>
          <w:sz w:val="28"/>
          <w:szCs w:val="22"/>
          <w:lang w:val="en-US" w:eastAsia="zh-CN"/>
        </w:rPr>
        <w:t>0.4725</w:t>
      </w:r>
      <w:r>
        <w:rPr>
          <w:rFonts w:hint="default" w:ascii="Times New Roman" w:hAnsi="Times New Roman" w:eastAsia="宋体" w:cs="Times New Roman"/>
          <w:color w:val="000000"/>
          <w:sz w:val="28"/>
          <w:szCs w:val="22"/>
          <w:lang w:val="en-US" w:eastAsia="zh-CN"/>
        </w:rPr>
        <w:t>t/a</w:t>
      </w:r>
      <w:r>
        <w:rPr>
          <w:rFonts w:hint="eastAsia" w:ascii="Times New Roman" w:hAnsi="Times New Roman" w:eastAsia="宋体" w:cs="Times New Roman"/>
          <w:color w:val="000000"/>
          <w:sz w:val="28"/>
          <w:szCs w:val="22"/>
          <w:lang w:val="en-US" w:eastAsia="zh-CN"/>
        </w:rPr>
        <w:t>。</w:t>
      </w:r>
    </w:p>
    <w:p w14:paraId="7D4196C3">
      <w:pPr>
        <w:spacing w:line="360" w:lineRule="auto"/>
        <w:ind w:firstLine="560" w:firstLineChars="200"/>
        <w:rPr>
          <w:rFonts w:hint="eastAsia" w:ascii="Times New Roman" w:hAnsi="Times New Roman" w:eastAsia="宋体" w:cs="Times New Roman"/>
          <w:color w:val="000000"/>
          <w:sz w:val="28"/>
          <w:szCs w:val="22"/>
          <w:lang w:val="en-US" w:eastAsia="en-US"/>
        </w:rPr>
      </w:pPr>
      <w:r>
        <w:rPr>
          <w:rFonts w:hint="eastAsia" w:ascii="Times New Roman" w:hAnsi="Times New Roman" w:eastAsia="宋体" w:cs="Times New Roman"/>
          <w:color w:val="000000"/>
          <w:sz w:val="28"/>
          <w:szCs w:val="22"/>
          <w:lang w:val="en-US" w:eastAsia="en-US"/>
        </w:rPr>
        <w:t>我单位承诺本</w:t>
      </w:r>
      <w:r>
        <w:rPr>
          <w:rFonts w:hint="eastAsia" w:cs="Times New Roman"/>
          <w:color w:val="000000"/>
          <w:sz w:val="28"/>
          <w:szCs w:val="22"/>
          <w:lang w:val="en-US" w:eastAsia="zh-CN"/>
        </w:rPr>
        <w:t>扩建</w:t>
      </w:r>
      <w:r>
        <w:rPr>
          <w:rFonts w:hint="eastAsia" w:ascii="Times New Roman" w:hAnsi="Times New Roman" w:eastAsia="宋体" w:cs="Times New Roman"/>
          <w:color w:val="000000"/>
          <w:sz w:val="28"/>
          <w:szCs w:val="22"/>
          <w:lang w:val="en-US" w:eastAsia="en-US"/>
        </w:rPr>
        <w:t>项目投产前，上述排放污染物通过总量确认后合法取得排污权指标并依法申领排污许可证。</w:t>
      </w:r>
    </w:p>
    <w:p w14:paraId="419FF1FC">
      <w:pPr>
        <w:spacing w:line="360" w:lineRule="auto"/>
        <w:ind w:firstLine="560" w:firstLineChars="200"/>
        <w:rPr>
          <w:rFonts w:hint="eastAsia" w:ascii="Times New Roman" w:hAnsi="Times New Roman" w:eastAsia="宋体" w:cs="Times New Roman"/>
          <w:color w:val="000000"/>
          <w:sz w:val="28"/>
          <w:szCs w:val="22"/>
          <w:lang w:val="en-US" w:eastAsia="en-US"/>
        </w:rPr>
      </w:pPr>
      <w:r>
        <w:rPr>
          <w:rFonts w:hint="eastAsia" w:ascii="Times New Roman" w:hAnsi="Times New Roman" w:eastAsia="宋体" w:cs="Times New Roman"/>
          <w:color w:val="000000"/>
          <w:sz w:val="28"/>
          <w:szCs w:val="22"/>
          <w:lang w:val="en-US" w:eastAsia="en-US"/>
        </w:rPr>
        <w:t>特此承诺</w:t>
      </w:r>
    </w:p>
    <w:p w14:paraId="64B02210">
      <w:pPr>
        <w:pStyle w:val="12"/>
        <w:rPr>
          <w:rFonts w:hint="eastAsia"/>
          <w:color w:val="000000"/>
          <w:lang w:val="en-US" w:eastAsia="en-US"/>
        </w:rPr>
      </w:pPr>
    </w:p>
    <w:p w14:paraId="4C8DDD97">
      <w:pPr>
        <w:bidi w:val="0"/>
        <w:rPr>
          <w:rFonts w:hint="default"/>
          <w:lang w:val="en-US" w:eastAsia="zh-CN"/>
        </w:rPr>
      </w:pPr>
    </w:p>
    <w:p w14:paraId="1171C450">
      <w:pPr>
        <w:spacing w:line="360" w:lineRule="auto"/>
        <w:ind w:firstLine="560" w:firstLineChars="200"/>
        <w:jc w:val="right"/>
        <w:rPr>
          <w:rFonts w:hint="eastAsia" w:ascii="Times New Roman" w:hAnsi="Times New Roman" w:eastAsia="宋体" w:cs="Times New Roman"/>
          <w:color w:val="000000"/>
          <w:sz w:val="28"/>
          <w:szCs w:val="28"/>
          <w:lang w:val="en-US" w:eastAsia="zh-CN"/>
        </w:rPr>
      </w:pPr>
    </w:p>
    <w:p w14:paraId="75433E56">
      <w:pPr>
        <w:spacing w:line="360" w:lineRule="auto"/>
        <w:ind w:firstLine="560" w:firstLineChars="200"/>
        <w:jc w:val="right"/>
        <w:rPr>
          <w:rFonts w:hint="default" w:ascii="Times New Roman" w:hAnsi="Times New Roman" w:eastAsia="宋体" w:cs="Times New Roman"/>
          <w:color w:val="000000"/>
          <w:sz w:val="28"/>
          <w:szCs w:val="28"/>
          <w:lang w:val="en-US" w:eastAsia="zh-CN"/>
        </w:rPr>
      </w:pPr>
    </w:p>
    <w:p w14:paraId="502CD76C">
      <w:pPr>
        <w:spacing w:line="360" w:lineRule="auto"/>
        <w:ind w:firstLine="560" w:firstLineChars="200"/>
        <w:jc w:val="right"/>
        <w:rPr>
          <w:rFonts w:hint="eastAsia" w:ascii="Times New Roman" w:hAnsi="Times New Roman" w:eastAsia="宋体" w:cs="Times New Roman"/>
          <w:color w:val="000000"/>
          <w:sz w:val="28"/>
          <w:szCs w:val="28"/>
          <w:lang w:val="en-US" w:eastAsia="zh-CN"/>
        </w:rPr>
      </w:pPr>
      <w:r>
        <w:rPr>
          <w:rFonts w:hint="eastAsia" w:ascii="Times New Roman" w:hAnsi="Times New Roman" w:eastAsia="宋体" w:cs="Times New Roman"/>
          <w:color w:val="000000"/>
          <w:sz w:val="28"/>
          <w:szCs w:val="28"/>
          <w:lang w:val="en-US" w:eastAsia="zh-CN"/>
        </w:rPr>
        <w:t>2026年 1 月 9 日</w:t>
      </w:r>
    </w:p>
    <w:p w14:paraId="121F635F">
      <w:pPr>
        <w:ind w:left="0" w:leftChars="0" w:firstLine="0" w:firstLineChars="0"/>
        <w:rPr>
          <w:rFonts w:hint="default" w:ascii="Times New Roman" w:hAnsi="Times New Roman" w:eastAsia="宋体" w:cs="Times New Roman"/>
          <w:b/>
          <w:bCs/>
          <w:color w:val="auto"/>
          <w:kern w:val="2"/>
          <w:sz w:val="32"/>
          <w:szCs w:val="32"/>
          <w:lang w:val="en-US" w:eastAsia="zh-CN" w:bidi="ar-SA"/>
        </w:rPr>
      </w:pPr>
    </w:p>
    <w:sectPr>
      <w:pgSz w:w="11906" w:h="16838"/>
      <w:pgMar w:top="1418"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28D141">
    <w:pPr>
      <w:tabs>
        <w:tab w:val="center" w:pos="4153"/>
        <w:tab w:val="right" w:pos="8306"/>
      </w:tabs>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CBE63C">
    <w:pPr>
      <w:tabs>
        <w:tab w:val="center" w:pos="4153"/>
        <w:tab w:val="right" w:pos="8306"/>
      </w:tabs>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66" name="文本框 20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D5EE765">
                          <w:pPr>
                            <w:tabs>
                              <w:tab w:val="center" w:pos="4153"/>
                              <w:tab w:val="right" w:pos="8306"/>
                            </w:tabs>
                            <w:rPr>
                              <w:rStyle w:val="33"/>
                              <w:rFonts w:ascii="宋体" w:hAnsi="宋体"/>
                              <w:sz w:val="28"/>
                              <w:szCs w:val="28"/>
                            </w:rPr>
                          </w:pPr>
                          <w:r>
                            <w:rPr>
                              <w:rStyle w:val="33"/>
                              <w:rFonts w:hint="eastAsia" w:ascii="宋体" w:hAnsi="宋体"/>
                              <w:sz w:val="28"/>
                              <w:szCs w:val="28"/>
                            </w:rPr>
                            <w:t>—</w:t>
                          </w:r>
                          <w:r>
                            <w:rPr>
                              <w:rStyle w:val="33"/>
                              <w:rFonts w:hint="eastAsia" w:ascii="宋体" w:hAnsi="宋体"/>
                              <w:sz w:val="20"/>
                            </w:rPr>
                            <w:t xml:space="preserve">  </w:t>
                          </w:r>
                          <w:r>
                            <w:rPr>
                              <w:rStyle w:val="33"/>
                              <w:rFonts w:ascii="宋体" w:hAnsi="宋体"/>
                              <w:sz w:val="26"/>
                              <w:szCs w:val="26"/>
                            </w:rPr>
                            <w:fldChar w:fldCharType="begin"/>
                          </w:r>
                          <w:r>
                            <w:rPr>
                              <w:rStyle w:val="33"/>
                              <w:rFonts w:ascii="宋体" w:hAnsi="宋体"/>
                              <w:sz w:val="26"/>
                              <w:szCs w:val="26"/>
                            </w:rPr>
                            <w:instrText xml:space="preserve">PAGE  </w:instrText>
                          </w:r>
                          <w:r>
                            <w:rPr>
                              <w:rStyle w:val="33"/>
                              <w:rFonts w:ascii="宋体" w:hAnsi="宋体"/>
                              <w:sz w:val="26"/>
                              <w:szCs w:val="26"/>
                            </w:rPr>
                            <w:fldChar w:fldCharType="separate"/>
                          </w:r>
                          <w:r>
                            <w:rPr>
                              <w:rStyle w:val="33"/>
                              <w:rFonts w:ascii="宋体" w:hAnsi="宋体"/>
                              <w:sz w:val="26"/>
                              <w:szCs w:val="26"/>
                            </w:rPr>
                            <w:t>42</w:t>
                          </w:r>
                          <w:r>
                            <w:rPr>
                              <w:rStyle w:val="33"/>
                              <w:rFonts w:ascii="宋体" w:hAnsi="宋体"/>
                              <w:sz w:val="26"/>
                              <w:szCs w:val="26"/>
                            </w:rPr>
                            <w:fldChar w:fldCharType="end"/>
                          </w:r>
                          <w:r>
                            <w:rPr>
                              <w:rStyle w:val="33"/>
                              <w:rFonts w:hint="eastAsia" w:ascii="宋体" w:hAnsi="宋体"/>
                              <w:sz w:val="20"/>
                            </w:rPr>
                            <w:t xml:space="preserve">  </w:t>
                          </w:r>
                          <w:r>
                            <w:rPr>
                              <w:rStyle w:val="33"/>
                              <w:rFonts w:hint="eastAsia" w:ascii="宋体" w:hAnsi="宋体"/>
                              <w:sz w:val="28"/>
                              <w:szCs w:val="28"/>
                            </w:rPr>
                            <w:t>—</w:t>
                          </w:r>
                        </w:p>
                      </w:txbxContent>
                    </wps:txbx>
                    <wps:bodyPr wrap="none" lIns="0" tIns="0" rIns="0" bIns="0" upright="0">
                      <a:spAutoFit/>
                    </wps:bodyPr>
                  </wps:wsp>
                </a:graphicData>
              </a:graphic>
            </wp:anchor>
          </w:drawing>
        </mc:Choice>
        <mc:Fallback>
          <w:pict>
            <v:shape id="文本框 2049"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D1RLQazAEAAJ4DAAAOAAAAAAAAAAEAIAAAAB4BAABkcnMvZTJv&#10;RG9jLnhtbFBLBQYAAAAABgAGAFkBAABcBQAAAAA=&#10;">
              <v:fill on="f" focussize="0,0"/>
              <v:stroke on="f"/>
              <v:imagedata o:title=""/>
              <o:lock v:ext="edit" aspectratio="f"/>
              <v:textbox inset="0mm,0mm,0mm,0mm" style="mso-fit-shape-to-text:t;">
                <w:txbxContent>
                  <w:p w14:paraId="0D5EE765">
                    <w:pPr>
                      <w:tabs>
                        <w:tab w:val="center" w:pos="4153"/>
                        <w:tab w:val="right" w:pos="8306"/>
                      </w:tabs>
                      <w:rPr>
                        <w:rStyle w:val="33"/>
                        <w:rFonts w:ascii="宋体" w:hAnsi="宋体"/>
                        <w:sz w:val="28"/>
                        <w:szCs w:val="28"/>
                      </w:rPr>
                    </w:pPr>
                    <w:r>
                      <w:rPr>
                        <w:rStyle w:val="33"/>
                        <w:rFonts w:hint="eastAsia" w:ascii="宋体" w:hAnsi="宋体"/>
                        <w:sz w:val="28"/>
                        <w:szCs w:val="28"/>
                      </w:rPr>
                      <w:t>—</w:t>
                    </w:r>
                    <w:r>
                      <w:rPr>
                        <w:rStyle w:val="33"/>
                        <w:rFonts w:hint="eastAsia" w:ascii="宋体" w:hAnsi="宋体"/>
                        <w:sz w:val="20"/>
                      </w:rPr>
                      <w:t xml:space="preserve">  </w:t>
                    </w:r>
                    <w:r>
                      <w:rPr>
                        <w:rStyle w:val="33"/>
                        <w:rFonts w:ascii="宋体" w:hAnsi="宋体"/>
                        <w:sz w:val="26"/>
                        <w:szCs w:val="26"/>
                      </w:rPr>
                      <w:fldChar w:fldCharType="begin"/>
                    </w:r>
                    <w:r>
                      <w:rPr>
                        <w:rStyle w:val="33"/>
                        <w:rFonts w:ascii="宋体" w:hAnsi="宋体"/>
                        <w:sz w:val="26"/>
                        <w:szCs w:val="26"/>
                      </w:rPr>
                      <w:instrText xml:space="preserve">PAGE  </w:instrText>
                    </w:r>
                    <w:r>
                      <w:rPr>
                        <w:rStyle w:val="33"/>
                        <w:rFonts w:ascii="宋体" w:hAnsi="宋体"/>
                        <w:sz w:val="26"/>
                        <w:szCs w:val="26"/>
                      </w:rPr>
                      <w:fldChar w:fldCharType="separate"/>
                    </w:r>
                    <w:r>
                      <w:rPr>
                        <w:rStyle w:val="33"/>
                        <w:rFonts w:ascii="宋体" w:hAnsi="宋体"/>
                        <w:sz w:val="26"/>
                        <w:szCs w:val="26"/>
                      </w:rPr>
                      <w:t>42</w:t>
                    </w:r>
                    <w:r>
                      <w:rPr>
                        <w:rStyle w:val="33"/>
                        <w:rFonts w:ascii="宋体" w:hAnsi="宋体"/>
                        <w:sz w:val="26"/>
                        <w:szCs w:val="26"/>
                      </w:rPr>
                      <w:fldChar w:fldCharType="end"/>
                    </w:r>
                    <w:r>
                      <w:rPr>
                        <w:rStyle w:val="33"/>
                        <w:rFonts w:hint="eastAsia" w:ascii="宋体" w:hAnsi="宋体"/>
                        <w:sz w:val="20"/>
                      </w:rPr>
                      <w:t xml:space="preserve">  </w:t>
                    </w:r>
                    <w:r>
                      <w:rPr>
                        <w:rStyle w:val="33"/>
                        <w:rFonts w:hint="eastAsia" w:ascii="宋体" w:hAnsi="宋体"/>
                        <w:sz w:val="28"/>
                        <w:szCs w:val="28"/>
                      </w:rPr>
                      <w:t>—</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35368B">
    <w:pPr>
      <w:tabs>
        <w:tab w:val="center" w:pos="4153"/>
        <w:tab w:val="right" w:pos="8306"/>
      </w:tabs>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3" name="文本框 20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69D12D6">
                          <w:pPr>
                            <w:tabs>
                              <w:tab w:val="center" w:pos="4153"/>
                              <w:tab w:val="right" w:pos="8306"/>
                            </w:tabs>
                            <w:rPr>
                              <w:rStyle w:val="33"/>
                              <w:rFonts w:ascii="宋体" w:hAnsi="宋体"/>
                              <w:sz w:val="28"/>
                              <w:szCs w:val="28"/>
                            </w:rPr>
                          </w:pPr>
                          <w:r>
                            <w:rPr>
                              <w:rStyle w:val="33"/>
                              <w:rFonts w:hint="eastAsia" w:ascii="宋体" w:hAnsi="宋体"/>
                              <w:sz w:val="28"/>
                              <w:szCs w:val="28"/>
                            </w:rPr>
                            <w:t>—</w:t>
                          </w:r>
                          <w:r>
                            <w:rPr>
                              <w:rStyle w:val="33"/>
                              <w:rFonts w:hint="eastAsia" w:ascii="宋体" w:hAnsi="宋体"/>
                              <w:sz w:val="20"/>
                            </w:rPr>
                            <w:t xml:space="preserve">  </w:t>
                          </w:r>
                          <w:r>
                            <w:rPr>
                              <w:rStyle w:val="33"/>
                              <w:rFonts w:ascii="宋体" w:hAnsi="宋体"/>
                              <w:sz w:val="26"/>
                              <w:szCs w:val="26"/>
                            </w:rPr>
                            <w:fldChar w:fldCharType="begin"/>
                          </w:r>
                          <w:r>
                            <w:rPr>
                              <w:rStyle w:val="33"/>
                              <w:rFonts w:ascii="宋体" w:hAnsi="宋体"/>
                              <w:sz w:val="26"/>
                              <w:szCs w:val="26"/>
                            </w:rPr>
                            <w:instrText xml:space="preserve">PAGE  </w:instrText>
                          </w:r>
                          <w:r>
                            <w:rPr>
                              <w:rStyle w:val="33"/>
                              <w:rFonts w:ascii="宋体" w:hAnsi="宋体"/>
                              <w:sz w:val="26"/>
                              <w:szCs w:val="26"/>
                            </w:rPr>
                            <w:fldChar w:fldCharType="separate"/>
                          </w:r>
                          <w:r>
                            <w:rPr>
                              <w:rStyle w:val="33"/>
                              <w:rFonts w:ascii="宋体" w:hAnsi="宋体"/>
                              <w:sz w:val="26"/>
                              <w:szCs w:val="26"/>
                            </w:rPr>
                            <w:t>50</w:t>
                          </w:r>
                          <w:r>
                            <w:rPr>
                              <w:rStyle w:val="33"/>
                              <w:rFonts w:ascii="宋体" w:hAnsi="宋体"/>
                              <w:sz w:val="26"/>
                              <w:szCs w:val="26"/>
                            </w:rPr>
                            <w:fldChar w:fldCharType="end"/>
                          </w:r>
                          <w:r>
                            <w:rPr>
                              <w:rStyle w:val="33"/>
                              <w:rFonts w:hint="eastAsia" w:ascii="宋体" w:hAnsi="宋体"/>
                              <w:sz w:val="20"/>
                            </w:rPr>
                            <w:t xml:space="preserve">  </w:t>
                          </w:r>
                          <w:r>
                            <w:rPr>
                              <w:rStyle w:val="33"/>
                              <w:rFonts w:hint="eastAsia" w:ascii="宋体" w:hAnsi="宋体"/>
                              <w:sz w:val="28"/>
                              <w:szCs w:val="28"/>
                            </w:rPr>
                            <w:t>—</w:t>
                          </w:r>
                        </w:p>
                      </w:txbxContent>
                    </wps:txbx>
                    <wps:bodyPr vert="horz" wrap="none" lIns="0" tIns="0" rIns="0" bIns="0" anchor="t" anchorCtr="0" upright="0">
                      <a:spAutoFit/>
                    </wps:bodyPr>
                  </wps:wsp>
                </a:graphicData>
              </a:graphic>
            </wp:anchor>
          </w:drawing>
        </mc:Choice>
        <mc:Fallback>
          <w:pict>
            <v:shape id="文本框 2050"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BHWbur4QEAAMMDAAAOAAAA&#10;AAAAAAEAIAAAAB4BAABkcnMvZTJvRG9jLnhtbFBLBQYAAAAABgAGAFkBAABxBQAAAAA=&#10;">
              <v:fill on="f" focussize="0,0"/>
              <v:stroke on="f"/>
              <v:imagedata o:title=""/>
              <o:lock v:ext="edit" aspectratio="f"/>
              <v:textbox inset="0mm,0mm,0mm,0mm" style="mso-fit-shape-to-text:t;">
                <w:txbxContent>
                  <w:p w14:paraId="269D12D6">
                    <w:pPr>
                      <w:tabs>
                        <w:tab w:val="center" w:pos="4153"/>
                        <w:tab w:val="right" w:pos="8306"/>
                      </w:tabs>
                      <w:rPr>
                        <w:rStyle w:val="33"/>
                        <w:rFonts w:ascii="宋体" w:hAnsi="宋体"/>
                        <w:sz w:val="28"/>
                        <w:szCs w:val="28"/>
                      </w:rPr>
                    </w:pPr>
                    <w:r>
                      <w:rPr>
                        <w:rStyle w:val="33"/>
                        <w:rFonts w:hint="eastAsia" w:ascii="宋体" w:hAnsi="宋体"/>
                        <w:sz w:val="28"/>
                        <w:szCs w:val="28"/>
                      </w:rPr>
                      <w:t>—</w:t>
                    </w:r>
                    <w:r>
                      <w:rPr>
                        <w:rStyle w:val="33"/>
                        <w:rFonts w:hint="eastAsia" w:ascii="宋体" w:hAnsi="宋体"/>
                        <w:sz w:val="20"/>
                      </w:rPr>
                      <w:t xml:space="preserve">  </w:t>
                    </w:r>
                    <w:r>
                      <w:rPr>
                        <w:rStyle w:val="33"/>
                        <w:rFonts w:ascii="宋体" w:hAnsi="宋体"/>
                        <w:sz w:val="26"/>
                        <w:szCs w:val="26"/>
                      </w:rPr>
                      <w:fldChar w:fldCharType="begin"/>
                    </w:r>
                    <w:r>
                      <w:rPr>
                        <w:rStyle w:val="33"/>
                        <w:rFonts w:ascii="宋体" w:hAnsi="宋体"/>
                        <w:sz w:val="26"/>
                        <w:szCs w:val="26"/>
                      </w:rPr>
                      <w:instrText xml:space="preserve">PAGE  </w:instrText>
                    </w:r>
                    <w:r>
                      <w:rPr>
                        <w:rStyle w:val="33"/>
                        <w:rFonts w:ascii="宋体" w:hAnsi="宋体"/>
                        <w:sz w:val="26"/>
                        <w:szCs w:val="26"/>
                      </w:rPr>
                      <w:fldChar w:fldCharType="separate"/>
                    </w:r>
                    <w:r>
                      <w:rPr>
                        <w:rStyle w:val="33"/>
                        <w:rFonts w:ascii="宋体" w:hAnsi="宋体"/>
                        <w:sz w:val="26"/>
                        <w:szCs w:val="26"/>
                      </w:rPr>
                      <w:t>50</w:t>
                    </w:r>
                    <w:r>
                      <w:rPr>
                        <w:rStyle w:val="33"/>
                        <w:rFonts w:ascii="宋体" w:hAnsi="宋体"/>
                        <w:sz w:val="26"/>
                        <w:szCs w:val="26"/>
                      </w:rPr>
                      <w:fldChar w:fldCharType="end"/>
                    </w:r>
                    <w:r>
                      <w:rPr>
                        <w:rStyle w:val="33"/>
                        <w:rFonts w:hint="eastAsia" w:ascii="宋体" w:hAnsi="宋体"/>
                        <w:sz w:val="20"/>
                      </w:rPr>
                      <w:t xml:space="preserve">  </w:t>
                    </w:r>
                    <w:r>
                      <w:rPr>
                        <w:rStyle w:val="33"/>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86FC33">
    <w:pPr>
      <w:tabs>
        <w:tab w:val="center" w:pos="4153"/>
        <w:tab w:val="right" w:pos="8306"/>
      </w:tabs>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4" name="文本框 20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2DB1E44">
                          <w:pPr>
                            <w:tabs>
                              <w:tab w:val="center" w:pos="4153"/>
                              <w:tab w:val="right" w:pos="8306"/>
                            </w:tabs>
                            <w:rPr>
                              <w:rStyle w:val="33"/>
                              <w:rFonts w:ascii="宋体" w:hAnsi="宋体"/>
                              <w:sz w:val="28"/>
                              <w:szCs w:val="28"/>
                            </w:rPr>
                          </w:pPr>
                          <w:r>
                            <w:rPr>
                              <w:rStyle w:val="33"/>
                              <w:rFonts w:hint="eastAsia" w:ascii="宋体" w:hAnsi="宋体"/>
                              <w:sz w:val="28"/>
                              <w:szCs w:val="28"/>
                            </w:rPr>
                            <w:t>—</w:t>
                          </w:r>
                          <w:r>
                            <w:rPr>
                              <w:rStyle w:val="33"/>
                              <w:rFonts w:hint="eastAsia" w:ascii="宋体" w:hAnsi="宋体"/>
                              <w:sz w:val="20"/>
                            </w:rPr>
                            <w:t xml:space="preserve">  </w:t>
                          </w:r>
                          <w:r>
                            <w:rPr>
                              <w:rStyle w:val="33"/>
                              <w:rFonts w:ascii="宋体" w:hAnsi="宋体"/>
                              <w:sz w:val="26"/>
                              <w:szCs w:val="26"/>
                            </w:rPr>
                            <w:fldChar w:fldCharType="begin"/>
                          </w:r>
                          <w:r>
                            <w:rPr>
                              <w:rStyle w:val="33"/>
                              <w:rFonts w:ascii="宋体" w:hAnsi="宋体"/>
                              <w:sz w:val="26"/>
                              <w:szCs w:val="26"/>
                            </w:rPr>
                            <w:instrText xml:space="preserve">PAGE  </w:instrText>
                          </w:r>
                          <w:r>
                            <w:rPr>
                              <w:rStyle w:val="33"/>
                              <w:rFonts w:ascii="宋体" w:hAnsi="宋体"/>
                              <w:sz w:val="26"/>
                              <w:szCs w:val="26"/>
                            </w:rPr>
                            <w:fldChar w:fldCharType="separate"/>
                          </w:r>
                          <w:r>
                            <w:rPr>
                              <w:rStyle w:val="33"/>
                              <w:rFonts w:ascii="宋体" w:hAnsi="宋体"/>
                              <w:sz w:val="26"/>
                              <w:szCs w:val="26"/>
                            </w:rPr>
                            <w:t>69</w:t>
                          </w:r>
                          <w:r>
                            <w:rPr>
                              <w:rStyle w:val="33"/>
                              <w:rFonts w:ascii="宋体" w:hAnsi="宋体"/>
                              <w:sz w:val="26"/>
                              <w:szCs w:val="26"/>
                            </w:rPr>
                            <w:fldChar w:fldCharType="end"/>
                          </w:r>
                          <w:r>
                            <w:rPr>
                              <w:rStyle w:val="33"/>
                              <w:rFonts w:hint="eastAsia" w:ascii="宋体" w:hAnsi="宋体"/>
                              <w:sz w:val="20"/>
                            </w:rPr>
                            <w:t xml:space="preserve">  </w:t>
                          </w:r>
                          <w:r>
                            <w:rPr>
                              <w:rStyle w:val="33"/>
                              <w:rFonts w:hint="eastAsia" w:ascii="宋体" w:hAnsi="宋体"/>
                              <w:sz w:val="28"/>
                              <w:szCs w:val="28"/>
                            </w:rPr>
                            <w:t>—</w:t>
                          </w:r>
                        </w:p>
                      </w:txbxContent>
                    </wps:txbx>
                    <wps:bodyPr vert="horz" wrap="none" lIns="0" tIns="0" rIns="0" bIns="0" anchor="t" anchorCtr="0" upright="0">
                      <a:spAutoFit/>
                    </wps:bodyPr>
                  </wps:wsp>
                </a:graphicData>
              </a:graphic>
            </wp:anchor>
          </w:drawing>
        </mc:Choice>
        <mc:Fallback>
          <w:pict>
            <v:shape id="文本框 2051"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1hLwouIBAADDAwAADgAA&#10;AAAAAAABACAAAAAeAQAAZHJzL2Uyb0RvYy54bWxQSwUGAAAAAAYABgBZAQAAcgUAAAAA&#10;">
              <v:fill on="f" focussize="0,0"/>
              <v:stroke on="f"/>
              <v:imagedata o:title=""/>
              <o:lock v:ext="edit" aspectratio="f"/>
              <v:textbox inset="0mm,0mm,0mm,0mm" style="mso-fit-shape-to-text:t;">
                <w:txbxContent>
                  <w:p w14:paraId="02DB1E44">
                    <w:pPr>
                      <w:tabs>
                        <w:tab w:val="center" w:pos="4153"/>
                        <w:tab w:val="right" w:pos="8306"/>
                      </w:tabs>
                      <w:rPr>
                        <w:rStyle w:val="33"/>
                        <w:rFonts w:ascii="宋体" w:hAnsi="宋体"/>
                        <w:sz w:val="28"/>
                        <w:szCs w:val="28"/>
                      </w:rPr>
                    </w:pPr>
                    <w:r>
                      <w:rPr>
                        <w:rStyle w:val="33"/>
                        <w:rFonts w:hint="eastAsia" w:ascii="宋体" w:hAnsi="宋体"/>
                        <w:sz w:val="28"/>
                        <w:szCs w:val="28"/>
                      </w:rPr>
                      <w:t>—</w:t>
                    </w:r>
                    <w:r>
                      <w:rPr>
                        <w:rStyle w:val="33"/>
                        <w:rFonts w:hint="eastAsia" w:ascii="宋体" w:hAnsi="宋体"/>
                        <w:sz w:val="20"/>
                      </w:rPr>
                      <w:t xml:space="preserve">  </w:t>
                    </w:r>
                    <w:r>
                      <w:rPr>
                        <w:rStyle w:val="33"/>
                        <w:rFonts w:ascii="宋体" w:hAnsi="宋体"/>
                        <w:sz w:val="26"/>
                        <w:szCs w:val="26"/>
                      </w:rPr>
                      <w:fldChar w:fldCharType="begin"/>
                    </w:r>
                    <w:r>
                      <w:rPr>
                        <w:rStyle w:val="33"/>
                        <w:rFonts w:ascii="宋体" w:hAnsi="宋体"/>
                        <w:sz w:val="26"/>
                        <w:szCs w:val="26"/>
                      </w:rPr>
                      <w:instrText xml:space="preserve">PAGE  </w:instrText>
                    </w:r>
                    <w:r>
                      <w:rPr>
                        <w:rStyle w:val="33"/>
                        <w:rFonts w:ascii="宋体" w:hAnsi="宋体"/>
                        <w:sz w:val="26"/>
                        <w:szCs w:val="26"/>
                      </w:rPr>
                      <w:fldChar w:fldCharType="separate"/>
                    </w:r>
                    <w:r>
                      <w:rPr>
                        <w:rStyle w:val="33"/>
                        <w:rFonts w:ascii="宋体" w:hAnsi="宋体"/>
                        <w:sz w:val="26"/>
                        <w:szCs w:val="26"/>
                      </w:rPr>
                      <w:t>69</w:t>
                    </w:r>
                    <w:r>
                      <w:rPr>
                        <w:rStyle w:val="33"/>
                        <w:rFonts w:ascii="宋体" w:hAnsi="宋体"/>
                        <w:sz w:val="26"/>
                        <w:szCs w:val="26"/>
                      </w:rPr>
                      <w:fldChar w:fldCharType="end"/>
                    </w:r>
                    <w:r>
                      <w:rPr>
                        <w:rStyle w:val="33"/>
                        <w:rFonts w:hint="eastAsia" w:ascii="宋体" w:hAnsi="宋体"/>
                        <w:sz w:val="20"/>
                      </w:rPr>
                      <w:t xml:space="preserve">  </w:t>
                    </w:r>
                    <w:r>
                      <w:rPr>
                        <w:rStyle w:val="33"/>
                        <w:rFonts w:hint="eastAsia" w:ascii="宋体" w:hAnsi="宋体"/>
                        <w:sz w:val="28"/>
                        <w:szCs w:val="28"/>
                      </w:rPr>
                      <w:t>—</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49A35C">
    <w:pPr>
      <w:pBdr>
        <w:bottom w:val="none" w:color="auto" w:sz="0" w:space="0"/>
      </w:pBdr>
      <w:tabs>
        <w:tab w:val="center" w:pos="4153"/>
        <w:tab w:val="right" w:pos="8306"/>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DDED8F0"/>
    <w:multiLevelType w:val="multilevel"/>
    <w:tmpl w:val="CDDED8F0"/>
    <w:lvl w:ilvl="0" w:tentative="0">
      <w:start w:val="1"/>
      <w:numFmt w:val="chineseCounting"/>
      <w:pStyle w:val="2"/>
      <w:suff w:val="space"/>
      <w:lvlText w:val="%1、"/>
      <w:lvlJc w:val="center"/>
      <w:pPr>
        <w:tabs>
          <w:tab w:val="left" w:pos="420"/>
        </w:tabs>
        <w:ind w:left="0" w:leftChars="0" w:firstLine="0" w:firstLineChars="0"/>
      </w:pPr>
      <w:rPr>
        <w:rFonts w:hint="eastAsia"/>
      </w:rPr>
    </w:lvl>
    <w:lvl w:ilvl="1" w:tentative="0">
      <w:start w:val="1"/>
      <w:numFmt w:val="decimal"/>
      <w:pStyle w:val="3"/>
      <w:isLgl/>
      <w:suff w:val="space"/>
      <w:lvlText w:val="%1.%2."/>
      <w:lvlJc w:val="left"/>
      <w:pPr>
        <w:tabs>
          <w:tab w:val="left" w:pos="420"/>
        </w:tabs>
        <w:ind w:left="0" w:leftChars="0" w:firstLine="0" w:firstLineChars="0"/>
      </w:pPr>
      <w:rPr>
        <w:rFonts w:hint="eastAsia"/>
      </w:rPr>
    </w:lvl>
    <w:lvl w:ilvl="2" w:tentative="0">
      <w:start w:val="1"/>
      <w:numFmt w:val="decimal"/>
      <w:pStyle w:val="4"/>
      <w:isLgl/>
      <w:suff w:val="space"/>
      <w:lvlText w:val="%1.%2.%3."/>
      <w:lvlJc w:val="left"/>
      <w:pPr>
        <w:tabs>
          <w:tab w:val="left" w:pos="420"/>
        </w:tabs>
        <w:ind w:left="0" w:leftChars="0" w:firstLine="0" w:firstLineChars="0"/>
      </w:pPr>
      <w:rPr>
        <w:rFonts w:hint="eastAsia"/>
      </w:rPr>
    </w:lvl>
    <w:lvl w:ilvl="3" w:tentative="0">
      <w:start w:val="1"/>
      <w:numFmt w:val="decimal"/>
      <w:pStyle w:val="5"/>
      <w:isLgl/>
      <w:suff w:val="space"/>
      <w:lvlText w:val="%1.%2.%3.%4."/>
      <w:lvlJc w:val="left"/>
      <w:pPr>
        <w:tabs>
          <w:tab w:val="left" w:pos="420"/>
        </w:tabs>
        <w:ind w:left="0" w:leftChars="0" w:firstLine="0" w:firstLineChars="0"/>
      </w:pPr>
      <w:rPr>
        <w:rFonts w:hint="eastAsia"/>
      </w:rPr>
    </w:lvl>
    <w:lvl w:ilvl="4" w:tentative="0">
      <w:start w:val="1"/>
      <w:numFmt w:val="decimal"/>
      <w:pStyle w:val="6"/>
      <w:lvlText w:val="%1.%2.%3.%4.%5."/>
      <w:lvlJc w:val="left"/>
      <w:pPr>
        <w:ind w:left="1008" w:hanging="1008"/>
      </w:pPr>
      <w:rPr>
        <w:rFonts w:hint="eastAsia"/>
      </w:rPr>
    </w:lvl>
    <w:lvl w:ilvl="5" w:tentative="0">
      <w:start w:val="1"/>
      <w:numFmt w:val="decimal"/>
      <w:pStyle w:val="7"/>
      <w:lvlText w:val="%1.%2.%3.%4.%5.%6."/>
      <w:lvlJc w:val="left"/>
      <w:pPr>
        <w:ind w:left="1151" w:hanging="1151"/>
      </w:pPr>
      <w:rPr>
        <w:rFonts w:hint="eastAsia"/>
      </w:rPr>
    </w:lvl>
    <w:lvl w:ilvl="6" w:tentative="0">
      <w:start w:val="1"/>
      <w:numFmt w:val="decimal"/>
      <w:pStyle w:val="8"/>
      <w:lvlText w:val="%1.%2.%3.%4.%5.%6.%7."/>
      <w:lvlJc w:val="left"/>
      <w:pPr>
        <w:ind w:left="1296" w:hanging="1296"/>
      </w:pPr>
      <w:rPr>
        <w:rFonts w:hint="eastAsia"/>
      </w:rPr>
    </w:lvl>
    <w:lvl w:ilvl="7" w:tentative="0">
      <w:start w:val="1"/>
      <w:numFmt w:val="decimal"/>
      <w:pStyle w:val="9"/>
      <w:lvlText w:val="%1.%2.%3.%4.%5.%6.%7.%8."/>
      <w:lvlJc w:val="left"/>
      <w:pPr>
        <w:ind w:left="1440" w:hanging="1440"/>
      </w:pPr>
      <w:rPr>
        <w:rFonts w:hint="eastAsia"/>
      </w:rPr>
    </w:lvl>
    <w:lvl w:ilvl="8" w:tentative="0">
      <w:start w:val="1"/>
      <w:numFmt w:val="decimal"/>
      <w:pStyle w:val="10"/>
      <w:lvlText w:val="%1.%2.%3.%4.%5.%6.%7.%8.%9."/>
      <w:lvlJc w:val="left"/>
      <w:pPr>
        <w:ind w:left="1583" w:hanging="1583"/>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djYmE2OWUyYzkyNDcwZmUwOWVkM2M4NWIyM2NmYWIifQ=="/>
  </w:docVars>
  <w:rsids>
    <w:rsidRoot w:val="00A14947"/>
    <w:rsid w:val="0000199A"/>
    <w:rsid w:val="000060B3"/>
    <w:rsid w:val="000114F5"/>
    <w:rsid w:val="0001247C"/>
    <w:rsid w:val="0002117A"/>
    <w:rsid w:val="00030C12"/>
    <w:rsid w:val="00036739"/>
    <w:rsid w:val="0004364B"/>
    <w:rsid w:val="00051D49"/>
    <w:rsid w:val="00053469"/>
    <w:rsid w:val="000542AE"/>
    <w:rsid w:val="00055863"/>
    <w:rsid w:val="000568CA"/>
    <w:rsid w:val="00061B1F"/>
    <w:rsid w:val="00067AFC"/>
    <w:rsid w:val="000733C4"/>
    <w:rsid w:val="00074783"/>
    <w:rsid w:val="000767FF"/>
    <w:rsid w:val="0008070B"/>
    <w:rsid w:val="000810AC"/>
    <w:rsid w:val="00081A02"/>
    <w:rsid w:val="00082231"/>
    <w:rsid w:val="00085BF9"/>
    <w:rsid w:val="00092D38"/>
    <w:rsid w:val="0009377B"/>
    <w:rsid w:val="00094BF4"/>
    <w:rsid w:val="000A20C9"/>
    <w:rsid w:val="000B0385"/>
    <w:rsid w:val="000B058F"/>
    <w:rsid w:val="000B0E7A"/>
    <w:rsid w:val="000B348A"/>
    <w:rsid w:val="000B4467"/>
    <w:rsid w:val="000B4DB9"/>
    <w:rsid w:val="000C09AC"/>
    <w:rsid w:val="000C2DD0"/>
    <w:rsid w:val="000C5BA7"/>
    <w:rsid w:val="000C767F"/>
    <w:rsid w:val="000D0B87"/>
    <w:rsid w:val="000D5A44"/>
    <w:rsid w:val="000D61D1"/>
    <w:rsid w:val="000E0BE2"/>
    <w:rsid w:val="000E3ED2"/>
    <w:rsid w:val="000E58D2"/>
    <w:rsid w:val="000F3CA0"/>
    <w:rsid w:val="000F5319"/>
    <w:rsid w:val="000F59B7"/>
    <w:rsid w:val="00100CB3"/>
    <w:rsid w:val="001043CB"/>
    <w:rsid w:val="0012173C"/>
    <w:rsid w:val="00123E51"/>
    <w:rsid w:val="001269C3"/>
    <w:rsid w:val="00131F42"/>
    <w:rsid w:val="001357F1"/>
    <w:rsid w:val="00135EFD"/>
    <w:rsid w:val="00140FA8"/>
    <w:rsid w:val="00142FEB"/>
    <w:rsid w:val="00143A2D"/>
    <w:rsid w:val="00144649"/>
    <w:rsid w:val="00145A41"/>
    <w:rsid w:val="00151675"/>
    <w:rsid w:val="00152CD9"/>
    <w:rsid w:val="00157435"/>
    <w:rsid w:val="001669D4"/>
    <w:rsid w:val="00173DD5"/>
    <w:rsid w:val="0017504D"/>
    <w:rsid w:val="0017594B"/>
    <w:rsid w:val="001759E2"/>
    <w:rsid w:val="0017671A"/>
    <w:rsid w:val="00177422"/>
    <w:rsid w:val="0018103D"/>
    <w:rsid w:val="0018166E"/>
    <w:rsid w:val="0018321C"/>
    <w:rsid w:val="001842F5"/>
    <w:rsid w:val="001843C1"/>
    <w:rsid w:val="00184590"/>
    <w:rsid w:val="001870D1"/>
    <w:rsid w:val="0018781E"/>
    <w:rsid w:val="0019105C"/>
    <w:rsid w:val="0019262D"/>
    <w:rsid w:val="001936DE"/>
    <w:rsid w:val="001A1B35"/>
    <w:rsid w:val="001A48A2"/>
    <w:rsid w:val="001A6F61"/>
    <w:rsid w:val="001B6748"/>
    <w:rsid w:val="001B72B8"/>
    <w:rsid w:val="001C5CAE"/>
    <w:rsid w:val="001C69B3"/>
    <w:rsid w:val="001D0FE1"/>
    <w:rsid w:val="001D2062"/>
    <w:rsid w:val="001D5595"/>
    <w:rsid w:val="001D7874"/>
    <w:rsid w:val="001D79E4"/>
    <w:rsid w:val="001D7F22"/>
    <w:rsid w:val="001E7F9E"/>
    <w:rsid w:val="001F0F17"/>
    <w:rsid w:val="001F3347"/>
    <w:rsid w:val="001F3D44"/>
    <w:rsid w:val="001F4CAA"/>
    <w:rsid w:val="001F69E4"/>
    <w:rsid w:val="00200A45"/>
    <w:rsid w:val="00204113"/>
    <w:rsid w:val="00205FF4"/>
    <w:rsid w:val="00206696"/>
    <w:rsid w:val="00211806"/>
    <w:rsid w:val="002125B4"/>
    <w:rsid w:val="002155B8"/>
    <w:rsid w:val="00215F0D"/>
    <w:rsid w:val="00224839"/>
    <w:rsid w:val="002249B2"/>
    <w:rsid w:val="00226574"/>
    <w:rsid w:val="002266BE"/>
    <w:rsid w:val="002278EC"/>
    <w:rsid w:val="0023280E"/>
    <w:rsid w:val="00232DAB"/>
    <w:rsid w:val="002377D1"/>
    <w:rsid w:val="00244A4F"/>
    <w:rsid w:val="002506BC"/>
    <w:rsid w:val="00254345"/>
    <w:rsid w:val="00261929"/>
    <w:rsid w:val="00263439"/>
    <w:rsid w:val="00264557"/>
    <w:rsid w:val="00267F1B"/>
    <w:rsid w:val="00276D13"/>
    <w:rsid w:val="00277F41"/>
    <w:rsid w:val="002805AB"/>
    <w:rsid w:val="00281217"/>
    <w:rsid w:val="002838C1"/>
    <w:rsid w:val="00284204"/>
    <w:rsid w:val="00291773"/>
    <w:rsid w:val="00296862"/>
    <w:rsid w:val="00297671"/>
    <w:rsid w:val="002A168C"/>
    <w:rsid w:val="002A1EF1"/>
    <w:rsid w:val="002A3DC7"/>
    <w:rsid w:val="002A655D"/>
    <w:rsid w:val="002A6702"/>
    <w:rsid w:val="002B49E2"/>
    <w:rsid w:val="002B7B00"/>
    <w:rsid w:val="002B7C44"/>
    <w:rsid w:val="002C2B17"/>
    <w:rsid w:val="002D3DD0"/>
    <w:rsid w:val="002D7057"/>
    <w:rsid w:val="002E1BD0"/>
    <w:rsid w:val="002E1EFE"/>
    <w:rsid w:val="002E1F3A"/>
    <w:rsid w:val="002E298A"/>
    <w:rsid w:val="002E3845"/>
    <w:rsid w:val="002E6575"/>
    <w:rsid w:val="002F4FDD"/>
    <w:rsid w:val="00301978"/>
    <w:rsid w:val="0030332C"/>
    <w:rsid w:val="003051C2"/>
    <w:rsid w:val="00312296"/>
    <w:rsid w:val="00314F0E"/>
    <w:rsid w:val="00321D8E"/>
    <w:rsid w:val="00325928"/>
    <w:rsid w:val="00332512"/>
    <w:rsid w:val="00332863"/>
    <w:rsid w:val="00333428"/>
    <w:rsid w:val="0033684D"/>
    <w:rsid w:val="00337B42"/>
    <w:rsid w:val="00341B42"/>
    <w:rsid w:val="0034348F"/>
    <w:rsid w:val="0034722C"/>
    <w:rsid w:val="00356653"/>
    <w:rsid w:val="0035743F"/>
    <w:rsid w:val="00357BE2"/>
    <w:rsid w:val="003606CA"/>
    <w:rsid w:val="0036170C"/>
    <w:rsid w:val="00362CB5"/>
    <w:rsid w:val="003643F6"/>
    <w:rsid w:val="00366E0F"/>
    <w:rsid w:val="00367A6C"/>
    <w:rsid w:val="00372924"/>
    <w:rsid w:val="00381A72"/>
    <w:rsid w:val="00384676"/>
    <w:rsid w:val="00387CC3"/>
    <w:rsid w:val="00390857"/>
    <w:rsid w:val="0039119D"/>
    <w:rsid w:val="003A1AF0"/>
    <w:rsid w:val="003A3AD8"/>
    <w:rsid w:val="003A4BF3"/>
    <w:rsid w:val="003A7AFB"/>
    <w:rsid w:val="003B420D"/>
    <w:rsid w:val="003C03FD"/>
    <w:rsid w:val="003C1000"/>
    <w:rsid w:val="003C67FF"/>
    <w:rsid w:val="003C6C16"/>
    <w:rsid w:val="003D38AF"/>
    <w:rsid w:val="003D794D"/>
    <w:rsid w:val="003E3058"/>
    <w:rsid w:val="003E43AC"/>
    <w:rsid w:val="003E76A9"/>
    <w:rsid w:val="003F0809"/>
    <w:rsid w:val="003F6A8C"/>
    <w:rsid w:val="003F755C"/>
    <w:rsid w:val="00404063"/>
    <w:rsid w:val="00406F01"/>
    <w:rsid w:val="00416D50"/>
    <w:rsid w:val="00416FD5"/>
    <w:rsid w:val="00417772"/>
    <w:rsid w:val="00420E6A"/>
    <w:rsid w:val="0042540D"/>
    <w:rsid w:val="00425A9E"/>
    <w:rsid w:val="00425E35"/>
    <w:rsid w:val="00426D6B"/>
    <w:rsid w:val="00431E6C"/>
    <w:rsid w:val="00433CE7"/>
    <w:rsid w:val="004412B6"/>
    <w:rsid w:val="00442B61"/>
    <w:rsid w:val="004456DF"/>
    <w:rsid w:val="00452738"/>
    <w:rsid w:val="00453B15"/>
    <w:rsid w:val="00453C55"/>
    <w:rsid w:val="00456091"/>
    <w:rsid w:val="00460F99"/>
    <w:rsid w:val="00465B41"/>
    <w:rsid w:val="00466321"/>
    <w:rsid w:val="00470423"/>
    <w:rsid w:val="004739B5"/>
    <w:rsid w:val="004755CD"/>
    <w:rsid w:val="0048461E"/>
    <w:rsid w:val="00484B9B"/>
    <w:rsid w:val="004855F6"/>
    <w:rsid w:val="0048661E"/>
    <w:rsid w:val="00494670"/>
    <w:rsid w:val="004947DD"/>
    <w:rsid w:val="0049549E"/>
    <w:rsid w:val="004A2AF6"/>
    <w:rsid w:val="004A3823"/>
    <w:rsid w:val="004A3BF4"/>
    <w:rsid w:val="004A4952"/>
    <w:rsid w:val="004A57E4"/>
    <w:rsid w:val="004A5E1B"/>
    <w:rsid w:val="004B1FCC"/>
    <w:rsid w:val="004B7914"/>
    <w:rsid w:val="004D0AEA"/>
    <w:rsid w:val="004E569C"/>
    <w:rsid w:val="004E64FE"/>
    <w:rsid w:val="004E6946"/>
    <w:rsid w:val="004E7092"/>
    <w:rsid w:val="004F1AD8"/>
    <w:rsid w:val="004F4418"/>
    <w:rsid w:val="005031BF"/>
    <w:rsid w:val="005039CB"/>
    <w:rsid w:val="0050558F"/>
    <w:rsid w:val="00506286"/>
    <w:rsid w:val="00506B47"/>
    <w:rsid w:val="00510813"/>
    <w:rsid w:val="00510D4F"/>
    <w:rsid w:val="00511990"/>
    <w:rsid w:val="00511DE0"/>
    <w:rsid w:val="00514870"/>
    <w:rsid w:val="00514B9B"/>
    <w:rsid w:val="00515F68"/>
    <w:rsid w:val="00517F02"/>
    <w:rsid w:val="00522525"/>
    <w:rsid w:val="00524303"/>
    <w:rsid w:val="00524EFB"/>
    <w:rsid w:val="005258A2"/>
    <w:rsid w:val="0052747E"/>
    <w:rsid w:val="00530A7E"/>
    <w:rsid w:val="005401AE"/>
    <w:rsid w:val="00542E07"/>
    <w:rsid w:val="00545424"/>
    <w:rsid w:val="00554A7B"/>
    <w:rsid w:val="0055572C"/>
    <w:rsid w:val="00555D04"/>
    <w:rsid w:val="00560AE4"/>
    <w:rsid w:val="0056106A"/>
    <w:rsid w:val="00563B4E"/>
    <w:rsid w:val="005720AE"/>
    <w:rsid w:val="00573434"/>
    <w:rsid w:val="00582F0F"/>
    <w:rsid w:val="00586FEC"/>
    <w:rsid w:val="00594D77"/>
    <w:rsid w:val="005969E4"/>
    <w:rsid w:val="005A06B7"/>
    <w:rsid w:val="005A1759"/>
    <w:rsid w:val="005A63D1"/>
    <w:rsid w:val="005A68A7"/>
    <w:rsid w:val="005B020B"/>
    <w:rsid w:val="005B2720"/>
    <w:rsid w:val="005B2AC7"/>
    <w:rsid w:val="005C20C2"/>
    <w:rsid w:val="005C6AE8"/>
    <w:rsid w:val="005D1D74"/>
    <w:rsid w:val="005D2454"/>
    <w:rsid w:val="005D2D5D"/>
    <w:rsid w:val="005D36AB"/>
    <w:rsid w:val="005D6415"/>
    <w:rsid w:val="005F3911"/>
    <w:rsid w:val="0060344D"/>
    <w:rsid w:val="006049A7"/>
    <w:rsid w:val="00606437"/>
    <w:rsid w:val="006153D8"/>
    <w:rsid w:val="00617CC3"/>
    <w:rsid w:val="00625E0D"/>
    <w:rsid w:val="006377A6"/>
    <w:rsid w:val="00637A3D"/>
    <w:rsid w:val="006411EF"/>
    <w:rsid w:val="006427FA"/>
    <w:rsid w:val="006522F9"/>
    <w:rsid w:val="00662A20"/>
    <w:rsid w:val="00672BDC"/>
    <w:rsid w:val="00673689"/>
    <w:rsid w:val="006748B8"/>
    <w:rsid w:val="006775C3"/>
    <w:rsid w:val="0069290A"/>
    <w:rsid w:val="0069432F"/>
    <w:rsid w:val="00696FF5"/>
    <w:rsid w:val="0069775A"/>
    <w:rsid w:val="00697813"/>
    <w:rsid w:val="006A19DA"/>
    <w:rsid w:val="006A3EE8"/>
    <w:rsid w:val="006A4E8F"/>
    <w:rsid w:val="006A72BF"/>
    <w:rsid w:val="006B03F2"/>
    <w:rsid w:val="006B2E90"/>
    <w:rsid w:val="006B37DC"/>
    <w:rsid w:val="006B4F68"/>
    <w:rsid w:val="006C01D8"/>
    <w:rsid w:val="006C0592"/>
    <w:rsid w:val="006C272E"/>
    <w:rsid w:val="006C5479"/>
    <w:rsid w:val="006C6E94"/>
    <w:rsid w:val="006C77C0"/>
    <w:rsid w:val="006D0479"/>
    <w:rsid w:val="006D13B5"/>
    <w:rsid w:val="006D1BA5"/>
    <w:rsid w:val="006E12FF"/>
    <w:rsid w:val="006E607E"/>
    <w:rsid w:val="006E75F6"/>
    <w:rsid w:val="006F0FAC"/>
    <w:rsid w:val="007019FF"/>
    <w:rsid w:val="00703252"/>
    <w:rsid w:val="00706C5D"/>
    <w:rsid w:val="00711275"/>
    <w:rsid w:val="00713502"/>
    <w:rsid w:val="00713543"/>
    <w:rsid w:val="00732922"/>
    <w:rsid w:val="007356F8"/>
    <w:rsid w:val="00737A29"/>
    <w:rsid w:val="007511F8"/>
    <w:rsid w:val="0075162E"/>
    <w:rsid w:val="00754034"/>
    <w:rsid w:val="00756556"/>
    <w:rsid w:val="007618C4"/>
    <w:rsid w:val="00767980"/>
    <w:rsid w:val="007709D9"/>
    <w:rsid w:val="00770B19"/>
    <w:rsid w:val="0077463F"/>
    <w:rsid w:val="007771A6"/>
    <w:rsid w:val="007836EA"/>
    <w:rsid w:val="00784CDA"/>
    <w:rsid w:val="007906C4"/>
    <w:rsid w:val="007940EA"/>
    <w:rsid w:val="00794E0F"/>
    <w:rsid w:val="007954D3"/>
    <w:rsid w:val="007967E8"/>
    <w:rsid w:val="007A1953"/>
    <w:rsid w:val="007A2170"/>
    <w:rsid w:val="007A22BF"/>
    <w:rsid w:val="007A3323"/>
    <w:rsid w:val="007B4D1C"/>
    <w:rsid w:val="007B5F89"/>
    <w:rsid w:val="007B72B8"/>
    <w:rsid w:val="007B7A58"/>
    <w:rsid w:val="007C21B5"/>
    <w:rsid w:val="007C5164"/>
    <w:rsid w:val="007C52F3"/>
    <w:rsid w:val="007D643C"/>
    <w:rsid w:val="007D6727"/>
    <w:rsid w:val="007E4BD2"/>
    <w:rsid w:val="007E7933"/>
    <w:rsid w:val="007F375C"/>
    <w:rsid w:val="0080088B"/>
    <w:rsid w:val="00801393"/>
    <w:rsid w:val="00802F88"/>
    <w:rsid w:val="00804223"/>
    <w:rsid w:val="0081293E"/>
    <w:rsid w:val="00815465"/>
    <w:rsid w:val="00817E9A"/>
    <w:rsid w:val="008306BD"/>
    <w:rsid w:val="00831A80"/>
    <w:rsid w:val="00833743"/>
    <w:rsid w:val="008340A4"/>
    <w:rsid w:val="0084191A"/>
    <w:rsid w:val="008457A5"/>
    <w:rsid w:val="008465B8"/>
    <w:rsid w:val="0085410E"/>
    <w:rsid w:val="0087135F"/>
    <w:rsid w:val="00872D94"/>
    <w:rsid w:val="00876983"/>
    <w:rsid w:val="00880364"/>
    <w:rsid w:val="00887BB1"/>
    <w:rsid w:val="00891293"/>
    <w:rsid w:val="00891592"/>
    <w:rsid w:val="00891E9E"/>
    <w:rsid w:val="008933AA"/>
    <w:rsid w:val="008A2F68"/>
    <w:rsid w:val="008B0EF2"/>
    <w:rsid w:val="008B2813"/>
    <w:rsid w:val="008B4FA6"/>
    <w:rsid w:val="008B5282"/>
    <w:rsid w:val="008B6756"/>
    <w:rsid w:val="008B7C17"/>
    <w:rsid w:val="008C2D01"/>
    <w:rsid w:val="008C40E6"/>
    <w:rsid w:val="008C45AF"/>
    <w:rsid w:val="008C7767"/>
    <w:rsid w:val="008D0F7A"/>
    <w:rsid w:val="008D68E4"/>
    <w:rsid w:val="008D7E29"/>
    <w:rsid w:val="008E0506"/>
    <w:rsid w:val="008E0CFF"/>
    <w:rsid w:val="008E1911"/>
    <w:rsid w:val="008E5D6B"/>
    <w:rsid w:val="008E76F0"/>
    <w:rsid w:val="008F1176"/>
    <w:rsid w:val="008F15FE"/>
    <w:rsid w:val="008F2D29"/>
    <w:rsid w:val="008F3C35"/>
    <w:rsid w:val="008F5187"/>
    <w:rsid w:val="008F60D8"/>
    <w:rsid w:val="00902727"/>
    <w:rsid w:val="0090312B"/>
    <w:rsid w:val="009049D8"/>
    <w:rsid w:val="00905E90"/>
    <w:rsid w:val="00910EC2"/>
    <w:rsid w:val="00914884"/>
    <w:rsid w:val="0091736D"/>
    <w:rsid w:val="0093037A"/>
    <w:rsid w:val="0094154D"/>
    <w:rsid w:val="00942A68"/>
    <w:rsid w:val="0095155F"/>
    <w:rsid w:val="00954429"/>
    <w:rsid w:val="00956351"/>
    <w:rsid w:val="009563CE"/>
    <w:rsid w:val="00964572"/>
    <w:rsid w:val="00976328"/>
    <w:rsid w:val="0097680D"/>
    <w:rsid w:val="0098238D"/>
    <w:rsid w:val="00982438"/>
    <w:rsid w:val="0098404C"/>
    <w:rsid w:val="00985283"/>
    <w:rsid w:val="00985AD0"/>
    <w:rsid w:val="00995992"/>
    <w:rsid w:val="009A03E5"/>
    <w:rsid w:val="009A0F3B"/>
    <w:rsid w:val="009A1BB4"/>
    <w:rsid w:val="009A23F2"/>
    <w:rsid w:val="009A2628"/>
    <w:rsid w:val="009A3200"/>
    <w:rsid w:val="009B0897"/>
    <w:rsid w:val="009B7BD9"/>
    <w:rsid w:val="009C7DD5"/>
    <w:rsid w:val="009D71A4"/>
    <w:rsid w:val="009E227D"/>
    <w:rsid w:val="009E5019"/>
    <w:rsid w:val="009F074C"/>
    <w:rsid w:val="009F0F1E"/>
    <w:rsid w:val="009F7214"/>
    <w:rsid w:val="00A04E9B"/>
    <w:rsid w:val="00A04F1B"/>
    <w:rsid w:val="00A0501B"/>
    <w:rsid w:val="00A14947"/>
    <w:rsid w:val="00A24475"/>
    <w:rsid w:val="00A32A83"/>
    <w:rsid w:val="00A34E98"/>
    <w:rsid w:val="00A356D4"/>
    <w:rsid w:val="00A368DB"/>
    <w:rsid w:val="00A373F4"/>
    <w:rsid w:val="00A423AA"/>
    <w:rsid w:val="00A50891"/>
    <w:rsid w:val="00A53EC6"/>
    <w:rsid w:val="00A55814"/>
    <w:rsid w:val="00A55C0F"/>
    <w:rsid w:val="00A6212D"/>
    <w:rsid w:val="00A835FE"/>
    <w:rsid w:val="00A8713F"/>
    <w:rsid w:val="00A90B97"/>
    <w:rsid w:val="00A90BA1"/>
    <w:rsid w:val="00A926D1"/>
    <w:rsid w:val="00A95831"/>
    <w:rsid w:val="00A95C47"/>
    <w:rsid w:val="00A97A9A"/>
    <w:rsid w:val="00AA0671"/>
    <w:rsid w:val="00AA2531"/>
    <w:rsid w:val="00AB149E"/>
    <w:rsid w:val="00AB19F7"/>
    <w:rsid w:val="00AB1E09"/>
    <w:rsid w:val="00AB5330"/>
    <w:rsid w:val="00AB630F"/>
    <w:rsid w:val="00AB6D6C"/>
    <w:rsid w:val="00AB7747"/>
    <w:rsid w:val="00AC14CE"/>
    <w:rsid w:val="00AC2A56"/>
    <w:rsid w:val="00AC758F"/>
    <w:rsid w:val="00AD055E"/>
    <w:rsid w:val="00AD3AF9"/>
    <w:rsid w:val="00AD47A7"/>
    <w:rsid w:val="00AE08B5"/>
    <w:rsid w:val="00AF0CBF"/>
    <w:rsid w:val="00AF257F"/>
    <w:rsid w:val="00AF33CF"/>
    <w:rsid w:val="00AF4D50"/>
    <w:rsid w:val="00AF6179"/>
    <w:rsid w:val="00AF7CCC"/>
    <w:rsid w:val="00B007DB"/>
    <w:rsid w:val="00B012EB"/>
    <w:rsid w:val="00B019DD"/>
    <w:rsid w:val="00B11487"/>
    <w:rsid w:val="00B1295A"/>
    <w:rsid w:val="00B131EC"/>
    <w:rsid w:val="00B20506"/>
    <w:rsid w:val="00B20A45"/>
    <w:rsid w:val="00B22BA0"/>
    <w:rsid w:val="00B22C5C"/>
    <w:rsid w:val="00B24F30"/>
    <w:rsid w:val="00B30B1D"/>
    <w:rsid w:val="00B316D2"/>
    <w:rsid w:val="00B31ABF"/>
    <w:rsid w:val="00B33BE3"/>
    <w:rsid w:val="00B403CF"/>
    <w:rsid w:val="00B51008"/>
    <w:rsid w:val="00B53B5D"/>
    <w:rsid w:val="00B6055E"/>
    <w:rsid w:val="00B6283F"/>
    <w:rsid w:val="00B6317D"/>
    <w:rsid w:val="00B728E7"/>
    <w:rsid w:val="00B73B45"/>
    <w:rsid w:val="00B77001"/>
    <w:rsid w:val="00B7723F"/>
    <w:rsid w:val="00B80534"/>
    <w:rsid w:val="00B8433C"/>
    <w:rsid w:val="00B844F6"/>
    <w:rsid w:val="00B87318"/>
    <w:rsid w:val="00B87491"/>
    <w:rsid w:val="00B90267"/>
    <w:rsid w:val="00BA29E9"/>
    <w:rsid w:val="00BA5CC5"/>
    <w:rsid w:val="00BA7142"/>
    <w:rsid w:val="00BB237C"/>
    <w:rsid w:val="00BB41A3"/>
    <w:rsid w:val="00BC32DC"/>
    <w:rsid w:val="00BC35B6"/>
    <w:rsid w:val="00BC3EB3"/>
    <w:rsid w:val="00BD1B51"/>
    <w:rsid w:val="00BD4596"/>
    <w:rsid w:val="00BE1405"/>
    <w:rsid w:val="00BE23FA"/>
    <w:rsid w:val="00BE312D"/>
    <w:rsid w:val="00BF1C20"/>
    <w:rsid w:val="00BF5CBC"/>
    <w:rsid w:val="00C10578"/>
    <w:rsid w:val="00C11C8C"/>
    <w:rsid w:val="00C135BC"/>
    <w:rsid w:val="00C15C95"/>
    <w:rsid w:val="00C256B4"/>
    <w:rsid w:val="00C2596A"/>
    <w:rsid w:val="00C27537"/>
    <w:rsid w:val="00C27E1B"/>
    <w:rsid w:val="00C328FE"/>
    <w:rsid w:val="00C33507"/>
    <w:rsid w:val="00C4409D"/>
    <w:rsid w:val="00C44E72"/>
    <w:rsid w:val="00C45A06"/>
    <w:rsid w:val="00C45D81"/>
    <w:rsid w:val="00C47E5B"/>
    <w:rsid w:val="00C5334A"/>
    <w:rsid w:val="00C61E4B"/>
    <w:rsid w:val="00C64BFF"/>
    <w:rsid w:val="00C704E9"/>
    <w:rsid w:val="00C72EEF"/>
    <w:rsid w:val="00C763C9"/>
    <w:rsid w:val="00C80057"/>
    <w:rsid w:val="00C82232"/>
    <w:rsid w:val="00C82913"/>
    <w:rsid w:val="00C87858"/>
    <w:rsid w:val="00C972B1"/>
    <w:rsid w:val="00CA2CCE"/>
    <w:rsid w:val="00CA43FD"/>
    <w:rsid w:val="00CA6E49"/>
    <w:rsid w:val="00CA7EF8"/>
    <w:rsid w:val="00CB04E8"/>
    <w:rsid w:val="00CB1C14"/>
    <w:rsid w:val="00CB4676"/>
    <w:rsid w:val="00CC489B"/>
    <w:rsid w:val="00CC7ED9"/>
    <w:rsid w:val="00CD2BCD"/>
    <w:rsid w:val="00CD3A4C"/>
    <w:rsid w:val="00CD75D9"/>
    <w:rsid w:val="00CE10E9"/>
    <w:rsid w:val="00CE2910"/>
    <w:rsid w:val="00CE5393"/>
    <w:rsid w:val="00CF365D"/>
    <w:rsid w:val="00CF36BE"/>
    <w:rsid w:val="00CF39E5"/>
    <w:rsid w:val="00CF3E50"/>
    <w:rsid w:val="00CF5873"/>
    <w:rsid w:val="00CF6000"/>
    <w:rsid w:val="00D003F3"/>
    <w:rsid w:val="00D0364F"/>
    <w:rsid w:val="00D04504"/>
    <w:rsid w:val="00D06834"/>
    <w:rsid w:val="00D10810"/>
    <w:rsid w:val="00D225EC"/>
    <w:rsid w:val="00D2543C"/>
    <w:rsid w:val="00D2683A"/>
    <w:rsid w:val="00D27394"/>
    <w:rsid w:val="00D308ED"/>
    <w:rsid w:val="00D36D86"/>
    <w:rsid w:val="00D41FE8"/>
    <w:rsid w:val="00D428AA"/>
    <w:rsid w:val="00D4663B"/>
    <w:rsid w:val="00D50A34"/>
    <w:rsid w:val="00D51B5C"/>
    <w:rsid w:val="00D53EFA"/>
    <w:rsid w:val="00D5653E"/>
    <w:rsid w:val="00D57055"/>
    <w:rsid w:val="00D7795F"/>
    <w:rsid w:val="00D94A7C"/>
    <w:rsid w:val="00D95896"/>
    <w:rsid w:val="00DB2983"/>
    <w:rsid w:val="00DB500F"/>
    <w:rsid w:val="00DC1257"/>
    <w:rsid w:val="00DC3DC0"/>
    <w:rsid w:val="00DC5B2B"/>
    <w:rsid w:val="00DC652E"/>
    <w:rsid w:val="00DD318D"/>
    <w:rsid w:val="00DD4BC8"/>
    <w:rsid w:val="00DF19A0"/>
    <w:rsid w:val="00DF2E12"/>
    <w:rsid w:val="00DF514A"/>
    <w:rsid w:val="00DF6690"/>
    <w:rsid w:val="00DF6804"/>
    <w:rsid w:val="00E0358D"/>
    <w:rsid w:val="00E04323"/>
    <w:rsid w:val="00E070A2"/>
    <w:rsid w:val="00E1722E"/>
    <w:rsid w:val="00E2656A"/>
    <w:rsid w:val="00E33176"/>
    <w:rsid w:val="00E412D0"/>
    <w:rsid w:val="00E454A5"/>
    <w:rsid w:val="00E55D64"/>
    <w:rsid w:val="00E56322"/>
    <w:rsid w:val="00E60982"/>
    <w:rsid w:val="00E62C62"/>
    <w:rsid w:val="00E63567"/>
    <w:rsid w:val="00E65448"/>
    <w:rsid w:val="00E654C1"/>
    <w:rsid w:val="00E65D97"/>
    <w:rsid w:val="00E6749C"/>
    <w:rsid w:val="00E72A5A"/>
    <w:rsid w:val="00E72F76"/>
    <w:rsid w:val="00E73354"/>
    <w:rsid w:val="00E9242D"/>
    <w:rsid w:val="00EA7066"/>
    <w:rsid w:val="00EB3AD0"/>
    <w:rsid w:val="00EB5255"/>
    <w:rsid w:val="00EB5C47"/>
    <w:rsid w:val="00EC69E9"/>
    <w:rsid w:val="00EC719C"/>
    <w:rsid w:val="00ED0639"/>
    <w:rsid w:val="00EF380A"/>
    <w:rsid w:val="00EF4755"/>
    <w:rsid w:val="00EF7135"/>
    <w:rsid w:val="00F027DB"/>
    <w:rsid w:val="00F041D4"/>
    <w:rsid w:val="00F0534C"/>
    <w:rsid w:val="00F11008"/>
    <w:rsid w:val="00F125A1"/>
    <w:rsid w:val="00F14A7A"/>
    <w:rsid w:val="00F22985"/>
    <w:rsid w:val="00F310E5"/>
    <w:rsid w:val="00F3383E"/>
    <w:rsid w:val="00F34454"/>
    <w:rsid w:val="00F458BC"/>
    <w:rsid w:val="00F465A7"/>
    <w:rsid w:val="00F50B7C"/>
    <w:rsid w:val="00F550E6"/>
    <w:rsid w:val="00F57509"/>
    <w:rsid w:val="00F74345"/>
    <w:rsid w:val="00F7465F"/>
    <w:rsid w:val="00F80A0A"/>
    <w:rsid w:val="00F82B19"/>
    <w:rsid w:val="00F9212D"/>
    <w:rsid w:val="00F965DA"/>
    <w:rsid w:val="00FA1345"/>
    <w:rsid w:val="00FA406A"/>
    <w:rsid w:val="00FA5AA4"/>
    <w:rsid w:val="00FB503A"/>
    <w:rsid w:val="00FB516C"/>
    <w:rsid w:val="00FD0236"/>
    <w:rsid w:val="00FD18F4"/>
    <w:rsid w:val="00FD54DB"/>
    <w:rsid w:val="00FD619F"/>
    <w:rsid w:val="00FE3C4C"/>
    <w:rsid w:val="00FF204F"/>
    <w:rsid w:val="00FF2EEA"/>
    <w:rsid w:val="00FF527C"/>
    <w:rsid w:val="00FF71E2"/>
    <w:rsid w:val="010333FC"/>
    <w:rsid w:val="010E7C0D"/>
    <w:rsid w:val="01290F7E"/>
    <w:rsid w:val="015B4FE6"/>
    <w:rsid w:val="015D1E09"/>
    <w:rsid w:val="01791EC0"/>
    <w:rsid w:val="01934780"/>
    <w:rsid w:val="019B3879"/>
    <w:rsid w:val="01C963F3"/>
    <w:rsid w:val="022C2324"/>
    <w:rsid w:val="02697903"/>
    <w:rsid w:val="029B4859"/>
    <w:rsid w:val="02AE7397"/>
    <w:rsid w:val="02DE7F81"/>
    <w:rsid w:val="02F96569"/>
    <w:rsid w:val="02FE7140"/>
    <w:rsid w:val="03314144"/>
    <w:rsid w:val="03924FBB"/>
    <w:rsid w:val="03C726D3"/>
    <w:rsid w:val="03CC6D06"/>
    <w:rsid w:val="03EA7B21"/>
    <w:rsid w:val="03F015A1"/>
    <w:rsid w:val="03F6739B"/>
    <w:rsid w:val="04285B7E"/>
    <w:rsid w:val="043F6449"/>
    <w:rsid w:val="044D40A9"/>
    <w:rsid w:val="04D10827"/>
    <w:rsid w:val="04D74983"/>
    <w:rsid w:val="04D74C16"/>
    <w:rsid w:val="052F2A1F"/>
    <w:rsid w:val="058377C4"/>
    <w:rsid w:val="058F3C48"/>
    <w:rsid w:val="059C797B"/>
    <w:rsid w:val="059D3F45"/>
    <w:rsid w:val="05A26ED6"/>
    <w:rsid w:val="05BD0332"/>
    <w:rsid w:val="05C75664"/>
    <w:rsid w:val="05F83EAE"/>
    <w:rsid w:val="060F03FE"/>
    <w:rsid w:val="06175254"/>
    <w:rsid w:val="0619625A"/>
    <w:rsid w:val="061B2F96"/>
    <w:rsid w:val="061C3F4A"/>
    <w:rsid w:val="06304C93"/>
    <w:rsid w:val="063E7D85"/>
    <w:rsid w:val="06850900"/>
    <w:rsid w:val="068E69AA"/>
    <w:rsid w:val="06A50AB1"/>
    <w:rsid w:val="06A6371A"/>
    <w:rsid w:val="06AB60C8"/>
    <w:rsid w:val="06DA4BFF"/>
    <w:rsid w:val="06DC2889"/>
    <w:rsid w:val="06F32E73"/>
    <w:rsid w:val="06FB43DF"/>
    <w:rsid w:val="07293586"/>
    <w:rsid w:val="07295285"/>
    <w:rsid w:val="07464894"/>
    <w:rsid w:val="07636392"/>
    <w:rsid w:val="07770C56"/>
    <w:rsid w:val="0795047E"/>
    <w:rsid w:val="07CD7D59"/>
    <w:rsid w:val="0802440D"/>
    <w:rsid w:val="08064BBD"/>
    <w:rsid w:val="080C7DE7"/>
    <w:rsid w:val="082641D3"/>
    <w:rsid w:val="084D42F2"/>
    <w:rsid w:val="086E1AA3"/>
    <w:rsid w:val="087644C7"/>
    <w:rsid w:val="088B78E9"/>
    <w:rsid w:val="0891281A"/>
    <w:rsid w:val="08FC322B"/>
    <w:rsid w:val="092217DD"/>
    <w:rsid w:val="0928110D"/>
    <w:rsid w:val="093A7294"/>
    <w:rsid w:val="095E01D4"/>
    <w:rsid w:val="098B336E"/>
    <w:rsid w:val="09A137B2"/>
    <w:rsid w:val="09B1399A"/>
    <w:rsid w:val="09DE1759"/>
    <w:rsid w:val="09E82F56"/>
    <w:rsid w:val="0A263993"/>
    <w:rsid w:val="0A2D3AC2"/>
    <w:rsid w:val="0A6429F3"/>
    <w:rsid w:val="0A943317"/>
    <w:rsid w:val="0AA17F77"/>
    <w:rsid w:val="0AA6102D"/>
    <w:rsid w:val="0AA755DF"/>
    <w:rsid w:val="0AB42E07"/>
    <w:rsid w:val="0AB45767"/>
    <w:rsid w:val="0AB949DA"/>
    <w:rsid w:val="0ADB7197"/>
    <w:rsid w:val="0AE25555"/>
    <w:rsid w:val="0AF14009"/>
    <w:rsid w:val="0B0B35D9"/>
    <w:rsid w:val="0B120D44"/>
    <w:rsid w:val="0B386398"/>
    <w:rsid w:val="0B391D91"/>
    <w:rsid w:val="0B472137"/>
    <w:rsid w:val="0B4765DB"/>
    <w:rsid w:val="0B5964AA"/>
    <w:rsid w:val="0B861D13"/>
    <w:rsid w:val="0B9C73B1"/>
    <w:rsid w:val="0BA23811"/>
    <w:rsid w:val="0BD27BF6"/>
    <w:rsid w:val="0C216C91"/>
    <w:rsid w:val="0C3721AC"/>
    <w:rsid w:val="0C39661E"/>
    <w:rsid w:val="0C3B3C7D"/>
    <w:rsid w:val="0C4F5747"/>
    <w:rsid w:val="0C992E66"/>
    <w:rsid w:val="0CAB2EAE"/>
    <w:rsid w:val="0CF21543"/>
    <w:rsid w:val="0CF77927"/>
    <w:rsid w:val="0D467216"/>
    <w:rsid w:val="0D5E1582"/>
    <w:rsid w:val="0D621C7D"/>
    <w:rsid w:val="0D671982"/>
    <w:rsid w:val="0D735465"/>
    <w:rsid w:val="0D86163D"/>
    <w:rsid w:val="0DEB5944"/>
    <w:rsid w:val="0E1815A2"/>
    <w:rsid w:val="0E6B0BD5"/>
    <w:rsid w:val="0E73034D"/>
    <w:rsid w:val="0E8B6E90"/>
    <w:rsid w:val="0EA55AF2"/>
    <w:rsid w:val="0ED10695"/>
    <w:rsid w:val="0EE02463"/>
    <w:rsid w:val="0F13775A"/>
    <w:rsid w:val="0F1B11A8"/>
    <w:rsid w:val="0F451083"/>
    <w:rsid w:val="0F4D6BFC"/>
    <w:rsid w:val="0F525C51"/>
    <w:rsid w:val="0F5F45FE"/>
    <w:rsid w:val="0F7808AD"/>
    <w:rsid w:val="0F86422D"/>
    <w:rsid w:val="0F9A112B"/>
    <w:rsid w:val="0FA05B46"/>
    <w:rsid w:val="0FA97864"/>
    <w:rsid w:val="0FB52DAD"/>
    <w:rsid w:val="0FC50D03"/>
    <w:rsid w:val="0FE31D1E"/>
    <w:rsid w:val="0FFA7511"/>
    <w:rsid w:val="10117298"/>
    <w:rsid w:val="1034712E"/>
    <w:rsid w:val="103510F8"/>
    <w:rsid w:val="104D6442"/>
    <w:rsid w:val="105860C2"/>
    <w:rsid w:val="105D7281"/>
    <w:rsid w:val="106B5E5E"/>
    <w:rsid w:val="106D2F64"/>
    <w:rsid w:val="10A26481"/>
    <w:rsid w:val="10AF0EAA"/>
    <w:rsid w:val="10B63710"/>
    <w:rsid w:val="10EA0A05"/>
    <w:rsid w:val="10F10820"/>
    <w:rsid w:val="111C2F7A"/>
    <w:rsid w:val="112B6488"/>
    <w:rsid w:val="11327CEC"/>
    <w:rsid w:val="11472687"/>
    <w:rsid w:val="115455AE"/>
    <w:rsid w:val="11665CA1"/>
    <w:rsid w:val="117C45F2"/>
    <w:rsid w:val="118506A3"/>
    <w:rsid w:val="11F64BCE"/>
    <w:rsid w:val="12036FB4"/>
    <w:rsid w:val="121E0096"/>
    <w:rsid w:val="123000E1"/>
    <w:rsid w:val="128C6E78"/>
    <w:rsid w:val="128F7E52"/>
    <w:rsid w:val="12F86B39"/>
    <w:rsid w:val="137361BF"/>
    <w:rsid w:val="13951726"/>
    <w:rsid w:val="13B567D8"/>
    <w:rsid w:val="13BA1147"/>
    <w:rsid w:val="13D6674E"/>
    <w:rsid w:val="140A0AC3"/>
    <w:rsid w:val="14396509"/>
    <w:rsid w:val="14553B17"/>
    <w:rsid w:val="148A076E"/>
    <w:rsid w:val="14A24CDE"/>
    <w:rsid w:val="14DD2C3C"/>
    <w:rsid w:val="14E919E1"/>
    <w:rsid w:val="14F96378"/>
    <w:rsid w:val="15120875"/>
    <w:rsid w:val="1513191C"/>
    <w:rsid w:val="15140336"/>
    <w:rsid w:val="156008E3"/>
    <w:rsid w:val="1596722A"/>
    <w:rsid w:val="15BA60C3"/>
    <w:rsid w:val="15EC2259"/>
    <w:rsid w:val="16087E1D"/>
    <w:rsid w:val="16113BC8"/>
    <w:rsid w:val="16123F83"/>
    <w:rsid w:val="161B6634"/>
    <w:rsid w:val="161D4EA1"/>
    <w:rsid w:val="163A2FC4"/>
    <w:rsid w:val="16493207"/>
    <w:rsid w:val="16541A37"/>
    <w:rsid w:val="169F0566"/>
    <w:rsid w:val="16A73138"/>
    <w:rsid w:val="16B34B25"/>
    <w:rsid w:val="170151A8"/>
    <w:rsid w:val="17033CFE"/>
    <w:rsid w:val="17355807"/>
    <w:rsid w:val="174014CD"/>
    <w:rsid w:val="17602EFE"/>
    <w:rsid w:val="17701D14"/>
    <w:rsid w:val="17735226"/>
    <w:rsid w:val="17C112A1"/>
    <w:rsid w:val="17E8608F"/>
    <w:rsid w:val="17FB769F"/>
    <w:rsid w:val="18004A42"/>
    <w:rsid w:val="180416BA"/>
    <w:rsid w:val="18100804"/>
    <w:rsid w:val="182932F0"/>
    <w:rsid w:val="184E694B"/>
    <w:rsid w:val="185E1FEE"/>
    <w:rsid w:val="187D53EA"/>
    <w:rsid w:val="188D3413"/>
    <w:rsid w:val="189F624C"/>
    <w:rsid w:val="18AD2173"/>
    <w:rsid w:val="18B21538"/>
    <w:rsid w:val="18B43502"/>
    <w:rsid w:val="18C272A1"/>
    <w:rsid w:val="19016A7F"/>
    <w:rsid w:val="190A2AF7"/>
    <w:rsid w:val="193432B1"/>
    <w:rsid w:val="198A6011"/>
    <w:rsid w:val="19A846E9"/>
    <w:rsid w:val="19D1362D"/>
    <w:rsid w:val="19DB7D9B"/>
    <w:rsid w:val="19EE48EF"/>
    <w:rsid w:val="19F05074"/>
    <w:rsid w:val="19F54FD2"/>
    <w:rsid w:val="1A0A7B7F"/>
    <w:rsid w:val="1A0F29BA"/>
    <w:rsid w:val="1A11040C"/>
    <w:rsid w:val="1A1C66C0"/>
    <w:rsid w:val="1A206975"/>
    <w:rsid w:val="1A2E2E40"/>
    <w:rsid w:val="1A3A7A37"/>
    <w:rsid w:val="1A42393B"/>
    <w:rsid w:val="1A4F2DB6"/>
    <w:rsid w:val="1A772B45"/>
    <w:rsid w:val="1A9430D0"/>
    <w:rsid w:val="1A9829AF"/>
    <w:rsid w:val="1AA37490"/>
    <w:rsid w:val="1AAD45DE"/>
    <w:rsid w:val="1AB552BA"/>
    <w:rsid w:val="1ACB7B91"/>
    <w:rsid w:val="1AD01555"/>
    <w:rsid w:val="1B046F80"/>
    <w:rsid w:val="1B1F0B0A"/>
    <w:rsid w:val="1B3267B5"/>
    <w:rsid w:val="1B40161D"/>
    <w:rsid w:val="1B441859"/>
    <w:rsid w:val="1B6606B1"/>
    <w:rsid w:val="1B700C2F"/>
    <w:rsid w:val="1B871D66"/>
    <w:rsid w:val="1B8F2996"/>
    <w:rsid w:val="1B9F28ED"/>
    <w:rsid w:val="1BA334FB"/>
    <w:rsid w:val="1BD21EF1"/>
    <w:rsid w:val="1BD73063"/>
    <w:rsid w:val="1BE20386"/>
    <w:rsid w:val="1C0E6FF5"/>
    <w:rsid w:val="1C5E7925"/>
    <w:rsid w:val="1C675EF1"/>
    <w:rsid w:val="1C8C6544"/>
    <w:rsid w:val="1CB93BC8"/>
    <w:rsid w:val="1CFD070F"/>
    <w:rsid w:val="1D5F6196"/>
    <w:rsid w:val="1D6132A5"/>
    <w:rsid w:val="1D8E56D5"/>
    <w:rsid w:val="1D94745E"/>
    <w:rsid w:val="1DB42596"/>
    <w:rsid w:val="1DD45D17"/>
    <w:rsid w:val="1DEC63EB"/>
    <w:rsid w:val="1DFA1A6E"/>
    <w:rsid w:val="1DFA762E"/>
    <w:rsid w:val="1E101D19"/>
    <w:rsid w:val="1E37428D"/>
    <w:rsid w:val="1E7A43DA"/>
    <w:rsid w:val="1E8117D1"/>
    <w:rsid w:val="1E926956"/>
    <w:rsid w:val="1E9D2342"/>
    <w:rsid w:val="1EAF3254"/>
    <w:rsid w:val="1EB3600A"/>
    <w:rsid w:val="1EBB0A1A"/>
    <w:rsid w:val="1EDA3596"/>
    <w:rsid w:val="1EDF6DFF"/>
    <w:rsid w:val="1EE77A61"/>
    <w:rsid w:val="1EF06916"/>
    <w:rsid w:val="1F122EBD"/>
    <w:rsid w:val="1F1F544D"/>
    <w:rsid w:val="1F4B7FF0"/>
    <w:rsid w:val="1F666BD8"/>
    <w:rsid w:val="1F890B18"/>
    <w:rsid w:val="1FA56290"/>
    <w:rsid w:val="1FBD23A3"/>
    <w:rsid w:val="1FE7539E"/>
    <w:rsid w:val="200B1181"/>
    <w:rsid w:val="20384245"/>
    <w:rsid w:val="203B2300"/>
    <w:rsid w:val="20671BE0"/>
    <w:rsid w:val="20881D31"/>
    <w:rsid w:val="20897C83"/>
    <w:rsid w:val="20963CB8"/>
    <w:rsid w:val="2099122F"/>
    <w:rsid w:val="209A7B04"/>
    <w:rsid w:val="20A81A1B"/>
    <w:rsid w:val="20B07FB6"/>
    <w:rsid w:val="20B646FB"/>
    <w:rsid w:val="20C31E08"/>
    <w:rsid w:val="20C412B9"/>
    <w:rsid w:val="20FB5A46"/>
    <w:rsid w:val="213367B8"/>
    <w:rsid w:val="213B74B1"/>
    <w:rsid w:val="215545E9"/>
    <w:rsid w:val="21593573"/>
    <w:rsid w:val="215A2310"/>
    <w:rsid w:val="217A04FD"/>
    <w:rsid w:val="21983295"/>
    <w:rsid w:val="219C2D85"/>
    <w:rsid w:val="21CD73E2"/>
    <w:rsid w:val="21DE318A"/>
    <w:rsid w:val="21EF5B80"/>
    <w:rsid w:val="220F17A9"/>
    <w:rsid w:val="22576990"/>
    <w:rsid w:val="22833F45"/>
    <w:rsid w:val="22CE1BFC"/>
    <w:rsid w:val="22E22A19"/>
    <w:rsid w:val="22E6408F"/>
    <w:rsid w:val="22F47480"/>
    <w:rsid w:val="23030B29"/>
    <w:rsid w:val="23307C29"/>
    <w:rsid w:val="23453342"/>
    <w:rsid w:val="235E19A3"/>
    <w:rsid w:val="235F2283"/>
    <w:rsid w:val="236553F8"/>
    <w:rsid w:val="236B7C30"/>
    <w:rsid w:val="23701168"/>
    <w:rsid w:val="238166D6"/>
    <w:rsid w:val="238476D4"/>
    <w:rsid w:val="23B81D01"/>
    <w:rsid w:val="23C72304"/>
    <w:rsid w:val="23C93BD9"/>
    <w:rsid w:val="23D04F68"/>
    <w:rsid w:val="23DE1C48"/>
    <w:rsid w:val="240210CD"/>
    <w:rsid w:val="24220153"/>
    <w:rsid w:val="242A60B4"/>
    <w:rsid w:val="24443260"/>
    <w:rsid w:val="24782529"/>
    <w:rsid w:val="24A22229"/>
    <w:rsid w:val="24A563F4"/>
    <w:rsid w:val="24BF09F7"/>
    <w:rsid w:val="24D2349B"/>
    <w:rsid w:val="24FD7FDE"/>
    <w:rsid w:val="25196BCA"/>
    <w:rsid w:val="252D53FE"/>
    <w:rsid w:val="25330473"/>
    <w:rsid w:val="253908EB"/>
    <w:rsid w:val="253D17FD"/>
    <w:rsid w:val="25E90563"/>
    <w:rsid w:val="25EC2D81"/>
    <w:rsid w:val="2604539D"/>
    <w:rsid w:val="26153106"/>
    <w:rsid w:val="26162C02"/>
    <w:rsid w:val="26410EC7"/>
    <w:rsid w:val="26553F90"/>
    <w:rsid w:val="266E08B1"/>
    <w:rsid w:val="274C2B57"/>
    <w:rsid w:val="274E2D73"/>
    <w:rsid w:val="276952BC"/>
    <w:rsid w:val="277057A2"/>
    <w:rsid w:val="27AB3114"/>
    <w:rsid w:val="27AC64E8"/>
    <w:rsid w:val="27D86AE1"/>
    <w:rsid w:val="28043432"/>
    <w:rsid w:val="28697739"/>
    <w:rsid w:val="286A4636"/>
    <w:rsid w:val="286C2D0B"/>
    <w:rsid w:val="28762777"/>
    <w:rsid w:val="28954EF4"/>
    <w:rsid w:val="28A54C15"/>
    <w:rsid w:val="28AD02CF"/>
    <w:rsid w:val="28AF7C79"/>
    <w:rsid w:val="28F22113"/>
    <w:rsid w:val="28F434A6"/>
    <w:rsid w:val="290512CB"/>
    <w:rsid w:val="29206EB8"/>
    <w:rsid w:val="29471E48"/>
    <w:rsid w:val="29595666"/>
    <w:rsid w:val="29874881"/>
    <w:rsid w:val="298F3FE5"/>
    <w:rsid w:val="29932CBF"/>
    <w:rsid w:val="29E325E0"/>
    <w:rsid w:val="2A00087D"/>
    <w:rsid w:val="2A0019A0"/>
    <w:rsid w:val="2A002388"/>
    <w:rsid w:val="2A386542"/>
    <w:rsid w:val="2A452503"/>
    <w:rsid w:val="2ABA4E9A"/>
    <w:rsid w:val="2AC96722"/>
    <w:rsid w:val="2AE8703B"/>
    <w:rsid w:val="2AF36D7E"/>
    <w:rsid w:val="2B375B2B"/>
    <w:rsid w:val="2B8F74B6"/>
    <w:rsid w:val="2B9912A2"/>
    <w:rsid w:val="2B9920E3"/>
    <w:rsid w:val="2BA936A8"/>
    <w:rsid w:val="2BDE12E3"/>
    <w:rsid w:val="2C027C88"/>
    <w:rsid w:val="2C315A5A"/>
    <w:rsid w:val="2C3E21E8"/>
    <w:rsid w:val="2C4A5DA1"/>
    <w:rsid w:val="2C4B1C25"/>
    <w:rsid w:val="2C4B33FE"/>
    <w:rsid w:val="2C56507C"/>
    <w:rsid w:val="2C714F6B"/>
    <w:rsid w:val="2C730B86"/>
    <w:rsid w:val="2C762C11"/>
    <w:rsid w:val="2C772A3F"/>
    <w:rsid w:val="2CC05A21"/>
    <w:rsid w:val="2CCC18C4"/>
    <w:rsid w:val="2CD73FCD"/>
    <w:rsid w:val="2D3E1F49"/>
    <w:rsid w:val="2D4748BC"/>
    <w:rsid w:val="2D595FCE"/>
    <w:rsid w:val="2D5F174B"/>
    <w:rsid w:val="2D607DBC"/>
    <w:rsid w:val="2D667AF4"/>
    <w:rsid w:val="2D696B06"/>
    <w:rsid w:val="2D6A1F89"/>
    <w:rsid w:val="2D9E56F5"/>
    <w:rsid w:val="2DFF1040"/>
    <w:rsid w:val="2E06410A"/>
    <w:rsid w:val="2E1E4B22"/>
    <w:rsid w:val="2E2246B3"/>
    <w:rsid w:val="2E3D31FA"/>
    <w:rsid w:val="2E5829F5"/>
    <w:rsid w:val="2E625502"/>
    <w:rsid w:val="2E667F96"/>
    <w:rsid w:val="2E8048D8"/>
    <w:rsid w:val="2E8226AB"/>
    <w:rsid w:val="2EAC6B99"/>
    <w:rsid w:val="2EAD4823"/>
    <w:rsid w:val="2ED229F4"/>
    <w:rsid w:val="2EF67EC2"/>
    <w:rsid w:val="2F2D326E"/>
    <w:rsid w:val="2F31572F"/>
    <w:rsid w:val="2F4E37DB"/>
    <w:rsid w:val="2F725125"/>
    <w:rsid w:val="2F7C08E8"/>
    <w:rsid w:val="2F9A3AF9"/>
    <w:rsid w:val="2FBB1C84"/>
    <w:rsid w:val="2FC040E2"/>
    <w:rsid w:val="2FC55B9D"/>
    <w:rsid w:val="2FC74EA6"/>
    <w:rsid w:val="2FD065E6"/>
    <w:rsid w:val="2FD96870"/>
    <w:rsid w:val="2FDE5D01"/>
    <w:rsid w:val="2FED29FE"/>
    <w:rsid w:val="303E362B"/>
    <w:rsid w:val="30403475"/>
    <w:rsid w:val="30412826"/>
    <w:rsid w:val="304F36B8"/>
    <w:rsid w:val="30580BC9"/>
    <w:rsid w:val="3103697D"/>
    <w:rsid w:val="310B75E3"/>
    <w:rsid w:val="311E2ED7"/>
    <w:rsid w:val="311F6EDC"/>
    <w:rsid w:val="31344D88"/>
    <w:rsid w:val="315619EE"/>
    <w:rsid w:val="315B3828"/>
    <w:rsid w:val="315C449C"/>
    <w:rsid w:val="315C470D"/>
    <w:rsid w:val="31605A6B"/>
    <w:rsid w:val="316F3B31"/>
    <w:rsid w:val="318C3907"/>
    <w:rsid w:val="31904157"/>
    <w:rsid w:val="319F049E"/>
    <w:rsid w:val="31B82709"/>
    <w:rsid w:val="31CA749A"/>
    <w:rsid w:val="31D05482"/>
    <w:rsid w:val="31DB3455"/>
    <w:rsid w:val="31FF0327"/>
    <w:rsid w:val="320C1861"/>
    <w:rsid w:val="320C4364"/>
    <w:rsid w:val="320F04F0"/>
    <w:rsid w:val="3238754E"/>
    <w:rsid w:val="32400B34"/>
    <w:rsid w:val="326300E8"/>
    <w:rsid w:val="326A1422"/>
    <w:rsid w:val="329E6876"/>
    <w:rsid w:val="32D103B5"/>
    <w:rsid w:val="331229FA"/>
    <w:rsid w:val="333015F2"/>
    <w:rsid w:val="33396EC7"/>
    <w:rsid w:val="334735D5"/>
    <w:rsid w:val="334B6320"/>
    <w:rsid w:val="33507242"/>
    <w:rsid w:val="335833CC"/>
    <w:rsid w:val="336638B2"/>
    <w:rsid w:val="33853CB5"/>
    <w:rsid w:val="33CD5888"/>
    <w:rsid w:val="33D934D4"/>
    <w:rsid w:val="33DF3C8C"/>
    <w:rsid w:val="33EB0402"/>
    <w:rsid w:val="33FE2F6A"/>
    <w:rsid w:val="340E07E5"/>
    <w:rsid w:val="34235BF7"/>
    <w:rsid w:val="342F5312"/>
    <w:rsid w:val="346B043A"/>
    <w:rsid w:val="346D6A00"/>
    <w:rsid w:val="34732B28"/>
    <w:rsid w:val="34AF1912"/>
    <w:rsid w:val="34B85CD0"/>
    <w:rsid w:val="34C74165"/>
    <w:rsid w:val="35040FC1"/>
    <w:rsid w:val="35045C40"/>
    <w:rsid w:val="353266A5"/>
    <w:rsid w:val="35496928"/>
    <w:rsid w:val="358C5FA8"/>
    <w:rsid w:val="359009FB"/>
    <w:rsid w:val="359F0C3E"/>
    <w:rsid w:val="35BF2E57"/>
    <w:rsid w:val="35C15DF1"/>
    <w:rsid w:val="35CD60D9"/>
    <w:rsid w:val="35E234DE"/>
    <w:rsid w:val="3602274C"/>
    <w:rsid w:val="36074A7F"/>
    <w:rsid w:val="36126734"/>
    <w:rsid w:val="367B3B26"/>
    <w:rsid w:val="36923549"/>
    <w:rsid w:val="36B75FBF"/>
    <w:rsid w:val="36BD0C45"/>
    <w:rsid w:val="36C650C3"/>
    <w:rsid w:val="36E061C9"/>
    <w:rsid w:val="36FD34CA"/>
    <w:rsid w:val="370C5E5F"/>
    <w:rsid w:val="37133202"/>
    <w:rsid w:val="3716055B"/>
    <w:rsid w:val="37160A8C"/>
    <w:rsid w:val="37246E82"/>
    <w:rsid w:val="375B0906"/>
    <w:rsid w:val="376D2C86"/>
    <w:rsid w:val="377F7423"/>
    <w:rsid w:val="379D3A55"/>
    <w:rsid w:val="37B54749"/>
    <w:rsid w:val="37E00298"/>
    <w:rsid w:val="37E40B8A"/>
    <w:rsid w:val="381C20D2"/>
    <w:rsid w:val="3821593A"/>
    <w:rsid w:val="3843350F"/>
    <w:rsid w:val="38606463"/>
    <w:rsid w:val="38B302F9"/>
    <w:rsid w:val="38F12CD3"/>
    <w:rsid w:val="38F94775"/>
    <w:rsid w:val="39000325"/>
    <w:rsid w:val="391505E2"/>
    <w:rsid w:val="391C3E52"/>
    <w:rsid w:val="39215D79"/>
    <w:rsid w:val="39291289"/>
    <w:rsid w:val="392971ED"/>
    <w:rsid w:val="39325651"/>
    <w:rsid w:val="398529C0"/>
    <w:rsid w:val="39D21B51"/>
    <w:rsid w:val="3A173EB4"/>
    <w:rsid w:val="3A2D6818"/>
    <w:rsid w:val="3A741333"/>
    <w:rsid w:val="3A7D728D"/>
    <w:rsid w:val="3A872856"/>
    <w:rsid w:val="3A8E3210"/>
    <w:rsid w:val="3AB64A60"/>
    <w:rsid w:val="3ABC3831"/>
    <w:rsid w:val="3ABD721A"/>
    <w:rsid w:val="3AF17846"/>
    <w:rsid w:val="3B077069"/>
    <w:rsid w:val="3B1726FC"/>
    <w:rsid w:val="3B1E676A"/>
    <w:rsid w:val="3B3763D1"/>
    <w:rsid w:val="3B381919"/>
    <w:rsid w:val="3B413138"/>
    <w:rsid w:val="3BCA64A2"/>
    <w:rsid w:val="3BF91372"/>
    <w:rsid w:val="3C2F6E1E"/>
    <w:rsid w:val="3C4449AF"/>
    <w:rsid w:val="3C4D13F4"/>
    <w:rsid w:val="3C4F64BA"/>
    <w:rsid w:val="3C7C2B90"/>
    <w:rsid w:val="3C856C26"/>
    <w:rsid w:val="3C9D2543"/>
    <w:rsid w:val="3CC23A44"/>
    <w:rsid w:val="3CDA245A"/>
    <w:rsid w:val="3CDE3DFA"/>
    <w:rsid w:val="3CE07B72"/>
    <w:rsid w:val="3CE37662"/>
    <w:rsid w:val="3CEC4769"/>
    <w:rsid w:val="3CFD1034"/>
    <w:rsid w:val="3D1E06B7"/>
    <w:rsid w:val="3D2C2169"/>
    <w:rsid w:val="3D50494E"/>
    <w:rsid w:val="3D6B7B96"/>
    <w:rsid w:val="3DA16634"/>
    <w:rsid w:val="3DAE5EC2"/>
    <w:rsid w:val="3DD0408A"/>
    <w:rsid w:val="3DFE4BF7"/>
    <w:rsid w:val="3E0755D2"/>
    <w:rsid w:val="3E375EB7"/>
    <w:rsid w:val="3E95464E"/>
    <w:rsid w:val="3E9C1589"/>
    <w:rsid w:val="3EB04831"/>
    <w:rsid w:val="3EDA0523"/>
    <w:rsid w:val="3EDE06FD"/>
    <w:rsid w:val="3EE85404"/>
    <w:rsid w:val="3F295B7E"/>
    <w:rsid w:val="3F487196"/>
    <w:rsid w:val="3F670343"/>
    <w:rsid w:val="3F9C04FB"/>
    <w:rsid w:val="3FC82B68"/>
    <w:rsid w:val="3FE94F8F"/>
    <w:rsid w:val="3FEC2CD2"/>
    <w:rsid w:val="3FFA0FFC"/>
    <w:rsid w:val="40041DC9"/>
    <w:rsid w:val="400D48C5"/>
    <w:rsid w:val="400F17BA"/>
    <w:rsid w:val="404B5C4A"/>
    <w:rsid w:val="40597547"/>
    <w:rsid w:val="406D5BC1"/>
    <w:rsid w:val="407A6407"/>
    <w:rsid w:val="407C5194"/>
    <w:rsid w:val="409C0254"/>
    <w:rsid w:val="40A37834"/>
    <w:rsid w:val="40D95004"/>
    <w:rsid w:val="40EC022B"/>
    <w:rsid w:val="40F005A0"/>
    <w:rsid w:val="40FE518C"/>
    <w:rsid w:val="41263DF8"/>
    <w:rsid w:val="41281AE7"/>
    <w:rsid w:val="41313092"/>
    <w:rsid w:val="41384C8F"/>
    <w:rsid w:val="41450811"/>
    <w:rsid w:val="4164341C"/>
    <w:rsid w:val="41A03A5E"/>
    <w:rsid w:val="41AB44E7"/>
    <w:rsid w:val="41B036E3"/>
    <w:rsid w:val="41DB142F"/>
    <w:rsid w:val="4200449D"/>
    <w:rsid w:val="42200B6E"/>
    <w:rsid w:val="4233158B"/>
    <w:rsid w:val="423A3BCC"/>
    <w:rsid w:val="424E57D2"/>
    <w:rsid w:val="427B69CF"/>
    <w:rsid w:val="428D34CD"/>
    <w:rsid w:val="42A17DA3"/>
    <w:rsid w:val="42A5457A"/>
    <w:rsid w:val="42A63681"/>
    <w:rsid w:val="42B26C49"/>
    <w:rsid w:val="42D24093"/>
    <w:rsid w:val="42FB2EDE"/>
    <w:rsid w:val="43014CE6"/>
    <w:rsid w:val="43093EAF"/>
    <w:rsid w:val="43102132"/>
    <w:rsid w:val="43217136"/>
    <w:rsid w:val="432F1853"/>
    <w:rsid w:val="433A1F52"/>
    <w:rsid w:val="433A6FE6"/>
    <w:rsid w:val="43480868"/>
    <w:rsid w:val="4350713C"/>
    <w:rsid w:val="436653E0"/>
    <w:rsid w:val="437159C8"/>
    <w:rsid w:val="43783A44"/>
    <w:rsid w:val="43AB44CD"/>
    <w:rsid w:val="43C02C41"/>
    <w:rsid w:val="43C4431A"/>
    <w:rsid w:val="43D20EE8"/>
    <w:rsid w:val="43DB178F"/>
    <w:rsid w:val="43FB727A"/>
    <w:rsid w:val="442E3900"/>
    <w:rsid w:val="44AC7B54"/>
    <w:rsid w:val="44B951CC"/>
    <w:rsid w:val="44C63A26"/>
    <w:rsid w:val="44CB27D2"/>
    <w:rsid w:val="44CD14E0"/>
    <w:rsid w:val="44D16614"/>
    <w:rsid w:val="44D43279"/>
    <w:rsid w:val="44F20B0B"/>
    <w:rsid w:val="44FC5765"/>
    <w:rsid w:val="45102FBE"/>
    <w:rsid w:val="4510769E"/>
    <w:rsid w:val="451731DD"/>
    <w:rsid w:val="452E5F4C"/>
    <w:rsid w:val="453C48A8"/>
    <w:rsid w:val="45612018"/>
    <w:rsid w:val="457C3150"/>
    <w:rsid w:val="458852AF"/>
    <w:rsid w:val="45887BD2"/>
    <w:rsid w:val="458946E9"/>
    <w:rsid w:val="45901137"/>
    <w:rsid w:val="45915571"/>
    <w:rsid w:val="45A47C0E"/>
    <w:rsid w:val="45C23E41"/>
    <w:rsid w:val="45C51AB3"/>
    <w:rsid w:val="45CC3389"/>
    <w:rsid w:val="460348D1"/>
    <w:rsid w:val="46072EDA"/>
    <w:rsid w:val="461566C0"/>
    <w:rsid w:val="46334815"/>
    <w:rsid w:val="464E39F8"/>
    <w:rsid w:val="46577FD6"/>
    <w:rsid w:val="46647140"/>
    <w:rsid w:val="467001B9"/>
    <w:rsid w:val="46A460B4"/>
    <w:rsid w:val="46B83E36"/>
    <w:rsid w:val="46C500F1"/>
    <w:rsid w:val="46C93D6D"/>
    <w:rsid w:val="46D955A7"/>
    <w:rsid w:val="47133957"/>
    <w:rsid w:val="4732546E"/>
    <w:rsid w:val="474154D2"/>
    <w:rsid w:val="476E64BF"/>
    <w:rsid w:val="477523F0"/>
    <w:rsid w:val="47826FC4"/>
    <w:rsid w:val="47A07E0C"/>
    <w:rsid w:val="47E43D73"/>
    <w:rsid w:val="47EA5D49"/>
    <w:rsid w:val="480D15C6"/>
    <w:rsid w:val="48337058"/>
    <w:rsid w:val="48380989"/>
    <w:rsid w:val="4870272E"/>
    <w:rsid w:val="48B43D26"/>
    <w:rsid w:val="48B85E47"/>
    <w:rsid w:val="48C77E38"/>
    <w:rsid w:val="48D367DD"/>
    <w:rsid w:val="48F01AB3"/>
    <w:rsid w:val="48F055E1"/>
    <w:rsid w:val="48F57179"/>
    <w:rsid w:val="491F7C74"/>
    <w:rsid w:val="4929069A"/>
    <w:rsid w:val="49470F79"/>
    <w:rsid w:val="49475888"/>
    <w:rsid w:val="495A121A"/>
    <w:rsid w:val="498D2BBA"/>
    <w:rsid w:val="49BF1AFE"/>
    <w:rsid w:val="49DC7715"/>
    <w:rsid w:val="49F421B6"/>
    <w:rsid w:val="4A023139"/>
    <w:rsid w:val="4A071EC2"/>
    <w:rsid w:val="4A743FEF"/>
    <w:rsid w:val="4A76511F"/>
    <w:rsid w:val="4A7B576F"/>
    <w:rsid w:val="4A987CDE"/>
    <w:rsid w:val="4ACB608C"/>
    <w:rsid w:val="4ADA6E16"/>
    <w:rsid w:val="4AE42916"/>
    <w:rsid w:val="4AF561A9"/>
    <w:rsid w:val="4B321EE0"/>
    <w:rsid w:val="4B380023"/>
    <w:rsid w:val="4B5D6832"/>
    <w:rsid w:val="4B6F6C84"/>
    <w:rsid w:val="4B706F82"/>
    <w:rsid w:val="4B8536E4"/>
    <w:rsid w:val="4B8F7333"/>
    <w:rsid w:val="4BB04E7C"/>
    <w:rsid w:val="4BC253CF"/>
    <w:rsid w:val="4BCD39B7"/>
    <w:rsid w:val="4BD632E4"/>
    <w:rsid w:val="4C1B2975"/>
    <w:rsid w:val="4C1C70B8"/>
    <w:rsid w:val="4C4A0649"/>
    <w:rsid w:val="4C79390D"/>
    <w:rsid w:val="4C7B0D38"/>
    <w:rsid w:val="4C7E5ECA"/>
    <w:rsid w:val="4C876AA5"/>
    <w:rsid w:val="4CAA5AA7"/>
    <w:rsid w:val="4CAE1ABA"/>
    <w:rsid w:val="4CB00843"/>
    <w:rsid w:val="4CC50B32"/>
    <w:rsid w:val="4CFD5C34"/>
    <w:rsid w:val="4D0553D3"/>
    <w:rsid w:val="4D0E00FB"/>
    <w:rsid w:val="4D10359A"/>
    <w:rsid w:val="4D176606"/>
    <w:rsid w:val="4D257EFD"/>
    <w:rsid w:val="4D3B658F"/>
    <w:rsid w:val="4D5749A5"/>
    <w:rsid w:val="4D8758C1"/>
    <w:rsid w:val="4DEC4FB0"/>
    <w:rsid w:val="4DF25C03"/>
    <w:rsid w:val="4E075D8A"/>
    <w:rsid w:val="4E08155A"/>
    <w:rsid w:val="4E1A59EE"/>
    <w:rsid w:val="4E1C1FAE"/>
    <w:rsid w:val="4E546612"/>
    <w:rsid w:val="4E597784"/>
    <w:rsid w:val="4E740A62"/>
    <w:rsid w:val="4EC00FAD"/>
    <w:rsid w:val="4ED94ABC"/>
    <w:rsid w:val="4F0B065C"/>
    <w:rsid w:val="4F3E6BB8"/>
    <w:rsid w:val="4F4C48A4"/>
    <w:rsid w:val="4F55619D"/>
    <w:rsid w:val="4F9111A0"/>
    <w:rsid w:val="4F9843DC"/>
    <w:rsid w:val="4F99125A"/>
    <w:rsid w:val="4F9A0054"/>
    <w:rsid w:val="4FBC5A93"/>
    <w:rsid w:val="4FC62A8C"/>
    <w:rsid w:val="4FCC0252"/>
    <w:rsid w:val="4FE20F0D"/>
    <w:rsid w:val="4FE51552"/>
    <w:rsid w:val="50033E4B"/>
    <w:rsid w:val="500E53BA"/>
    <w:rsid w:val="502618E8"/>
    <w:rsid w:val="50275849"/>
    <w:rsid w:val="50504C4B"/>
    <w:rsid w:val="50593094"/>
    <w:rsid w:val="50633A02"/>
    <w:rsid w:val="50650662"/>
    <w:rsid w:val="50836185"/>
    <w:rsid w:val="50861674"/>
    <w:rsid w:val="5086260A"/>
    <w:rsid w:val="508C19D3"/>
    <w:rsid w:val="509C6E7C"/>
    <w:rsid w:val="50B14505"/>
    <w:rsid w:val="50CA7E8A"/>
    <w:rsid w:val="515E76C4"/>
    <w:rsid w:val="5162104E"/>
    <w:rsid w:val="517A638F"/>
    <w:rsid w:val="518B5E73"/>
    <w:rsid w:val="51977067"/>
    <w:rsid w:val="51B1799A"/>
    <w:rsid w:val="51BD1D19"/>
    <w:rsid w:val="51C060F6"/>
    <w:rsid w:val="51C07B1A"/>
    <w:rsid w:val="51CF5F06"/>
    <w:rsid w:val="51F6450F"/>
    <w:rsid w:val="520E350C"/>
    <w:rsid w:val="525A0016"/>
    <w:rsid w:val="52606EB3"/>
    <w:rsid w:val="52B61649"/>
    <w:rsid w:val="52BE30EA"/>
    <w:rsid w:val="52CA6EA2"/>
    <w:rsid w:val="531E71EE"/>
    <w:rsid w:val="532A5B93"/>
    <w:rsid w:val="535F3A8F"/>
    <w:rsid w:val="53635489"/>
    <w:rsid w:val="53A039CC"/>
    <w:rsid w:val="53A1505A"/>
    <w:rsid w:val="54063E08"/>
    <w:rsid w:val="54145386"/>
    <w:rsid w:val="543437E8"/>
    <w:rsid w:val="548412D3"/>
    <w:rsid w:val="548B08B3"/>
    <w:rsid w:val="54E33008"/>
    <w:rsid w:val="54F73313"/>
    <w:rsid w:val="54F80955"/>
    <w:rsid w:val="55043D58"/>
    <w:rsid w:val="551408A9"/>
    <w:rsid w:val="552115FB"/>
    <w:rsid w:val="552247B0"/>
    <w:rsid w:val="552810B5"/>
    <w:rsid w:val="552D17D9"/>
    <w:rsid w:val="55381463"/>
    <w:rsid w:val="55437EC2"/>
    <w:rsid w:val="555170A7"/>
    <w:rsid w:val="5587536D"/>
    <w:rsid w:val="559B174B"/>
    <w:rsid w:val="55A06354"/>
    <w:rsid w:val="55CE0CF4"/>
    <w:rsid w:val="55D9201E"/>
    <w:rsid w:val="55DB79C3"/>
    <w:rsid w:val="55E57E9B"/>
    <w:rsid w:val="564C10A3"/>
    <w:rsid w:val="56B22A9C"/>
    <w:rsid w:val="576A0C54"/>
    <w:rsid w:val="576D2E8E"/>
    <w:rsid w:val="57715B3F"/>
    <w:rsid w:val="57A051DB"/>
    <w:rsid w:val="57A06424"/>
    <w:rsid w:val="57B554F4"/>
    <w:rsid w:val="57B72A76"/>
    <w:rsid w:val="57C32112"/>
    <w:rsid w:val="57C3426C"/>
    <w:rsid w:val="57CE1F93"/>
    <w:rsid w:val="584206A2"/>
    <w:rsid w:val="584A457D"/>
    <w:rsid w:val="58564D34"/>
    <w:rsid w:val="58627B7D"/>
    <w:rsid w:val="58644642"/>
    <w:rsid w:val="588743D1"/>
    <w:rsid w:val="5887701A"/>
    <w:rsid w:val="58B50E3B"/>
    <w:rsid w:val="58FD72CB"/>
    <w:rsid w:val="590460C5"/>
    <w:rsid w:val="590B30A7"/>
    <w:rsid w:val="591103A6"/>
    <w:rsid w:val="592E0CA5"/>
    <w:rsid w:val="59315084"/>
    <w:rsid w:val="59401C6C"/>
    <w:rsid w:val="59684127"/>
    <w:rsid w:val="59981AA8"/>
    <w:rsid w:val="599B50F5"/>
    <w:rsid w:val="599E2E37"/>
    <w:rsid w:val="59AA5338"/>
    <w:rsid w:val="59C0439F"/>
    <w:rsid w:val="59DE0D30"/>
    <w:rsid w:val="59F7217B"/>
    <w:rsid w:val="5A2B02F3"/>
    <w:rsid w:val="5A425C0E"/>
    <w:rsid w:val="5A93401E"/>
    <w:rsid w:val="5A9D2BBD"/>
    <w:rsid w:val="5ABE2233"/>
    <w:rsid w:val="5AD42FAA"/>
    <w:rsid w:val="5B1A1B5F"/>
    <w:rsid w:val="5B1F145B"/>
    <w:rsid w:val="5B250E62"/>
    <w:rsid w:val="5B413A7A"/>
    <w:rsid w:val="5B57329D"/>
    <w:rsid w:val="5B615ECA"/>
    <w:rsid w:val="5B6339F0"/>
    <w:rsid w:val="5B7606F0"/>
    <w:rsid w:val="5B7C18B8"/>
    <w:rsid w:val="5B8D37DC"/>
    <w:rsid w:val="5BA65FD3"/>
    <w:rsid w:val="5BB71388"/>
    <w:rsid w:val="5BBB7CD0"/>
    <w:rsid w:val="5BDF5D95"/>
    <w:rsid w:val="5BE60778"/>
    <w:rsid w:val="5BFE7528"/>
    <w:rsid w:val="5C40484A"/>
    <w:rsid w:val="5C4952DC"/>
    <w:rsid w:val="5C5B6DBD"/>
    <w:rsid w:val="5C6D486F"/>
    <w:rsid w:val="5C855BE8"/>
    <w:rsid w:val="5C8A308B"/>
    <w:rsid w:val="5CEB5945"/>
    <w:rsid w:val="5CF07506"/>
    <w:rsid w:val="5CF11A01"/>
    <w:rsid w:val="5D6121B1"/>
    <w:rsid w:val="5D8D2FA6"/>
    <w:rsid w:val="5DA80769"/>
    <w:rsid w:val="5E190643"/>
    <w:rsid w:val="5E1A71EB"/>
    <w:rsid w:val="5E2467F1"/>
    <w:rsid w:val="5E49425A"/>
    <w:rsid w:val="5E506414"/>
    <w:rsid w:val="5EB212A8"/>
    <w:rsid w:val="5EBC489D"/>
    <w:rsid w:val="5EC24ED2"/>
    <w:rsid w:val="5ECA164D"/>
    <w:rsid w:val="5EFA466C"/>
    <w:rsid w:val="5F013C4C"/>
    <w:rsid w:val="5F1A2B43"/>
    <w:rsid w:val="5F1B7228"/>
    <w:rsid w:val="5F350DB4"/>
    <w:rsid w:val="5F353CE5"/>
    <w:rsid w:val="5F64242D"/>
    <w:rsid w:val="5F8018A3"/>
    <w:rsid w:val="5F8A1DD7"/>
    <w:rsid w:val="5F93061C"/>
    <w:rsid w:val="5FA96C00"/>
    <w:rsid w:val="5FB837BB"/>
    <w:rsid w:val="5FBC4017"/>
    <w:rsid w:val="5FC270E8"/>
    <w:rsid w:val="5FDB152F"/>
    <w:rsid w:val="5FE84E0C"/>
    <w:rsid w:val="5FFA12F2"/>
    <w:rsid w:val="60011A2A"/>
    <w:rsid w:val="6009311E"/>
    <w:rsid w:val="60206354"/>
    <w:rsid w:val="60237BF2"/>
    <w:rsid w:val="607246D5"/>
    <w:rsid w:val="608A5231"/>
    <w:rsid w:val="609E6D1D"/>
    <w:rsid w:val="60A87566"/>
    <w:rsid w:val="60B50DF0"/>
    <w:rsid w:val="60BD4A64"/>
    <w:rsid w:val="60CC405A"/>
    <w:rsid w:val="60D235C8"/>
    <w:rsid w:val="60D25C86"/>
    <w:rsid w:val="60D81D03"/>
    <w:rsid w:val="60E4014E"/>
    <w:rsid w:val="60F65306"/>
    <w:rsid w:val="616A650E"/>
    <w:rsid w:val="61A56CE3"/>
    <w:rsid w:val="61BD7601"/>
    <w:rsid w:val="61C340E8"/>
    <w:rsid w:val="61C40F61"/>
    <w:rsid w:val="61CE010D"/>
    <w:rsid w:val="61D17319"/>
    <w:rsid w:val="61D95F6F"/>
    <w:rsid w:val="61E11B13"/>
    <w:rsid w:val="61E215D8"/>
    <w:rsid w:val="61E5789B"/>
    <w:rsid w:val="61F50F1C"/>
    <w:rsid w:val="6214144E"/>
    <w:rsid w:val="621B3775"/>
    <w:rsid w:val="621E1A66"/>
    <w:rsid w:val="621F5935"/>
    <w:rsid w:val="622F0AD0"/>
    <w:rsid w:val="62307044"/>
    <w:rsid w:val="623205C0"/>
    <w:rsid w:val="62340232"/>
    <w:rsid w:val="62364782"/>
    <w:rsid w:val="6246684F"/>
    <w:rsid w:val="62824FE7"/>
    <w:rsid w:val="62B21879"/>
    <w:rsid w:val="62C03E1E"/>
    <w:rsid w:val="62E25068"/>
    <w:rsid w:val="62EB6F6B"/>
    <w:rsid w:val="62F27F5B"/>
    <w:rsid w:val="633E223A"/>
    <w:rsid w:val="6347190D"/>
    <w:rsid w:val="6355637E"/>
    <w:rsid w:val="635A1B7D"/>
    <w:rsid w:val="636235E6"/>
    <w:rsid w:val="6394356A"/>
    <w:rsid w:val="63B12184"/>
    <w:rsid w:val="63C61B2C"/>
    <w:rsid w:val="63C630B6"/>
    <w:rsid w:val="63C97964"/>
    <w:rsid w:val="63D062E3"/>
    <w:rsid w:val="63D40BE9"/>
    <w:rsid w:val="63D54E77"/>
    <w:rsid w:val="63F87D92"/>
    <w:rsid w:val="64102431"/>
    <w:rsid w:val="641D75A7"/>
    <w:rsid w:val="642C4A06"/>
    <w:rsid w:val="646A4F87"/>
    <w:rsid w:val="646E32A3"/>
    <w:rsid w:val="646F7D9A"/>
    <w:rsid w:val="64A5243A"/>
    <w:rsid w:val="64A826AD"/>
    <w:rsid w:val="64B20CE1"/>
    <w:rsid w:val="64D66A32"/>
    <w:rsid w:val="64E650D1"/>
    <w:rsid w:val="64F531DE"/>
    <w:rsid w:val="65373578"/>
    <w:rsid w:val="6546685C"/>
    <w:rsid w:val="65895914"/>
    <w:rsid w:val="65C362F9"/>
    <w:rsid w:val="65DA29BA"/>
    <w:rsid w:val="65E83723"/>
    <w:rsid w:val="65F242EE"/>
    <w:rsid w:val="66165402"/>
    <w:rsid w:val="661D6845"/>
    <w:rsid w:val="6635067F"/>
    <w:rsid w:val="66521231"/>
    <w:rsid w:val="6679056C"/>
    <w:rsid w:val="66803B38"/>
    <w:rsid w:val="66D03A26"/>
    <w:rsid w:val="66D67198"/>
    <w:rsid w:val="66FD391F"/>
    <w:rsid w:val="671F124A"/>
    <w:rsid w:val="674D37A6"/>
    <w:rsid w:val="677A33C6"/>
    <w:rsid w:val="677C145B"/>
    <w:rsid w:val="67E055A1"/>
    <w:rsid w:val="67EE0AE5"/>
    <w:rsid w:val="681F6961"/>
    <w:rsid w:val="6821246E"/>
    <w:rsid w:val="68550B65"/>
    <w:rsid w:val="68610A2F"/>
    <w:rsid w:val="687E00BB"/>
    <w:rsid w:val="68805514"/>
    <w:rsid w:val="6889691D"/>
    <w:rsid w:val="689B5BED"/>
    <w:rsid w:val="689E42BA"/>
    <w:rsid w:val="68E01088"/>
    <w:rsid w:val="68E503E3"/>
    <w:rsid w:val="68F26B04"/>
    <w:rsid w:val="69146B29"/>
    <w:rsid w:val="69316E2F"/>
    <w:rsid w:val="694E2071"/>
    <w:rsid w:val="69504E69"/>
    <w:rsid w:val="69523277"/>
    <w:rsid w:val="69626818"/>
    <w:rsid w:val="69766163"/>
    <w:rsid w:val="697A3B33"/>
    <w:rsid w:val="6991654B"/>
    <w:rsid w:val="69971DA0"/>
    <w:rsid w:val="69A53FC4"/>
    <w:rsid w:val="69AE369B"/>
    <w:rsid w:val="69C77840"/>
    <w:rsid w:val="69C81065"/>
    <w:rsid w:val="69CF7B58"/>
    <w:rsid w:val="69D44760"/>
    <w:rsid w:val="69E716D5"/>
    <w:rsid w:val="6A09670C"/>
    <w:rsid w:val="6A294057"/>
    <w:rsid w:val="6A520EC7"/>
    <w:rsid w:val="6A525991"/>
    <w:rsid w:val="6A5A4F50"/>
    <w:rsid w:val="6A5E41E4"/>
    <w:rsid w:val="6A763739"/>
    <w:rsid w:val="6A8230A3"/>
    <w:rsid w:val="6A8D6CDC"/>
    <w:rsid w:val="6AD77F57"/>
    <w:rsid w:val="6AEB755E"/>
    <w:rsid w:val="6AF87E20"/>
    <w:rsid w:val="6B272C8C"/>
    <w:rsid w:val="6B2A62D8"/>
    <w:rsid w:val="6B2C1D44"/>
    <w:rsid w:val="6B2D150E"/>
    <w:rsid w:val="6B322639"/>
    <w:rsid w:val="6B4F5D3F"/>
    <w:rsid w:val="6B662F6D"/>
    <w:rsid w:val="6B866A9F"/>
    <w:rsid w:val="6BAD2A66"/>
    <w:rsid w:val="6BDE5AD6"/>
    <w:rsid w:val="6BE446D9"/>
    <w:rsid w:val="6BF33551"/>
    <w:rsid w:val="6C042623"/>
    <w:rsid w:val="6C042FCD"/>
    <w:rsid w:val="6C636C38"/>
    <w:rsid w:val="6C7D2605"/>
    <w:rsid w:val="6D383BCB"/>
    <w:rsid w:val="6D4F2026"/>
    <w:rsid w:val="6D5B4931"/>
    <w:rsid w:val="6D71439B"/>
    <w:rsid w:val="6D714693"/>
    <w:rsid w:val="6D851EEC"/>
    <w:rsid w:val="6D9D7236"/>
    <w:rsid w:val="6DAC7479"/>
    <w:rsid w:val="6DB34098"/>
    <w:rsid w:val="6DB545B6"/>
    <w:rsid w:val="6DC748C4"/>
    <w:rsid w:val="6DE02FB4"/>
    <w:rsid w:val="6DFB23EA"/>
    <w:rsid w:val="6E4753F3"/>
    <w:rsid w:val="6E4C08CD"/>
    <w:rsid w:val="6E514CED"/>
    <w:rsid w:val="6E5813AF"/>
    <w:rsid w:val="6E977E5B"/>
    <w:rsid w:val="6EB563D5"/>
    <w:rsid w:val="6ED92677"/>
    <w:rsid w:val="6F1E29AB"/>
    <w:rsid w:val="6F225983"/>
    <w:rsid w:val="6F433BCE"/>
    <w:rsid w:val="6F833C84"/>
    <w:rsid w:val="6FB22D40"/>
    <w:rsid w:val="6FCE3484"/>
    <w:rsid w:val="6FCE7B7A"/>
    <w:rsid w:val="6FEC1DAE"/>
    <w:rsid w:val="6FFC5590"/>
    <w:rsid w:val="6FFC636C"/>
    <w:rsid w:val="703D6015"/>
    <w:rsid w:val="705773CD"/>
    <w:rsid w:val="706A53C9"/>
    <w:rsid w:val="706D1DD0"/>
    <w:rsid w:val="70856B87"/>
    <w:rsid w:val="708D5594"/>
    <w:rsid w:val="70AC7790"/>
    <w:rsid w:val="70B42D68"/>
    <w:rsid w:val="70B76FC3"/>
    <w:rsid w:val="70C3335B"/>
    <w:rsid w:val="70D527EE"/>
    <w:rsid w:val="71140838"/>
    <w:rsid w:val="71221187"/>
    <w:rsid w:val="712D08D1"/>
    <w:rsid w:val="714D6659"/>
    <w:rsid w:val="715B13A8"/>
    <w:rsid w:val="715B5300"/>
    <w:rsid w:val="7166670A"/>
    <w:rsid w:val="71B44B4E"/>
    <w:rsid w:val="71D27F8A"/>
    <w:rsid w:val="720A37A0"/>
    <w:rsid w:val="720E0702"/>
    <w:rsid w:val="72387A20"/>
    <w:rsid w:val="724E074F"/>
    <w:rsid w:val="72553024"/>
    <w:rsid w:val="728564EA"/>
    <w:rsid w:val="72A5555B"/>
    <w:rsid w:val="72A65B21"/>
    <w:rsid w:val="72D1155E"/>
    <w:rsid w:val="72F323EB"/>
    <w:rsid w:val="73122968"/>
    <w:rsid w:val="731F5D5E"/>
    <w:rsid w:val="73223D39"/>
    <w:rsid w:val="73231B47"/>
    <w:rsid w:val="73351CBE"/>
    <w:rsid w:val="734775F2"/>
    <w:rsid w:val="734F646F"/>
    <w:rsid w:val="73655402"/>
    <w:rsid w:val="73724CC1"/>
    <w:rsid w:val="738A025C"/>
    <w:rsid w:val="739764D5"/>
    <w:rsid w:val="73BF43AC"/>
    <w:rsid w:val="73C37F71"/>
    <w:rsid w:val="73C51AD5"/>
    <w:rsid w:val="73CB5F91"/>
    <w:rsid w:val="740858BB"/>
    <w:rsid w:val="741E11CF"/>
    <w:rsid w:val="741E793C"/>
    <w:rsid w:val="74533F11"/>
    <w:rsid w:val="745E2B51"/>
    <w:rsid w:val="745E3944"/>
    <w:rsid w:val="746315ED"/>
    <w:rsid w:val="74687E72"/>
    <w:rsid w:val="746E2DD8"/>
    <w:rsid w:val="74CC21AE"/>
    <w:rsid w:val="74D35ED2"/>
    <w:rsid w:val="74D90A92"/>
    <w:rsid w:val="74E20433"/>
    <w:rsid w:val="74FB52B8"/>
    <w:rsid w:val="750D1F96"/>
    <w:rsid w:val="75114065"/>
    <w:rsid w:val="751902BF"/>
    <w:rsid w:val="75297C98"/>
    <w:rsid w:val="75537945"/>
    <w:rsid w:val="755503F6"/>
    <w:rsid w:val="75696518"/>
    <w:rsid w:val="75732004"/>
    <w:rsid w:val="75890BDE"/>
    <w:rsid w:val="758A6119"/>
    <w:rsid w:val="75C31B61"/>
    <w:rsid w:val="75F8032E"/>
    <w:rsid w:val="75F83608"/>
    <w:rsid w:val="760F2C1D"/>
    <w:rsid w:val="76286F0E"/>
    <w:rsid w:val="7635099D"/>
    <w:rsid w:val="763B3A90"/>
    <w:rsid w:val="76772CA8"/>
    <w:rsid w:val="76906942"/>
    <w:rsid w:val="76A35191"/>
    <w:rsid w:val="76D37824"/>
    <w:rsid w:val="76DD1F36"/>
    <w:rsid w:val="76F37D26"/>
    <w:rsid w:val="772D6E8E"/>
    <w:rsid w:val="77403417"/>
    <w:rsid w:val="776350D7"/>
    <w:rsid w:val="77660698"/>
    <w:rsid w:val="77762421"/>
    <w:rsid w:val="77A90002"/>
    <w:rsid w:val="77B56B1F"/>
    <w:rsid w:val="780F09F4"/>
    <w:rsid w:val="78211F6B"/>
    <w:rsid w:val="782347DB"/>
    <w:rsid w:val="78236589"/>
    <w:rsid w:val="78453352"/>
    <w:rsid w:val="784D3606"/>
    <w:rsid w:val="7853757A"/>
    <w:rsid w:val="78563689"/>
    <w:rsid w:val="78630497"/>
    <w:rsid w:val="787D32BE"/>
    <w:rsid w:val="788A03B6"/>
    <w:rsid w:val="78A90480"/>
    <w:rsid w:val="78B071A9"/>
    <w:rsid w:val="78C05BFB"/>
    <w:rsid w:val="78CB5C49"/>
    <w:rsid w:val="79442C5B"/>
    <w:rsid w:val="79786DA9"/>
    <w:rsid w:val="797D43BF"/>
    <w:rsid w:val="79837A85"/>
    <w:rsid w:val="79B163B3"/>
    <w:rsid w:val="79BC7EB8"/>
    <w:rsid w:val="79CF4125"/>
    <w:rsid w:val="79DF5D1A"/>
    <w:rsid w:val="79FA798D"/>
    <w:rsid w:val="79FD3A44"/>
    <w:rsid w:val="7A08012D"/>
    <w:rsid w:val="7A0B19CB"/>
    <w:rsid w:val="7A2C1408"/>
    <w:rsid w:val="7A314686"/>
    <w:rsid w:val="7A31714E"/>
    <w:rsid w:val="7A336E66"/>
    <w:rsid w:val="7A364017"/>
    <w:rsid w:val="7A401675"/>
    <w:rsid w:val="7A4D1AA9"/>
    <w:rsid w:val="7A5A025C"/>
    <w:rsid w:val="7A8265E1"/>
    <w:rsid w:val="7AB23BF5"/>
    <w:rsid w:val="7AC34408"/>
    <w:rsid w:val="7AD26045"/>
    <w:rsid w:val="7AD46796"/>
    <w:rsid w:val="7B2F65CA"/>
    <w:rsid w:val="7B4F22A3"/>
    <w:rsid w:val="7B56133C"/>
    <w:rsid w:val="7B686D42"/>
    <w:rsid w:val="7B841746"/>
    <w:rsid w:val="7BB06D85"/>
    <w:rsid w:val="7BB43358"/>
    <w:rsid w:val="7BCE76B2"/>
    <w:rsid w:val="7BD000C6"/>
    <w:rsid w:val="7BD465E1"/>
    <w:rsid w:val="7C0B5C60"/>
    <w:rsid w:val="7C2D6BDC"/>
    <w:rsid w:val="7C573F5C"/>
    <w:rsid w:val="7C6C5AC7"/>
    <w:rsid w:val="7CC6544B"/>
    <w:rsid w:val="7CD41616"/>
    <w:rsid w:val="7D0239FF"/>
    <w:rsid w:val="7D382AD7"/>
    <w:rsid w:val="7D384885"/>
    <w:rsid w:val="7D407BDD"/>
    <w:rsid w:val="7D490A42"/>
    <w:rsid w:val="7D5E40CD"/>
    <w:rsid w:val="7D621EED"/>
    <w:rsid w:val="7D63567A"/>
    <w:rsid w:val="7DB14EB4"/>
    <w:rsid w:val="7DCD56F2"/>
    <w:rsid w:val="7DDC7906"/>
    <w:rsid w:val="7DE06CCB"/>
    <w:rsid w:val="7DF924A2"/>
    <w:rsid w:val="7E1C5F55"/>
    <w:rsid w:val="7E2E028C"/>
    <w:rsid w:val="7E2E3EDA"/>
    <w:rsid w:val="7E4030DF"/>
    <w:rsid w:val="7E66669B"/>
    <w:rsid w:val="7E761F86"/>
    <w:rsid w:val="7E7F1AD5"/>
    <w:rsid w:val="7E933DC7"/>
    <w:rsid w:val="7EAA3560"/>
    <w:rsid w:val="7EBF4D99"/>
    <w:rsid w:val="7F001CE7"/>
    <w:rsid w:val="7F281721"/>
    <w:rsid w:val="7F335FF7"/>
    <w:rsid w:val="7F3F2227"/>
    <w:rsid w:val="7F420AFE"/>
    <w:rsid w:val="7F4C279C"/>
    <w:rsid w:val="7F922F03"/>
    <w:rsid w:val="7F957DA2"/>
    <w:rsid w:val="7FA51D85"/>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qFormat="1"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ocked="1"/>
    <w:lsdException w:qFormat="1" w:unhideWhenUsed="0" w:uiPriority="0" w:semiHidden="0" w:name="annotation text"/>
    <w:lsdException w:unhideWhenUsed="0" w:uiPriority="0" w:semiHidden="0" w:name="header"/>
    <w:lsdException w:qFormat="1" w:unhideWhenUsed="0" w:uiPriority="99" w:semiHidden="0" w:name="footer"/>
    <w:lsdException w:unhideWhenUsed="0" w:uiPriority="0" w:semiHidden="0" w:name="index heading" w:locked="1"/>
    <w:lsdException w:qFormat="1" w:uiPriority="0" w:semiHidden="0" w:name="caption" w:locked="1"/>
    <w:lsdException w:unhideWhenUsed="0" w:uiPriority="0" w:semiHidden="0" w:name="table of figures" w:locked="1"/>
    <w:lsdException w:unhideWhenUsed="0" w:uiPriority="0" w:semiHidden="0" w:name="envelope address" w:locked="1"/>
    <w:lsdException w:qFormat="1"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qFormat="1" w:unhideWhenUsed="0" w:uiPriority="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qFormat="1" w:uiPriority="99" w:semiHidden="0" w:name="Salutation" w:locked="1"/>
    <w:lsdException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ocked="1"/>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20" w:semiHidden="0" w:name="Emphasis" w:locked="1"/>
    <w:lsdException w:unhideWhenUsed="0" w:uiPriority="0" w:semiHidden="0" w:name="Document Map" w:locked="1"/>
    <w:lsdException w:qFormat="1" w:unhideWhenUsed="0" w:uiPriority="0" w:semiHidden="0" w:name="Plain Text"/>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unhideWhenUsed="0" w:uiPriority="0" w:semiHidden="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unhideWhenUsed="0" w:uiPriority="0" w:semiHidden="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72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qFormat/>
    <w:locked/>
    <w:uiPriority w:val="99"/>
    <w:pPr>
      <w:numPr>
        <w:ilvl w:val="0"/>
        <w:numId w:val="1"/>
      </w:numPr>
      <w:tabs>
        <w:tab w:val="left" w:pos="715"/>
        <w:tab w:val="clear" w:pos="420"/>
      </w:tabs>
      <w:adjustRightInd/>
      <w:snapToGrid/>
      <w:spacing w:line="360" w:lineRule="auto"/>
      <w:ind w:firstLine="0" w:firstLineChars="0"/>
      <w:jc w:val="center"/>
      <w:outlineLvl w:val="0"/>
    </w:pPr>
    <w:rPr>
      <w:rFonts w:ascii="Times New Roman" w:hAnsi="Times New Roman" w:eastAsia="黑体" w:cs="Times New Roman"/>
      <w:snapToGrid w:val="0"/>
      <w:color w:val="000000"/>
      <w:sz w:val="32"/>
      <w:szCs w:val="30"/>
    </w:rPr>
  </w:style>
  <w:style w:type="paragraph" w:styleId="3">
    <w:name w:val="heading 2"/>
    <w:basedOn w:val="1"/>
    <w:next w:val="1"/>
    <w:link w:val="41"/>
    <w:qFormat/>
    <w:locked/>
    <w:uiPriority w:val="0"/>
    <w:pPr>
      <w:numPr>
        <w:ilvl w:val="1"/>
        <w:numId w:val="1"/>
      </w:numPr>
      <w:tabs>
        <w:tab w:val="left" w:pos="0"/>
        <w:tab w:val="clear" w:pos="420"/>
      </w:tabs>
      <w:adjustRightInd w:val="0"/>
      <w:snapToGrid w:val="0"/>
      <w:ind w:firstLine="0" w:firstLineChars="0"/>
      <w:jc w:val="both"/>
      <w:outlineLvl w:val="1"/>
    </w:pPr>
    <w:rPr>
      <w:rFonts w:ascii="Times New Roman" w:hAnsi="Times New Roman" w:eastAsia="宋体" w:cs="Times New Roman"/>
      <w:b/>
      <w:bCs/>
      <w:color w:val="auto"/>
      <w:sz w:val="24"/>
      <w:szCs w:val="28"/>
    </w:rPr>
  </w:style>
  <w:style w:type="paragraph" w:styleId="4">
    <w:name w:val="heading 3"/>
    <w:basedOn w:val="1"/>
    <w:link w:val="42"/>
    <w:qFormat/>
    <w:locked/>
    <w:uiPriority w:val="0"/>
    <w:pPr>
      <w:keepNext/>
      <w:keepLines/>
      <w:numPr>
        <w:ilvl w:val="2"/>
        <w:numId w:val="1"/>
      </w:numPr>
      <w:tabs>
        <w:tab w:val="left" w:pos="0"/>
        <w:tab w:val="clear" w:pos="420"/>
      </w:tabs>
      <w:spacing w:line="440" w:lineRule="exact"/>
      <w:ind w:firstLine="0" w:firstLineChars="0"/>
      <w:outlineLvl w:val="2"/>
    </w:pPr>
    <w:rPr>
      <w:rFonts w:ascii="Times New Roman" w:hAnsi="Times New Roman" w:eastAsia="宋体"/>
      <w:b/>
      <w:bCs/>
      <w:sz w:val="24"/>
      <w:szCs w:val="32"/>
    </w:rPr>
  </w:style>
  <w:style w:type="paragraph" w:styleId="5">
    <w:name w:val="heading 4"/>
    <w:basedOn w:val="1"/>
    <w:next w:val="1"/>
    <w:qFormat/>
    <w:locked/>
    <w:uiPriority w:val="0"/>
    <w:pPr>
      <w:numPr>
        <w:ilvl w:val="3"/>
        <w:numId w:val="1"/>
      </w:numPr>
      <w:tabs>
        <w:tab w:val="left" w:pos="5400"/>
        <w:tab w:val="clear" w:pos="420"/>
      </w:tabs>
      <w:ind w:firstLine="0" w:firstLineChars="0"/>
      <w:outlineLvl w:val="3"/>
    </w:pPr>
    <w:rPr>
      <w:b/>
      <w:bCs/>
      <w:szCs w:val="28"/>
    </w:rPr>
  </w:style>
  <w:style w:type="paragraph" w:styleId="6">
    <w:name w:val="heading 5"/>
    <w:basedOn w:val="1"/>
    <w:next w:val="1"/>
    <w:unhideWhenUsed/>
    <w:qFormat/>
    <w:locked/>
    <w:uiPriority w:val="0"/>
    <w:pPr>
      <w:keepNext/>
      <w:keepLines/>
      <w:numPr>
        <w:ilvl w:val="4"/>
        <w:numId w:val="1"/>
      </w:numPr>
      <w:tabs>
        <w:tab w:val="left" w:pos="0"/>
      </w:tabs>
      <w:spacing w:before="280" w:after="290" w:line="376" w:lineRule="auto"/>
      <w:ind w:left="1008" w:hanging="1008" w:firstLineChars="0"/>
      <w:outlineLvl w:val="4"/>
    </w:pPr>
    <w:rPr>
      <w:b/>
      <w:bCs/>
      <w:sz w:val="28"/>
      <w:szCs w:val="28"/>
    </w:rPr>
  </w:style>
  <w:style w:type="paragraph" w:styleId="7">
    <w:name w:val="heading 6"/>
    <w:basedOn w:val="1"/>
    <w:next w:val="1"/>
    <w:semiHidden/>
    <w:unhideWhenUsed/>
    <w:qFormat/>
    <w:locked/>
    <w:uiPriority w:val="0"/>
    <w:pPr>
      <w:keepNext/>
      <w:keepLines/>
      <w:numPr>
        <w:ilvl w:val="5"/>
        <w:numId w:val="1"/>
      </w:numPr>
      <w:spacing w:before="240" w:beforeLines="0" w:beforeAutospacing="0" w:after="64" w:afterLines="0" w:afterAutospacing="0" w:line="317" w:lineRule="auto"/>
      <w:ind w:left="1151" w:hanging="1151" w:firstLineChars="0"/>
      <w:outlineLvl w:val="5"/>
    </w:pPr>
    <w:rPr>
      <w:rFonts w:ascii="Arial" w:hAnsi="Arial" w:eastAsia="黑体"/>
      <w:b/>
      <w:sz w:val="24"/>
    </w:rPr>
  </w:style>
  <w:style w:type="paragraph" w:styleId="8">
    <w:name w:val="heading 7"/>
    <w:basedOn w:val="1"/>
    <w:next w:val="1"/>
    <w:semiHidden/>
    <w:unhideWhenUsed/>
    <w:qFormat/>
    <w:locked/>
    <w:uiPriority w:val="0"/>
    <w:pPr>
      <w:keepNext/>
      <w:keepLines/>
      <w:numPr>
        <w:ilvl w:val="6"/>
        <w:numId w:val="1"/>
      </w:numPr>
      <w:spacing w:before="240" w:beforeLines="0" w:beforeAutospacing="0" w:after="64" w:afterLines="0" w:afterAutospacing="0" w:line="317" w:lineRule="auto"/>
      <w:ind w:left="1296" w:hanging="1296" w:firstLineChars="0"/>
      <w:outlineLvl w:val="6"/>
    </w:pPr>
    <w:rPr>
      <w:b/>
      <w:sz w:val="24"/>
    </w:rPr>
  </w:style>
  <w:style w:type="paragraph" w:styleId="9">
    <w:name w:val="heading 8"/>
    <w:basedOn w:val="1"/>
    <w:next w:val="1"/>
    <w:semiHidden/>
    <w:unhideWhenUsed/>
    <w:qFormat/>
    <w:locked/>
    <w:uiPriority w:val="0"/>
    <w:pPr>
      <w:keepNext/>
      <w:keepLines/>
      <w:numPr>
        <w:ilvl w:val="7"/>
        <w:numId w:val="1"/>
      </w:numPr>
      <w:spacing w:before="240" w:beforeLines="0" w:beforeAutospacing="0" w:after="64" w:afterLines="0" w:afterAutospacing="0" w:line="317" w:lineRule="auto"/>
      <w:ind w:left="1440" w:hanging="1440" w:firstLineChars="0"/>
      <w:outlineLvl w:val="7"/>
    </w:pPr>
    <w:rPr>
      <w:rFonts w:ascii="Arial" w:hAnsi="Arial" w:eastAsia="黑体"/>
      <w:sz w:val="24"/>
    </w:rPr>
  </w:style>
  <w:style w:type="paragraph" w:styleId="10">
    <w:name w:val="heading 9"/>
    <w:basedOn w:val="1"/>
    <w:next w:val="1"/>
    <w:semiHidden/>
    <w:unhideWhenUsed/>
    <w:qFormat/>
    <w:locked/>
    <w:uiPriority w:val="0"/>
    <w:pPr>
      <w:keepNext/>
      <w:keepLines/>
      <w:numPr>
        <w:ilvl w:val="8"/>
        <w:numId w:val="1"/>
      </w:numPr>
      <w:spacing w:before="240" w:beforeLines="0" w:beforeAutospacing="0" w:after="64" w:afterLines="0" w:afterAutospacing="0" w:line="317" w:lineRule="auto"/>
      <w:ind w:left="1583" w:hanging="1583" w:firstLineChars="0"/>
      <w:outlineLvl w:val="8"/>
    </w:pPr>
    <w:rPr>
      <w:rFonts w:ascii="Arial" w:hAnsi="Arial" w:eastAsia="黑体"/>
      <w:sz w:val="21"/>
    </w:rPr>
  </w:style>
  <w:style w:type="character" w:default="1" w:styleId="31">
    <w:name w:val="Default Paragraph Font"/>
    <w:semiHidden/>
    <w:qFormat/>
    <w:uiPriority w:val="0"/>
  </w:style>
  <w:style w:type="table" w:default="1" w:styleId="29">
    <w:name w:val="Normal Table"/>
    <w:semiHidden/>
    <w:qFormat/>
    <w:uiPriority w:val="0"/>
    <w:pPr>
      <w:keepNext w:val="0"/>
      <w:keepLines w:val="0"/>
      <w:widowControl/>
      <w:suppressLineNumbers w:val="0"/>
      <w:spacing w:before="0" w:beforeAutospacing="0" w:after="0" w:afterAutospacing="0"/>
      <w:ind w:left="0" w:right="0"/>
    </w:pPr>
    <w:rPr>
      <w:rFonts w:hint="eastAsia" w:ascii="等线" w:hAnsi="等线" w:eastAsia="等线" w:cs="等线"/>
      <w:kern w:val="2"/>
      <w:sz w:val="21"/>
      <w:szCs w:val="22"/>
    </w:rPr>
    <w:tblPr>
      <w:tblCellMar>
        <w:top w:w="0" w:type="dxa"/>
        <w:left w:w="108" w:type="dxa"/>
        <w:bottom w:w="0" w:type="dxa"/>
        <w:right w:w="108" w:type="dxa"/>
      </w:tblCellMar>
    </w:tblPr>
  </w:style>
  <w:style w:type="paragraph" w:styleId="11">
    <w:name w:val="table of authorities"/>
    <w:basedOn w:val="1"/>
    <w:next w:val="1"/>
    <w:semiHidden/>
    <w:qFormat/>
    <w:locked/>
    <w:uiPriority w:val="0"/>
    <w:pPr>
      <w:ind w:left="420" w:leftChars="200"/>
    </w:pPr>
  </w:style>
  <w:style w:type="paragraph" w:styleId="12">
    <w:name w:val="Note Heading"/>
    <w:basedOn w:val="1"/>
    <w:next w:val="1"/>
    <w:qFormat/>
    <w:uiPriority w:val="0"/>
  </w:style>
  <w:style w:type="paragraph" w:styleId="13">
    <w:name w:val="Normal Indent"/>
    <w:basedOn w:val="1"/>
    <w:next w:val="1"/>
    <w:qFormat/>
    <w:uiPriority w:val="0"/>
    <w:pPr>
      <w:ind w:firstLine="420"/>
    </w:pPr>
  </w:style>
  <w:style w:type="paragraph" w:styleId="14">
    <w:name w:val="caption"/>
    <w:basedOn w:val="15"/>
    <w:next w:val="1"/>
    <w:unhideWhenUsed/>
    <w:qFormat/>
    <w:locked/>
    <w:uiPriority w:val="0"/>
    <w:pPr>
      <w:tabs>
        <w:tab w:val="left" w:pos="715"/>
      </w:tabs>
    </w:pPr>
  </w:style>
  <w:style w:type="paragraph" w:customStyle="1" w:styleId="15">
    <w:name w:val="图"/>
    <w:basedOn w:val="1"/>
    <w:qFormat/>
    <w:uiPriority w:val="0"/>
    <w:pPr>
      <w:ind w:firstLine="0" w:firstLineChars="0"/>
      <w:jc w:val="center"/>
    </w:pPr>
    <w:rPr>
      <w:rFonts w:hint="eastAsia" w:eastAsia="仿宋_GB2312"/>
      <w:color w:val="auto"/>
    </w:rPr>
  </w:style>
  <w:style w:type="paragraph" w:styleId="16">
    <w:name w:val="annotation text"/>
    <w:basedOn w:val="1"/>
    <w:qFormat/>
    <w:uiPriority w:val="0"/>
    <w:pPr>
      <w:jc w:val="left"/>
    </w:pPr>
  </w:style>
  <w:style w:type="paragraph" w:styleId="17">
    <w:name w:val="Salutation"/>
    <w:basedOn w:val="1"/>
    <w:next w:val="1"/>
    <w:unhideWhenUsed/>
    <w:qFormat/>
    <w:locked/>
    <w:uiPriority w:val="99"/>
    <w:pPr>
      <w:widowControl w:val="0"/>
      <w:spacing w:line="307" w:lineRule="auto"/>
      <w:jc w:val="both"/>
    </w:pPr>
    <w:rPr>
      <w:rFonts w:ascii="Times New Roman" w:hAnsi="Times New Roman" w:eastAsia="宋体" w:cs="Times New Roman"/>
      <w:kern w:val="2"/>
      <w:sz w:val="21"/>
      <w:szCs w:val="24"/>
      <w:lang w:val="en-US" w:eastAsia="zh-CN" w:bidi="ar-SA"/>
    </w:rPr>
  </w:style>
  <w:style w:type="paragraph" w:styleId="18">
    <w:name w:val="Body Text"/>
    <w:basedOn w:val="1"/>
    <w:next w:val="19"/>
    <w:qFormat/>
    <w:uiPriority w:val="1"/>
    <w:rPr>
      <w:rFonts w:ascii="宋体" w:hAnsi="宋体" w:eastAsia="宋体" w:cs="宋体"/>
      <w:sz w:val="24"/>
      <w:szCs w:val="24"/>
      <w:lang w:val="zh-CN" w:bidi="zh-CN"/>
    </w:rPr>
  </w:style>
  <w:style w:type="paragraph" w:styleId="19">
    <w:name w:val="Plain Text"/>
    <w:basedOn w:val="1"/>
    <w:next w:val="18"/>
    <w:qFormat/>
    <w:uiPriority w:val="0"/>
    <w:rPr>
      <w:rFonts w:ascii="Times New Roman" w:hAnsi="Times New Roman" w:eastAsia="宋体" w:cs="Courier New"/>
      <w:szCs w:val="21"/>
    </w:rPr>
  </w:style>
  <w:style w:type="paragraph" w:styleId="20">
    <w:name w:val="Body Text Indent"/>
    <w:basedOn w:val="1"/>
    <w:next w:val="21"/>
    <w:qFormat/>
    <w:uiPriority w:val="0"/>
    <w:pPr>
      <w:spacing w:after="120"/>
      <w:ind w:left="420" w:leftChars="200"/>
    </w:pPr>
    <w:rPr>
      <w:kern w:val="0"/>
      <w:sz w:val="24"/>
      <w:szCs w:val="20"/>
    </w:rPr>
  </w:style>
  <w:style w:type="paragraph" w:styleId="21">
    <w:name w:val="Body Text First Indent 2"/>
    <w:basedOn w:val="20"/>
    <w:next w:val="22"/>
    <w:qFormat/>
    <w:uiPriority w:val="0"/>
    <w:pPr>
      <w:spacing w:after="120"/>
      <w:ind w:left="420" w:leftChars="200" w:firstLine="210" w:firstLineChars="200"/>
    </w:pPr>
    <w:rPr>
      <w:sz w:val="21"/>
    </w:rPr>
  </w:style>
  <w:style w:type="paragraph" w:styleId="22">
    <w:name w:val="Body Text First Indent"/>
    <w:basedOn w:val="18"/>
    <w:next w:val="1"/>
    <w:qFormat/>
    <w:uiPriority w:val="0"/>
    <w:pPr>
      <w:spacing w:line="480" w:lineRule="auto"/>
      <w:ind w:firstLine="630" w:firstLineChars="225"/>
    </w:pPr>
    <w:rPr>
      <w:rFonts w:ascii="宋体" w:hAnsi="宋体"/>
      <w:sz w:val="28"/>
      <w:szCs w:val="28"/>
      <w:u w:val="single"/>
      <w:lang w:val="en-US" w:eastAsia="zh-CN" w:bidi="ar-SA"/>
    </w:rPr>
  </w:style>
  <w:style w:type="paragraph" w:styleId="23">
    <w:name w:val="index 4"/>
    <w:basedOn w:val="1"/>
    <w:next w:val="1"/>
    <w:qFormat/>
    <w:locked/>
    <w:uiPriority w:val="0"/>
    <w:pPr>
      <w:ind w:left="600" w:leftChars="600"/>
    </w:pPr>
    <w:rPr>
      <w:sz w:val="21"/>
    </w:rPr>
  </w:style>
  <w:style w:type="paragraph" w:styleId="24">
    <w:name w:val="footer"/>
    <w:basedOn w:val="1"/>
    <w:qFormat/>
    <w:uiPriority w:val="99"/>
    <w:pPr>
      <w:tabs>
        <w:tab w:val="center" w:pos="4153"/>
        <w:tab w:val="right" w:pos="8306"/>
      </w:tabs>
      <w:snapToGrid w:val="0"/>
      <w:jc w:val="left"/>
    </w:pPr>
    <w:rPr>
      <w:kern w:val="0"/>
      <w:sz w:val="18"/>
      <w:szCs w:val="20"/>
    </w:rPr>
  </w:style>
  <w:style w:type="paragraph" w:styleId="25">
    <w:name w:val="envelope return"/>
    <w:basedOn w:val="1"/>
    <w:qFormat/>
    <w:locked/>
    <w:uiPriority w:val="0"/>
    <w:pPr>
      <w:snapToGrid w:val="0"/>
    </w:pPr>
    <w:rPr>
      <w:rFonts w:ascii="Arial" w:hAnsi="Arial"/>
    </w:rPr>
  </w:style>
  <w:style w:type="paragraph" w:styleId="26">
    <w:name w:val="toc 1"/>
    <w:basedOn w:val="1"/>
    <w:next w:val="1"/>
    <w:qFormat/>
    <w:uiPriority w:val="0"/>
  </w:style>
  <w:style w:type="paragraph" w:styleId="27">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28">
    <w:name w:val="Title"/>
    <w:basedOn w:val="1"/>
    <w:next w:val="1"/>
    <w:qFormat/>
    <w:locked/>
    <w:uiPriority w:val="0"/>
    <w:pPr>
      <w:ind w:firstLine="0" w:firstLineChars="0"/>
      <w:jc w:val="center"/>
      <w:outlineLvl w:val="9"/>
    </w:pPr>
    <w:rPr>
      <w:rFonts w:eastAsia="黑体"/>
      <w:bCs/>
      <w:color w:val="auto"/>
      <w:sz w:val="72"/>
      <w:szCs w:val="72"/>
    </w:rPr>
  </w:style>
  <w:style w:type="table" w:styleId="30">
    <w:name w:val="Table Grid"/>
    <w:basedOn w:val="29"/>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qFormat/>
    <w:locked/>
    <w:uiPriority w:val="0"/>
    <w:rPr>
      <w:b/>
    </w:rPr>
  </w:style>
  <w:style w:type="character" w:styleId="33">
    <w:name w:val="page number"/>
    <w:qFormat/>
    <w:locked/>
    <w:uiPriority w:val="0"/>
  </w:style>
  <w:style w:type="character" w:styleId="34">
    <w:name w:val="Emphasis"/>
    <w:qFormat/>
    <w:locked/>
    <w:uiPriority w:val="20"/>
    <w:rPr>
      <w:i/>
      <w:iCs/>
    </w:rPr>
  </w:style>
  <w:style w:type="character" w:styleId="35">
    <w:name w:val="Hyperlink"/>
    <w:unhideWhenUsed/>
    <w:qFormat/>
    <w:locked/>
    <w:uiPriority w:val="99"/>
    <w:rPr>
      <w:color w:val="0000FF"/>
      <w:u w:val="single"/>
    </w:rPr>
  </w:style>
  <w:style w:type="character" w:styleId="36">
    <w:name w:val="annotation reference"/>
    <w:semiHidden/>
    <w:qFormat/>
    <w:uiPriority w:val="0"/>
    <w:rPr>
      <w:sz w:val="21"/>
    </w:rPr>
  </w:style>
  <w:style w:type="paragraph" w:customStyle="1" w:styleId="37">
    <w:name w:val="附件"/>
    <w:basedOn w:val="1"/>
    <w:next w:val="1"/>
    <w:link w:val="45"/>
    <w:qFormat/>
    <w:uiPriority w:val="0"/>
    <w:pPr>
      <w:widowControl/>
      <w:tabs>
        <w:tab w:val="left" w:pos="715"/>
      </w:tabs>
      <w:adjustRightInd w:val="0"/>
      <w:snapToGrid w:val="0"/>
      <w:ind w:firstLine="0" w:firstLineChars="0"/>
      <w:jc w:val="left"/>
      <w:outlineLvl w:val="0"/>
    </w:pPr>
    <w:rPr>
      <w:rFonts w:ascii="Times New Roman" w:hAnsi="Times New Roman" w:eastAsia="宋体" w:cs="Times New Roman"/>
      <w:b/>
      <w:snapToGrid w:val="0"/>
      <w:color w:val="000000"/>
      <w:kern w:val="0"/>
      <w:sz w:val="24"/>
      <w:szCs w:val="30"/>
      <w:highlight w:val="none"/>
    </w:rPr>
  </w:style>
  <w:style w:type="paragraph" w:customStyle="1" w:styleId="38">
    <w:name w:val="表格字体"/>
    <w:link w:val="46"/>
    <w:qFormat/>
    <w:uiPriority w:val="0"/>
    <w:pPr>
      <w:snapToGrid w:val="0"/>
      <w:jc w:val="center"/>
    </w:pPr>
    <w:rPr>
      <w:rFonts w:ascii="Times New Roman" w:hAnsi="Times New Roman" w:eastAsia="宋体" w:cs="Times New Roman"/>
      <w:kern w:val="2"/>
      <w:sz w:val="21"/>
      <w:lang w:val="en-US" w:eastAsia="zh-CN" w:bidi="ar-SA"/>
    </w:rPr>
  </w:style>
  <w:style w:type="paragraph" w:customStyle="1" w:styleId="39">
    <w:name w:val="表格名称"/>
    <w:basedOn w:val="1"/>
    <w:link w:val="43"/>
    <w:qFormat/>
    <w:uiPriority w:val="0"/>
    <w:pPr>
      <w:widowControl/>
      <w:snapToGrid w:val="0"/>
      <w:ind w:firstLine="0" w:firstLineChars="0"/>
      <w:jc w:val="center"/>
    </w:pPr>
    <w:rPr>
      <w:b/>
      <w:kern w:val="0"/>
      <w:szCs w:val="20"/>
    </w:rPr>
  </w:style>
  <w:style w:type="paragraph" w:customStyle="1" w:styleId="40">
    <w:name w:val="大表格式"/>
    <w:basedOn w:val="1"/>
    <w:qFormat/>
    <w:uiPriority w:val="0"/>
    <w:pPr>
      <w:spacing w:line="240" w:lineRule="auto"/>
      <w:ind w:firstLine="0" w:firstLineChars="0"/>
      <w:jc w:val="center"/>
    </w:pPr>
    <w:rPr>
      <w:color w:val="auto"/>
    </w:rPr>
  </w:style>
  <w:style w:type="character" w:customStyle="1" w:styleId="41">
    <w:name w:val="标题 2 Char"/>
    <w:link w:val="3"/>
    <w:qFormat/>
    <w:uiPriority w:val="0"/>
    <w:rPr>
      <w:rFonts w:ascii="Times New Roman" w:hAnsi="Times New Roman" w:eastAsia="宋体" w:cs="Times New Roman"/>
      <w:b/>
      <w:bCs/>
      <w:snapToGrid w:val="0"/>
      <w:color w:val="auto"/>
      <w:kern w:val="2"/>
      <w:sz w:val="24"/>
      <w:szCs w:val="28"/>
      <w:lang w:val="en-US" w:eastAsia="zh-CN" w:bidi="ar-SA"/>
    </w:rPr>
  </w:style>
  <w:style w:type="character" w:customStyle="1" w:styleId="42">
    <w:name w:val="标题 3 Char"/>
    <w:link w:val="4"/>
    <w:qFormat/>
    <w:uiPriority w:val="0"/>
    <w:rPr>
      <w:rFonts w:ascii="Times New Roman" w:hAnsi="Times New Roman" w:eastAsia="宋体"/>
      <w:b/>
      <w:bCs/>
      <w:sz w:val="24"/>
      <w:szCs w:val="32"/>
    </w:rPr>
  </w:style>
  <w:style w:type="character" w:customStyle="1" w:styleId="43">
    <w:name w:val="表格名称 Char"/>
    <w:link w:val="39"/>
    <w:qFormat/>
    <w:uiPriority w:val="0"/>
    <w:rPr>
      <w:b/>
      <w:kern w:val="0"/>
      <w:szCs w:val="20"/>
    </w:rPr>
  </w:style>
  <w:style w:type="paragraph" w:customStyle="1" w:styleId="44">
    <w:name w:val="封面字体"/>
    <w:basedOn w:val="1"/>
    <w:qFormat/>
    <w:uiPriority w:val="0"/>
    <w:pPr>
      <w:widowControl/>
      <w:ind w:firstLine="0" w:firstLineChars="0"/>
      <w:jc w:val="center"/>
    </w:pPr>
    <w:rPr>
      <w:rFonts w:hint="eastAsia"/>
      <w:color w:val="000000"/>
      <w:sz w:val="28"/>
      <w:szCs w:val="20"/>
    </w:rPr>
  </w:style>
  <w:style w:type="character" w:customStyle="1" w:styleId="45">
    <w:name w:val="附件 Char1"/>
    <w:link w:val="37"/>
    <w:qFormat/>
    <w:uiPriority w:val="0"/>
    <w:rPr>
      <w:rFonts w:ascii="Times New Roman" w:hAnsi="Times New Roman" w:eastAsia="宋体" w:cs="Times New Roman"/>
      <w:b/>
      <w:snapToGrid w:val="0"/>
      <w:color w:val="000000"/>
      <w:kern w:val="0"/>
      <w:sz w:val="24"/>
      <w:szCs w:val="30"/>
      <w:highlight w:val="none"/>
    </w:rPr>
  </w:style>
  <w:style w:type="character" w:customStyle="1" w:styleId="46">
    <w:name w:val="表格字体 Char"/>
    <w:link w:val="38"/>
    <w:qFormat/>
    <w:uiPriority w:val="0"/>
    <w:rPr>
      <w:rFonts w:ascii="Times New Roman" w:hAnsi="Times New Roman" w:eastAsia="宋体" w:cs="Times New Roman"/>
      <w:kern w:val="2"/>
      <w:sz w:val="21"/>
      <w:lang w:val="en-US" w:eastAsia="zh-CN" w:bidi="ar-SA"/>
    </w:rPr>
  </w:style>
  <w:style w:type="table" w:customStyle="1" w:styleId="47">
    <w:name w:val="Table Normal"/>
    <w:qFormat/>
    <w:uiPriority w:val="2"/>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1.xml"/><Relationship Id="rId73" Type="http://schemas.openxmlformats.org/officeDocument/2006/relationships/fontTable" Target="fontTable.xml"/><Relationship Id="rId72" Type="http://schemas.openxmlformats.org/officeDocument/2006/relationships/numbering" Target="numbering.xml"/><Relationship Id="rId71" Type="http://schemas.openxmlformats.org/officeDocument/2006/relationships/customXml" Target="../customXml/item1.xml"/><Relationship Id="rId70" Type="http://schemas.openxmlformats.org/officeDocument/2006/relationships/image" Target="media/image48.png"/><Relationship Id="rId7" Type="http://schemas.openxmlformats.org/officeDocument/2006/relationships/footer" Target="footer3.xml"/><Relationship Id="rId69" Type="http://schemas.openxmlformats.org/officeDocument/2006/relationships/image" Target="media/image47.png"/><Relationship Id="rId68" Type="http://schemas.openxmlformats.org/officeDocument/2006/relationships/image" Target="media/image46.png"/><Relationship Id="rId67" Type="http://schemas.openxmlformats.org/officeDocument/2006/relationships/image" Target="media/image45.jpeg"/><Relationship Id="rId66" Type="http://schemas.openxmlformats.org/officeDocument/2006/relationships/image" Target="media/image44.png"/><Relationship Id="rId65" Type="http://schemas.openxmlformats.org/officeDocument/2006/relationships/image" Target="media/image43.png"/><Relationship Id="rId64" Type="http://schemas.openxmlformats.org/officeDocument/2006/relationships/image" Target="media/image42.jpeg"/><Relationship Id="rId63" Type="http://schemas.openxmlformats.org/officeDocument/2006/relationships/image" Target="media/image41.jpeg"/><Relationship Id="rId62" Type="http://schemas.openxmlformats.org/officeDocument/2006/relationships/image" Target="media/image40.jpeg"/><Relationship Id="rId61" Type="http://schemas.openxmlformats.org/officeDocument/2006/relationships/image" Target="media/image39.jpeg"/><Relationship Id="rId60" Type="http://schemas.openxmlformats.org/officeDocument/2006/relationships/image" Target="media/image38.jpeg"/><Relationship Id="rId6" Type="http://schemas.openxmlformats.org/officeDocument/2006/relationships/footer" Target="footer2.xml"/><Relationship Id="rId59" Type="http://schemas.openxmlformats.org/officeDocument/2006/relationships/image" Target="media/image37.jpeg"/><Relationship Id="rId58" Type="http://schemas.openxmlformats.org/officeDocument/2006/relationships/image" Target="media/image36.png"/><Relationship Id="rId57" Type="http://schemas.openxmlformats.org/officeDocument/2006/relationships/image" Target="media/image35.png"/><Relationship Id="rId56" Type="http://schemas.openxmlformats.org/officeDocument/2006/relationships/image" Target="media/image34.png"/><Relationship Id="rId55" Type="http://schemas.openxmlformats.org/officeDocument/2006/relationships/image" Target="media/image33.png"/><Relationship Id="rId54" Type="http://schemas.openxmlformats.org/officeDocument/2006/relationships/image" Target="media/image32.png"/><Relationship Id="rId53" Type="http://schemas.openxmlformats.org/officeDocument/2006/relationships/image" Target="media/image31.jpeg"/><Relationship Id="rId52" Type="http://schemas.openxmlformats.org/officeDocument/2006/relationships/image" Target="media/image30.png"/><Relationship Id="rId51" Type="http://schemas.openxmlformats.org/officeDocument/2006/relationships/image" Target="file:///C:\Users\Admin\AppData\Local\Temp\ksohtml12936\wps12.png" TargetMode="External"/><Relationship Id="rId50" Type="http://schemas.openxmlformats.org/officeDocument/2006/relationships/image" Target="media/image29.png"/><Relationship Id="rId5" Type="http://schemas.openxmlformats.org/officeDocument/2006/relationships/footer" Target="footer1.xml"/><Relationship Id="rId49" Type="http://schemas.openxmlformats.org/officeDocument/2006/relationships/image" Target="file:///C:\Users\Admin\AppData\Local\Temp\ksohtml12936\wps11.png" TargetMode="External"/><Relationship Id="rId48" Type="http://schemas.openxmlformats.org/officeDocument/2006/relationships/image" Target="media/image28.png"/><Relationship Id="rId47" Type="http://schemas.openxmlformats.org/officeDocument/2006/relationships/image" Target="file:///C:\Users\Admin\AppData\Local\Temp\ksohtml12936\wps10.png" TargetMode="External"/><Relationship Id="rId46" Type="http://schemas.openxmlformats.org/officeDocument/2006/relationships/image" Target="media/image27.png"/><Relationship Id="rId45" Type="http://schemas.openxmlformats.org/officeDocument/2006/relationships/image" Target="file:///C:\Users\Admin\AppData\Local\Temp\ksohtml12936\wps9.png" TargetMode="External"/><Relationship Id="rId44" Type="http://schemas.openxmlformats.org/officeDocument/2006/relationships/image" Target="media/image26.png"/><Relationship Id="rId43" Type="http://schemas.openxmlformats.org/officeDocument/2006/relationships/image" Target="file:///C:\Users\Admin\AppData\Local\Temp\ksohtml12936\wps8.png" TargetMode="External"/><Relationship Id="rId42" Type="http://schemas.openxmlformats.org/officeDocument/2006/relationships/image" Target="media/image25.png"/><Relationship Id="rId41" Type="http://schemas.openxmlformats.org/officeDocument/2006/relationships/image" Target="file:///C:\Users\Admin\AppData\Local\Temp\ksohtml12936\wps7.png" TargetMode="External"/><Relationship Id="rId40" Type="http://schemas.openxmlformats.org/officeDocument/2006/relationships/image" Target="media/image24.png"/><Relationship Id="rId4" Type="http://schemas.openxmlformats.org/officeDocument/2006/relationships/endnotes" Target="endnotes.xml"/><Relationship Id="rId39" Type="http://schemas.openxmlformats.org/officeDocument/2006/relationships/image" Target="file:///C:\Users\Admin\AppData\Local\Temp\ksohtml12936\wps6.png" TargetMode="External"/><Relationship Id="rId38" Type="http://schemas.openxmlformats.org/officeDocument/2006/relationships/image" Target="media/image23.png"/><Relationship Id="rId37" Type="http://schemas.openxmlformats.org/officeDocument/2006/relationships/image" Target="file:///C:\Users\Admin\AppData\Local\Temp\ksohtml12936\wps5.png" TargetMode="External"/><Relationship Id="rId36" Type="http://schemas.openxmlformats.org/officeDocument/2006/relationships/image" Target="media/image22.png"/><Relationship Id="rId35" Type="http://schemas.openxmlformats.org/officeDocument/2006/relationships/image" Target="file:///C:\Users\Admin\AppData\Local\Temp\ksohtml12936\wps4.png" TargetMode="External"/><Relationship Id="rId34" Type="http://schemas.openxmlformats.org/officeDocument/2006/relationships/image" Target="media/image21.png"/><Relationship Id="rId33" Type="http://schemas.openxmlformats.org/officeDocument/2006/relationships/image" Target="file:///C:\Users\Admin\AppData\Local\Temp\ksohtml12936\wps3.png" TargetMode="External"/><Relationship Id="rId32" Type="http://schemas.openxmlformats.org/officeDocument/2006/relationships/image" Target="media/image20.png"/><Relationship Id="rId31" Type="http://schemas.openxmlformats.org/officeDocument/2006/relationships/image" Target="file:///C:\Users\Admin\AppData\Local\Temp\ksohtml12936\wps2.png" TargetMode="External"/><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emf"/><Relationship Id="rId27" Type="http://schemas.openxmlformats.org/officeDocument/2006/relationships/oleObject" Target="embeddings/oleObject1.bin"/><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extobjs>
    <extobj name="F360BE8B-6686-4F3D-AEAF-501FE73E4058-1">
      <extobjdata type="F360BE8B-6686-4F3D-AEAF-501FE73E4058" data="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"/>
    </extobj>
    <extobj name="F360BE8B-6686-4F3D-AEAF-501FE73E4058-2">
      <extobjdata type="F360BE8B-6686-4F3D-AEAF-501FE73E4058" data="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"/>
    </extobj>
    <extobj name="F360BE8B-6686-4F3D-AEAF-501FE73E4058-3">
      <extobjdata type="F360BE8B-6686-4F3D-AEAF-501FE73E4058" data="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120</Pages>
  <Words>17055</Words>
  <Characters>17948</Characters>
  <Lines>208</Lines>
  <Paragraphs>58</Paragraphs>
  <TotalTime>6</TotalTime>
  <ScaleCrop>false</ScaleCrop>
  <LinksUpToDate>false</LinksUpToDate>
  <CharactersWithSpaces>18032</CharactersWithSpaces>
  <Application>WPS Office_12.8.2.19315_F1E327BC-269C-435d-A152-05C5408002CA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admin</cp:lastModifiedBy>
  <cp:lastPrinted>2026-01-21T01:18:00Z</cp:lastPrinted>
  <dcterms:modified xsi:type="dcterms:W3CDTF">2026-01-22T02:54:39Z</dcterms:modified>
  <dc:title>附件2</dc:title>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2052-12.8.2.19315</vt:lpwstr>
  </property>
  <property fmtid="{D5CDD505-2E9C-101B-9397-08002B2CF9AE}" pid="3" name="ICV">
    <vt:lpwstr>241FC0F4506848288035C96F77DC07C0_13</vt:lpwstr>
  </property>
  <property fmtid="{D5CDD505-2E9C-101B-9397-08002B2CF9AE}" pid="4" name="KSOTemplateDocerSaveRecord">
    <vt:lpwstr>eyJoZGlkIjoiODNlNDUyMjRiMmY0MmNmODkxOGQ1NThlOGExMTg1NzQiLCJ1c2VySWQiOiI1OTA0MzgxMzkifQ==</vt:lpwstr>
  </property>
</Properties>
</file>